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adjustRightInd w:val="0"/>
        <w:snapToGrid w:val="0"/>
        <w:spacing w:line="576" w:lineRule="exact"/>
        <w:ind w:firstLine="0" w:firstLineChars="0"/>
        <w:jc w:val="center"/>
        <w:textAlignment w:val="auto"/>
        <w:outlineLvl w:val="0"/>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重庆市綦江区人民政府</w:t>
      </w:r>
    </w:p>
    <w:p>
      <w:pPr>
        <w:keepNext w:val="0"/>
        <w:keepLines w:val="0"/>
        <w:pageBreakBefore w:val="0"/>
        <w:widowControl w:val="0"/>
        <w:kinsoku/>
        <w:wordWrap/>
        <w:topLinePunct w:val="0"/>
        <w:autoSpaceDE/>
        <w:autoSpaceDN/>
        <w:bidi w:val="0"/>
        <w:adjustRightInd w:val="0"/>
        <w:snapToGrid w:val="0"/>
        <w:spacing w:line="576" w:lineRule="exact"/>
        <w:ind w:firstLine="0"/>
        <w:jc w:val="center"/>
        <w:textAlignment w:val="auto"/>
        <w:outlineLvl w:val="0"/>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color w:val="auto"/>
          <w:sz w:val="44"/>
          <w:szCs w:val="44"/>
        </w:rPr>
        <w:t>关于</w:t>
      </w:r>
      <w:r>
        <w:rPr>
          <w:rFonts w:hint="eastAsia" w:ascii="方正小标宋_GBK" w:hAnsi="方正小标宋_GBK" w:eastAsia="方正小标宋_GBK" w:cs="方正小标宋_GBK"/>
          <w:color w:val="auto"/>
          <w:sz w:val="44"/>
          <w:szCs w:val="44"/>
          <w:lang w:val="en-US" w:eastAsia="zh-CN"/>
        </w:rPr>
        <w:t>确定</w:t>
      </w:r>
      <w:r>
        <w:rPr>
          <w:rFonts w:hint="eastAsia" w:ascii="方正小标宋_GBK" w:hAnsi="方正小标宋_GBK" w:eastAsia="方正小标宋_GBK" w:cs="方正小标宋_GBK"/>
          <w:b w:val="0"/>
          <w:bCs w:val="0"/>
          <w:color w:val="auto"/>
          <w:sz w:val="44"/>
          <w:szCs w:val="44"/>
          <w:lang w:val="en-US" w:eastAsia="zh-CN"/>
        </w:rPr>
        <w:t>藻渡水库工程（重庆段綦江境）</w:t>
      </w:r>
    </w:p>
    <w:p>
      <w:pPr>
        <w:keepNext w:val="0"/>
        <w:keepLines w:val="0"/>
        <w:pageBreakBefore w:val="0"/>
        <w:widowControl w:val="0"/>
        <w:kinsoku/>
        <w:wordWrap/>
        <w:topLinePunct w:val="0"/>
        <w:autoSpaceDE/>
        <w:autoSpaceDN/>
        <w:bidi w:val="0"/>
        <w:adjustRightInd w:val="0"/>
        <w:snapToGrid w:val="0"/>
        <w:spacing w:line="576" w:lineRule="exact"/>
        <w:ind w:firstLine="0"/>
        <w:jc w:val="center"/>
        <w:textAlignment w:val="auto"/>
        <w:outlineLvl w:val="0"/>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征地补偿和移民安置方案的公告</w:t>
      </w:r>
    </w:p>
    <w:p>
      <w:pPr>
        <w:keepNext w:val="0"/>
        <w:keepLines w:val="0"/>
        <w:pageBreakBefore w:val="0"/>
        <w:widowControl w:val="0"/>
        <w:kinsoku/>
        <w:wordWrap/>
        <w:overflowPunct w:val="0"/>
        <w:topLinePunct w:val="0"/>
        <w:autoSpaceDE/>
        <w:autoSpaceDN/>
        <w:bidi w:val="0"/>
        <w:spacing w:line="576" w:lineRule="exact"/>
        <w:ind w:firstLine="0"/>
        <w:jc w:val="center"/>
        <w:textAlignment w:val="auto"/>
        <w:rPr>
          <w:rFonts w:eastAsia="方正仿宋_GBK"/>
          <w:color w:val="auto"/>
          <w:sz w:val="32"/>
          <w:szCs w:val="32"/>
        </w:rPr>
      </w:pPr>
      <w:r>
        <w:rPr>
          <w:rFonts w:hint="eastAsia" w:eastAsia="方正仿宋_GBK"/>
          <w:color w:val="auto"/>
          <w:sz w:val="32"/>
          <w:szCs w:val="32"/>
          <w:lang w:eastAsia="zh-CN"/>
        </w:rPr>
        <w:t>（</w:t>
      </w:r>
      <w:r>
        <w:rPr>
          <w:rFonts w:hint="default" w:ascii="Times New Roman" w:hAnsi="Times New Roman" w:eastAsia="方正仿宋_GBK" w:cs="Times New Roman"/>
          <w:color w:val="auto"/>
          <w:sz w:val="32"/>
          <w:szCs w:val="32"/>
        </w:rPr>
        <w:t>綦江府征地方案</w:t>
      </w:r>
      <w:r>
        <w:rPr>
          <w:rFonts w:hint="default" w:ascii="Times New Roman" w:hAnsi="Times New Roman" w:eastAsia="方正仿宋_GBK" w:cs="Times New Roman"/>
          <w:color w:val="auto"/>
          <w:sz w:val="32"/>
          <w:szCs w:val="32"/>
          <w:lang w:val="en-US" w:eastAsia="zh-CN"/>
        </w:rPr>
        <w:t>确定</w:t>
      </w:r>
      <w:r>
        <w:rPr>
          <w:rFonts w:hint="default" w:ascii="Times New Roman" w:hAnsi="Times New Roman" w:eastAsia="方正仿宋_GBK" w:cs="Times New Roman"/>
          <w:color w:val="auto"/>
          <w:sz w:val="32"/>
          <w:szCs w:val="32"/>
        </w:rPr>
        <w:t>公告〔202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号</w:t>
      </w:r>
      <w:r>
        <w:rPr>
          <w:rFonts w:hint="eastAsia" w:eastAsia="方正仿宋_GBK"/>
          <w:color w:val="auto"/>
          <w:sz w:val="32"/>
          <w:szCs w:val="32"/>
          <w:lang w:eastAsia="zh-CN"/>
        </w:rPr>
        <w:t>）</w:t>
      </w:r>
    </w:p>
    <w:p>
      <w:pPr>
        <w:keepNext w:val="0"/>
        <w:keepLines w:val="0"/>
        <w:pageBreakBefore w:val="0"/>
        <w:widowControl w:val="0"/>
        <w:kinsoku/>
        <w:wordWrap/>
        <w:topLinePunct w:val="0"/>
        <w:autoSpaceDE/>
        <w:autoSpaceDN/>
        <w:bidi w:val="0"/>
        <w:spacing w:line="576" w:lineRule="exact"/>
        <w:jc w:val="both"/>
        <w:textAlignment w:val="auto"/>
        <w:rPr>
          <w:rFonts w:ascii="方正仿宋_GBK" w:hAnsi="方正仿宋_GBK" w:eastAsia="方正仿宋_GBK" w:cs="方正仿宋_GBK"/>
          <w:color w:val="auto"/>
          <w:sz w:val="32"/>
          <w:szCs w:val="32"/>
        </w:rPr>
      </w:pPr>
    </w:p>
    <w:p>
      <w:pPr>
        <w:pStyle w:val="2"/>
        <w:keepNext w:val="0"/>
        <w:keepLines w:val="0"/>
        <w:pageBreakBefore w:val="0"/>
        <w:widowControl w:val="0"/>
        <w:kinsoku/>
        <w:wordWrap/>
        <w:topLinePunct w:val="0"/>
        <w:autoSpaceDE/>
        <w:autoSpaceDN/>
        <w:bidi w:val="0"/>
        <w:spacing w:line="576" w:lineRule="exact"/>
        <w:ind w:left="0"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本府于2024年11月27日至2024年12月27日期间，依法对重庆市藻渡水库工程</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重庆段綦江境</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rPr>
        <w:t>的</w:t>
      </w:r>
      <w:r>
        <w:rPr>
          <w:rFonts w:hint="default" w:ascii="Times New Roman" w:hAnsi="Times New Roman" w:eastAsia="方正仿宋_GBK" w:cs="Times New Roman"/>
          <w:color w:val="auto"/>
          <w:sz w:val="32"/>
          <w:szCs w:val="32"/>
          <w:lang w:val="en-US" w:eastAsia="zh-CN"/>
        </w:rPr>
        <w:t>征地补偿和移民安置方案进行了公告</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綦江府征地方案公告〔2024〕21号</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，现对该方案予以确定并公布。</w:t>
      </w:r>
    </w:p>
    <w:p>
      <w:pPr>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特此公告</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val="0"/>
        <w:topLinePunct w:val="0"/>
        <w:autoSpaceDE/>
        <w:autoSpaceDN/>
        <w:bidi w:val="0"/>
        <w:spacing w:line="576"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附件：征地补偿</w:t>
      </w:r>
      <w:r>
        <w:rPr>
          <w:rFonts w:hint="eastAsia" w:eastAsia="方正仿宋_GBK" w:cs="Times New Roman"/>
          <w:color w:val="auto"/>
          <w:sz w:val="32"/>
          <w:szCs w:val="32"/>
          <w:lang w:val="en-US" w:eastAsia="zh-CN"/>
        </w:rPr>
        <w:t>和移民</w:t>
      </w:r>
      <w:r>
        <w:rPr>
          <w:rFonts w:hint="default" w:ascii="Times New Roman" w:hAnsi="Times New Roman" w:eastAsia="方正仿宋_GBK" w:cs="Times New Roman"/>
          <w:color w:val="auto"/>
          <w:sz w:val="32"/>
          <w:szCs w:val="32"/>
        </w:rPr>
        <w:t>安置方案</w:t>
      </w:r>
    </w:p>
    <w:p>
      <w:pPr>
        <w:pStyle w:val="2"/>
        <w:ind w:firstLine="320"/>
        <w:rPr>
          <w:rFonts w:hint="default" w:ascii="Times New Roman" w:hAnsi="Times New Roman" w:eastAsia="方正仿宋_GBK" w:cs="Times New Roman"/>
          <w:color w:val="auto"/>
          <w:sz w:val="32"/>
          <w:szCs w:val="32"/>
          <w:lang w:eastAsia="zh-CN"/>
        </w:rPr>
      </w:pPr>
    </w:p>
    <w:p>
      <w:pPr>
        <w:pStyle w:val="2"/>
        <w:ind w:firstLine="320"/>
        <w:rPr>
          <w:rFonts w:hint="default" w:ascii="Times New Roman" w:hAnsi="Times New Roman" w:eastAsia="方正仿宋_GBK" w:cs="Times New Roman"/>
          <w:color w:val="auto"/>
          <w:sz w:val="32"/>
          <w:szCs w:val="32"/>
          <w:lang w:eastAsia="zh-CN"/>
        </w:rPr>
      </w:pPr>
    </w:p>
    <w:p>
      <w:pPr>
        <w:overflowPunct w:val="0"/>
        <w:spacing w:line="600" w:lineRule="exact"/>
        <w:ind w:firstLine="4640" w:firstLineChars="145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重庆市綦江区人民政府</w:t>
      </w:r>
    </w:p>
    <w:p>
      <w:pPr>
        <w:tabs>
          <w:tab w:val="left" w:pos="7560"/>
        </w:tabs>
        <w:overflowPunct w:val="0"/>
        <w:spacing w:line="60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17</w:t>
      </w:r>
      <w:r>
        <w:rPr>
          <w:rFonts w:hint="default" w:ascii="Times New Roman" w:hAnsi="Times New Roman" w:eastAsia="方正仿宋_GBK" w:cs="Times New Roman"/>
          <w:color w:val="auto"/>
          <w:sz w:val="32"/>
          <w:szCs w:val="32"/>
        </w:rPr>
        <w:t>日</w:t>
      </w:r>
    </w:p>
    <w:p>
      <w:pPr>
        <w:pStyle w:val="2"/>
        <w:rPr>
          <w:rFonts w:hint="default"/>
          <w:lang w:eastAsia="zh-CN"/>
        </w:rPr>
      </w:pPr>
      <w:r>
        <w:rPr>
          <w:rFonts w:ascii="方正仿宋_GBK" w:hAnsi="方正仿宋_GBK" w:eastAsia="方正仿宋_GBK" w:cs="方正仿宋_GBK"/>
          <w:i w:val="0"/>
          <w:caps w:val="0"/>
          <w:color w:val="000000"/>
          <w:spacing w:val="0"/>
          <w:sz w:val="31"/>
          <w:szCs w:val="31"/>
        </w:rPr>
        <w:t>（此件公开发布）</w:t>
      </w:r>
      <w:bookmarkStart w:id="0" w:name="_GoBack"/>
      <w:bookmarkEnd w:id="0"/>
    </w:p>
    <w:p>
      <w:pPr>
        <w:adjustRightInd w:val="0"/>
        <w:snapToGrid w:val="0"/>
        <w:spacing w:line="576" w:lineRule="exact"/>
        <w:jc w:val="both"/>
        <w:outlineLvl w:val="0"/>
        <w:rPr>
          <w:rFonts w:hint="eastAsia" w:ascii="方正黑体_GBK" w:hAnsi="方正黑体_GBK" w:eastAsia="方正黑体_GBK" w:cs="方正黑体_GBK"/>
          <w:bCs/>
          <w:color w:val="auto"/>
          <w:sz w:val="32"/>
          <w:szCs w:val="32"/>
          <w:lang w:eastAsia="zh-CN"/>
        </w:rPr>
      </w:pPr>
    </w:p>
    <w:p>
      <w:pPr>
        <w:adjustRightInd w:val="0"/>
        <w:snapToGrid w:val="0"/>
        <w:spacing w:line="576" w:lineRule="exact"/>
        <w:jc w:val="both"/>
        <w:outlineLvl w:val="0"/>
        <w:rPr>
          <w:rFonts w:hint="eastAsia" w:ascii="方正黑体_GBK" w:hAnsi="方正黑体_GBK" w:eastAsia="方正黑体_GBK" w:cs="方正黑体_GBK"/>
          <w:bCs/>
          <w:color w:val="auto"/>
          <w:sz w:val="32"/>
          <w:szCs w:val="32"/>
          <w:lang w:eastAsia="zh-CN"/>
        </w:rPr>
      </w:pPr>
    </w:p>
    <w:p>
      <w:pPr>
        <w:adjustRightInd w:val="0"/>
        <w:snapToGrid w:val="0"/>
        <w:spacing w:line="576" w:lineRule="exact"/>
        <w:jc w:val="both"/>
        <w:outlineLvl w:val="0"/>
        <w:rPr>
          <w:rFonts w:hint="eastAsia" w:ascii="方正黑体_GBK" w:hAnsi="方正黑体_GBK" w:eastAsia="方正黑体_GBK" w:cs="方正黑体_GBK"/>
          <w:bCs/>
          <w:color w:val="auto"/>
          <w:sz w:val="32"/>
          <w:szCs w:val="32"/>
          <w:lang w:eastAsia="zh-CN"/>
        </w:rPr>
      </w:pPr>
    </w:p>
    <w:p>
      <w:pPr>
        <w:pStyle w:val="2"/>
        <w:rPr>
          <w:rFonts w:hint="eastAsia"/>
          <w:lang w:eastAsia="zh-CN"/>
        </w:rPr>
      </w:pPr>
    </w:p>
    <w:p>
      <w:pPr>
        <w:adjustRightInd w:val="0"/>
        <w:snapToGrid w:val="0"/>
        <w:spacing w:line="576" w:lineRule="exact"/>
        <w:jc w:val="both"/>
        <w:outlineLvl w:val="0"/>
        <w:rPr>
          <w:rFonts w:hint="eastAsia" w:ascii="方正黑体_GBK" w:hAnsi="方正黑体_GBK" w:eastAsia="方正黑体_GBK" w:cs="方正黑体_GBK"/>
          <w:bCs/>
          <w:color w:val="auto"/>
          <w:sz w:val="32"/>
          <w:szCs w:val="32"/>
          <w:lang w:eastAsia="zh-CN"/>
        </w:rPr>
      </w:pPr>
    </w:p>
    <w:p>
      <w:pPr>
        <w:keepNext w:val="0"/>
        <w:keepLines w:val="0"/>
        <w:pageBreakBefore w:val="0"/>
        <w:kinsoku/>
        <w:wordWrap/>
        <w:overflowPunct/>
        <w:topLinePunct w:val="0"/>
        <w:bidi w:val="0"/>
        <w:adjustRightInd w:val="0"/>
        <w:snapToGrid w:val="0"/>
        <w:spacing w:line="576" w:lineRule="exact"/>
        <w:jc w:val="both"/>
        <w:textAlignment w:val="auto"/>
        <w:outlineLvl w:val="0"/>
        <w:rPr>
          <w:rFonts w:hint="eastAsia" w:ascii="方正黑体_GBK" w:hAnsi="方正黑体_GBK" w:eastAsia="方正黑体_GBK" w:cs="方正黑体_GBK"/>
          <w:bCs/>
          <w:color w:val="auto"/>
          <w:sz w:val="32"/>
          <w:szCs w:val="32"/>
          <w:lang w:val="en-US" w:eastAsia="zh-CN"/>
        </w:rPr>
      </w:pPr>
      <w:r>
        <w:rPr>
          <w:rFonts w:hint="eastAsia" w:ascii="方正黑体_GBK" w:hAnsi="方正黑体_GBK" w:eastAsia="方正黑体_GBK" w:cs="方正黑体_GBK"/>
          <w:bCs/>
          <w:color w:val="auto"/>
          <w:sz w:val="32"/>
          <w:szCs w:val="32"/>
          <w:lang w:val="en-US" w:eastAsia="zh-CN"/>
        </w:rPr>
        <w:t>附件</w:t>
      </w:r>
    </w:p>
    <w:p>
      <w:pPr>
        <w:keepNext w:val="0"/>
        <w:keepLines w:val="0"/>
        <w:pageBreakBefore w:val="0"/>
        <w:kinsoku/>
        <w:wordWrap/>
        <w:overflowPunct/>
        <w:topLinePunct w:val="0"/>
        <w:bidi w:val="0"/>
        <w:adjustRightInd w:val="0"/>
        <w:snapToGrid w:val="0"/>
        <w:spacing w:line="576" w:lineRule="exact"/>
        <w:jc w:val="both"/>
        <w:textAlignment w:val="auto"/>
        <w:outlineLvl w:val="0"/>
        <w:rPr>
          <w:rFonts w:hint="eastAsia" w:ascii="方正小标宋_GBK" w:hAnsi="方正小标宋_GBK" w:eastAsia="方正小标宋_GBK" w:cs="方正小标宋_GBK"/>
          <w:bCs/>
          <w:color w:val="auto"/>
          <w:sz w:val="44"/>
          <w:szCs w:val="44"/>
          <w:lang w:val="en-US" w:eastAsia="zh-CN"/>
        </w:rPr>
      </w:pPr>
    </w:p>
    <w:p>
      <w:pPr>
        <w:keepNext w:val="0"/>
        <w:keepLines w:val="0"/>
        <w:pageBreakBefore w:val="0"/>
        <w:kinsoku/>
        <w:wordWrap/>
        <w:overflowPunct/>
        <w:topLinePunct w:val="0"/>
        <w:bidi w:val="0"/>
        <w:adjustRightInd w:val="0"/>
        <w:snapToGrid w:val="0"/>
        <w:spacing w:line="576" w:lineRule="exact"/>
        <w:jc w:val="center"/>
        <w:textAlignment w:val="auto"/>
        <w:outlineLvl w:val="0"/>
        <w:rPr>
          <w:rFonts w:ascii="方正小标宋简体" w:hAnsi="方正小标宋简体" w:eastAsia="方正小标宋简体" w:cs="方正小标宋简体"/>
          <w:bCs/>
          <w:color w:val="auto"/>
          <w:sz w:val="44"/>
          <w:szCs w:val="44"/>
        </w:rPr>
      </w:pPr>
      <w:r>
        <w:rPr>
          <w:rFonts w:hint="eastAsia" w:ascii="方正小标宋_GBK" w:hAnsi="方正小标宋_GBK" w:eastAsia="方正小标宋_GBK" w:cs="方正小标宋_GBK"/>
          <w:bCs/>
          <w:color w:val="auto"/>
          <w:sz w:val="44"/>
          <w:szCs w:val="44"/>
        </w:rPr>
        <w:t>征地</w:t>
      </w:r>
      <w:r>
        <w:rPr>
          <w:rFonts w:hint="eastAsia" w:ascii="方正小标宋_GBK" w:hAnsi="方正小标宋_GBK" w:eastAsia="方正小标宋_GBK" w:cs="方正小标宋_GBK"/>
          <w:bCs/>
          <w:color w:val="auto"/>
          <w:sz w:val="44"/>
          <w:szCs w:val="44"/>
          <w:lang w:val="en-US" w:eastAsia="zh-CN"/>
        </w:rPr>
        <w:t>补偿和移民</w:t>
      </w:r>
      <w:r>
        <w:rPr>
          <w:rFonts w:hint="eastAsia" w:ascii="方正小标宋_GBK" w:hAnsi="方正小标宋_GBK" w:eastAsia="方正小标宋_GBK" w:cs="方正小标宋_GBK"/>
          <w:bCs/>
          <w:color w:val="auto"/>
          <w:sz w:val="44"/>
          <w:szCs w:val="44"/>
        </w:rPr>
        <w:t>安置方案</w:t>
      </w:r>
    </w:p>
    <w:p>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eastAsia="方正仿宋_GBK"/>
          <w:bCs/>
          <w:color w:val="auto"/>
          <w:sz w:val="32"/>
          <w:szCs w:val="32"/>
        </w:rPr>
      </w:pPr>
    </w:p>
    <w:p>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为</w:t>
      </w:r>
      <w:r>
        <w:rPr>
          <w:rFonts w:hint="default" w:ascii="Times New Roman" w:hAnsi="Times New Roman" w:eastAsia="方正仿宋_GBK" w:cs="Times New Roman"/>
          <w:color w:val="auto"/>
          <w:sz w:val="32"/>
          <w:szCs w:val="32"/>
        </w:rPr>
        <w:t>实施</w:t>
      </w:r>
      <w:r>
        <w:rPr>
          <w:rFonts w:hint="default" w:ascii="Times New Roman" w:hAnsi="Times New Roman" w:eastAsia="方正仿宋_GBK" w:cs="Times New Roman"/>
          <w:color w:val="auto"/>
          <w:sz w:val="32"/>
          <w:szCs w:val="32"/>
          <w:lang w:val="en-US" w:eastAsia="zh-CN"/>
        </w:rPr>
        <w:t>重庆市藻渡水库</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重庆段綦江境</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建设</w:t>
      </w:r>
      <w:r>
        <w:rPr>
          <w:rFonts w:hint="default" w:ascii="Times New Roman" w:hAnsi="Times New Roman" w:eastAsia="方正仿宋_GBK" w:cs="Times New Roman"/>
          <w:bCs/>
          <w:color w:val="auto"/>
          <w:sz w:val="32"/>
          <w:szCs w:val="32"/>
        </w:rPr>
        <w:t>需要，重庆市綦江区人民政府</w:t>
      </w:r>
      <w:r>
        <w:rPr>
          <w:rFonts w:hint="default" w:ascii="Times New Roman" w:hAnsi="Times New Roman" w:eastAsia="方正仿宋_GBK" w:cs="Times New Roman"/>
          <w:color w:val="auto"/>
          <w:sz w:val="32"/>
          <w:szCs w:val="32"/>
        </w:rPr>
        <w:t>拟征收</w:t>
      </w:r>
      <w:r>
        <w:rPr>
          <w:rFonts w:hint="default" w:ascii="Times New Roman" w:hAnsi="Times New Roman" w:eastAsia="方正仿宋_GBK" w:cs="Times New Roman"/>
          <w:color w:val="auto"/>
          <w:sz w:val="32"/>
          <w:szCs w:val="32"/>
          <w:lang w:val="en-US" w:eastAsia="zh-CN"/>
        </w:rPr>
        <w:t>赶水镇马龙村2个组</w:t>
      </w:r>
      <w:r>
        <w:rPr>
          <w:rFonts w:hint="default" w:ascii="Times New Roman" w:hAnsi="Times New Roman" w:eastAsia="方正仿宋_GBK" w:cs="Times New Roman"/>
          <w:color w:val="auto"/>
          <w:sz w:val="32"/>
          <w:szCs w:val="32"/>
        </w:rPr>
        <w:t>集体土地。</w:t>
      </w:r>
      <w:r>
        <w:rPr>
          <w:rFonts w:hint="default" w:ascii="Times New Roman" w:hAnsi="Times New Roman" w:eastAsia="方正仿宋_GBK" w:cs="Times New Roman"/>
          <w:bCs/>
          <w:color w:val="auto"/>
          <w:sz w:val="32"/>
          <w:szCs w:val="32"/>
        </w:rPr>
        <w:t>根据</w:t>
      </w:r>
      <w:r>
        <w:rPr>
          <w:rFonts w:hint="default" w:ascii="Times New Roman" w:hAnsi="Times New Roman" w:eastAsia="方正仿宋_GBK" w:cs="Times New Roman"/>
          <w:i w:val="0"/>
          <w:iCs w:val="0"/>
          <w:caps w:val="0"/>
          <w:color w:val="auto"/>
          <w:spacing w:val="0"/>
          <w:sz w:val="32"/>
          <w:szCs w:val="32"/>
          <w:shd w:val="clear" w:fill="FFFFFF"/>
        </w:rPr>
        <w:t>《国务院关于修改〈大中型水利水电工程建设征地补偿和移民安置条例〉的决定》</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国务</w:t>
      </w:r>
      <w:r>
        <w:rPr>
          <w:rFonts w:hint="eastAsia" w:eastAsia="方正仿宋_GBK" w:cs="Times New Roman"/>
          <w:i w:val="0"/>
          <w:iCs w:val="0"/>
          <w:caps w:val="0"/>
          <w:color w:val="auto"/>
          <w:spacing w:val="0"/>
          <w:sz w:val="32"/>
          <w:szCs w:val="32"/>
          <w:shd w:val="clear" w:fill="FFFFFF"/>
          <w:lang w:val="en-US" w:eastAsia="zh-CN"/>
        </w:rPr>
        <w:t>院</w:t>
      </w:r>
      <w:r>
        <w:rPr>
          <w:rFonts w:hint="default" w:ascii="Times New Roman" w:hAnsi="Times New Roman" w:eastAsia="方正仿宋_GBK" w:cs="Times New Roman"/>
          <w:i w:val="0"/>
          <w:iCs w:val="0"/>
          <w:caps w:val="0"/>
          <w:color w:val="auto"/>
          <w:spacing w:val="0"/>
          <w:sz w:val="32"/>
          <w:szCs w:val="32"/>
          <w:shd w:val="clear" w:fill="FFFFFF"/>
          <w:lang w:val="en-US" w:eastAsia="zh-CN"/>
        </w:rPr>
        <w:t>令</w:t>
      </w:r>
      <w:r>
        <w:rPr>
          <w:rFonts w:hint="eastAsia" w:eastAsia="方正仿宋_GBK" w:cs="Times New Roman"/>
          <w:i w:val="0"/>
          <w:iCs w:val="0"/>
          <w:caps w:val="0"/>
          <w:color w:val="auto"/>
          <w:spacing w:val="0"/>
          <w:sz w:val="32"/>
          <w:szCs w:val="32"/>
          <w:shd w:val="clear" w:fill="FFFFFF"/>
          <w:lang w:val="en-US" w:eastAsia="zh-CN"/>
        </w:rPr>
        <w:t>第</w:t>
      </w:r>
      <w:r>
        <w:rPr>
          <w:rFonts w:hint="default" w:ascii="Times New Roman" w:hAnsi="Times New Roman" w:eastAsia="方正仿宋_GBK" w:cs="Times New Roman"/>
          <w:i w:val="0"/>
          <w:iCs w:val="0"/>
          <w:caps w:val="0"/>
          <w:color w:val="auto"/>
          <w:spacing w:val="0"/>
          <w:sz w:val="32"/>
          <w:szCs w:val="32"/>
          <w:shd w:val="clear" w:fill="FFFFFF"/>
          <w:lang w:val="en-US" w:eastAsia="zh-CN"/>
        </w:rPr>
        <w:t>679号</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lang w:val="en-US" w:eastAsia="zh-CN"/>
        </w:rPr>
        <w:t>重庆市土地管理条例</w:t>
      </w:r>
      <w:r>
        <w:rPr>
          <w:rFonts w:hint="default"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bCs/>
          <w:color w:val="auto"/>
          <w:sz w:val="32"/>
          <w:szCs w:val="32"/>
        </w:rPr>
        <w:t>《重庆市集体土地征收补偿安置办法》（重庆市人民政府令第344号）、《重庆市人民政府关于公布征地补偿安置标准有关事项的通知》（渝府发〔2021〕14号）</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lang w:val="en-US" w:eastAsia="zh-CN"/>
        </w:rPr>
        <w:t>重庆市规划和自然资源局关于重新公布征地区片综合地价的通知</w:t>
      </w:r>
      <w:r>
        <w:rPr>
          <w:rFonts w:hint="default" w:ascii="Times New Roman" w:hAnsi="Times New Roman" w:eastAsia="方正仿宋_GBK" w:cs="Times New Roman"/>
          <w:bCs/>
          <w:color w:val="auto"/>
          <w:sz w:val="32"/>
          <w:szCs w:val="32"/>
          <w:lang w:eastAsia="zh-CN"/>
        </w:rPr>
        <w:t>》</w:t>
      </w:r>
      <w:r>
        <w:rPr>
          <w:rFonts w:hint="eastAsia"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lang w:val="en-US" w:eastAsia="zh-CN"/>
        </w:rPr>
        <w:t>渝规资规范〔2021〕10号</w:t>
      </w:r>
      <w:r>
        <w:rPr>
          <w:rFonts w:hint="eastAsia"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和《重庆市綦江区人民政府关于印发重庆市綦江区集体土地征收补偿安置实施办法的通知》（綦江府发〔2021〕13号）等有关法律法规规定，结合我区实际，拟定征地补偿安置方案如下：</w:t>
      </w:r>
    </w:p>
    <w:p>
      <w:pPr>
        <w:keepNext w:val="0"/>
        <w:keepLines w:val="0"/>
        <w:pageBreakBefore w:val="0"/>
        <w:kinsoku/>
        <w:wordWrap/>
        <w:overflowPunct/>
        <w:topLinePunct w:val="0"/>
        <w:bidi w:val="0"/>
        <w:adjustRightInd w:val="0"/>
        <w:snapToGrid w:val="0"/>
        <w:spacing w:line="576" w:lineRule="exact"/>
        <w:ind w:firstLine="640" w:firstLineChars="200"/>
        <w:jc w:val="both"/>
        <w:textAlignment w:val="auto"/>
        <w:outlineLvl w:val="0"/>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一、征收范围及土地现状</w:t>
      </w:r>
    </w:p>
    <w:p>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color w:val="auto"/>
          <w:sz w:val="32"/>
          <w:szCs w:val="32"/>
        </w:rPr>
        <w:t>拟征收</w:t>
      </w:r>
      <w:r>
        <w:rPr>
          <w:rFonts w:hint="default" w:ascii="Times New Roman" w:hAnsi="Times New Roman" w:eastAsia="方正仿宋_GBK" w:cs="Times New Roman"/>
          <w:color w:val="auto"/>
          <w:sz w:val="32"/>
          <w:szCs w:val="32"/>
          <w:lang w:val="en-US" w:eastAsia="zh-CN"/>
        </w:rPr>
        <w:t>赶水镇马龙村1个镇1个村2个组</w:t>
      </w:r>
      <w:r>
        <w:rPr>
          <w:rFonts w:hint="default" w:ascii="Times New Roman" w:hAnsi="Times New Roman" w:eastAsia="方正仿宋_GBK" w:cs="Times New Roman"/>
          <w:color w:val="auto"/>
          <w:sz w:val="32"/>
          <w:szCs w:val="32"/>
        </w:rPr>
        <w:t>集体土地</w:t>
      </w:r>
      <w:r>
        <w:rPr>
          <w:rFonts w:hint="default" w:ascii="Times New Roman" w:hAnsi="Times New Roman" w:eastAsia="方正仿宋_GBK" w:cs="Times New Roman"/>
          <w:color w:val="auto"/>
          <w:sz w:val="32"/>
          <w:szCs w:val="32"/>
          <w:lang w:val="en-US" w:eastAsia="zh-CN"/>
        </w:rPr>
        <w:t>8.993</w:t>
      </w:r>
      <w:r>
        <w:rPr>
          <w:rFonts w:hint="default" w:ascii="Times New Roman" w:hAnsi="Times New Roman" w:eastAsia="方正仿宋_GBK" w:cs="Times New Roman"/>
          <w:color w:val="auto"/>
          <w:sz w:val="32"/>
          <w:szCs w:val="32"/>
        </w:rPr>
        <w:t>公顷</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Cs/>
          <w:color w:val="auto"/>
          <w:sz w:val="32"/>
          <w:szCs w:val="32"/>
        </w:rPr>
        <w:t xml:space="preserve">拟征收土地的权属、地类、面积详见土地分类面积情况表（附件1）。 </w:t>
      </w:r>
    </w:p>
    <w:p>
      <w:pPr>
        <w:keepNext w:val="0"/>
        <w:keepLines w:val="0"/>
        <w:pageBreakBefore w:val="0"/>
        <w:kinsoku/>
        <w:wordWrap/>
        <w:overflowPunct/>
        <w:topLinePunct w:val="0"/>
        <w:bidi w:val="0"/>
        <w:adjustRightInd w:val="0"/>
        <w:snapToGrid w:val="0"/>
        <w:spacing w:line="576" w:lineRule="exact"/>
        <w:ind w:firstLine="640" w:firstLineChars="200"/>
        <w:jc w:val="both"/>
        <w:textAlignment w:val="auto"/>
        <w:outlineLvl w:val="0"/>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二、征收目的</w:t>
      </w:r>
    </w:p>
    <w:p>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土地征收后，拟用于</w:t>
      </w:r>
      <w:r>
        <w:rPr>
          <w:rFonts w:hint="default" w:ascii="Times New Roman" w:hAnsi="Times New Roman" w:eastAsia="方正仿宋_GBK" w:cs="Times New Roman"/>
          <w:color w:val="auto"/>
          <w:sz w:val="32"/>
          <w:szCs w:val="32"/>
          <w:lang w:val="en-US" w:eastAsia="zh-CN"/>
        </w:rPr>
        <w:t>重庆市藻渡水库（重庆段綦江境）项目建设</w:t>
      </w:r>
      <w:r>
        <w:rPr>
          <w:rFonts w:hint="default" w:ascii="Times New Roman" w:hAnsi="Times New Roman" w:eastAsia="方正仿宋_GBK" w:cs="Times New Roman"/>
          <w:color w:val="auto"/>
          <w:sz w:val="32"/>
          <w:szCs w:val="32"/>
        </w:rPr>
        <w:t>。</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outlineLvl w:val="0"/>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三、补偿方式和标准</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rPr>
          <w:rFonts w:hint="default" w:ascii="Times New Roman" w:hAnsi="Times New Roman" w:eastAsia="方正楷体_GBK" w:cs="Times New Roman"/>
          <w:bCs/>
          <w:color w:val="auto"/>
          <w:sz w:val="32"/>
          <w:szCs w:val="32"/>
          <w:lang w:val="en-US" w:eastAsia="zh-CN"/>
        </w:rPr>
      </w:pPr>
      <w:r>
        <w:rPr>
          <w:rFonts w:hint="default" w:ascii="Times New Roman" w:hAnsi="Times New Roman" w:eastAsia="方正楷体_GBK" w:cs="Times New Roman"/>
          <w:bCs/>
          <w:color w:val="auto"/>
          <w:sz w:val="32"/>
          <w:szCs w:val="32"/>
          <w:lang w:eastAsia="zh-CN"/>
        </w:rPr>
        <w:t>（</w:t>
      </w:r>
      <w:r>
        <w:rPr>
          <w:rFonts w:hint="default" w:ascii="Times New Roman" w:hAnsi="Times New Roman" w:eastAsia="方正楷体_GBK" w:cs="Times New Roman"/>
          <w:bCs/>
          <w:color w:val="auto"/>
          <w:sz w:val="32"/>
          <w:szCs w:val="32"/>
          <w:lang w:val="en-US" w:eastAsia="zh-CN"/>
        </w:rPr>
        <w:t>一</w:t>
      </w:r>
      <w:r>
        <w:rPr>
          <w:rFonts w:hint="default" w:ascii="Times New Roman" w:hAnsi="Times New Roman" w:eastAsia="方正楷体_GBK" w:cs="Times New Roman"/>
          <w:bCs/>
          <w:color w:val="auto"/>
          <w:sz w:val="32"/>
          <w:szCs w:val="32"/>
          <w:lang w:eastAsia="zh-CN"/>
        </w:rPr>
        <w:t>）</w:t>
      </w:r>
      <w:r>
        <w:rPr>
          <w:rFonts w:hint="default" w:ascii="Times New Roman" w:hAnsi="Times New Roman" w:eastAsia="方正楷体_GBK" w:cs="Times New Roman"/>
          <w:bCs/>
          <w:color w:val="auto"/>
          <w:sz w:val="32"/>
          <w:szCs w:val="32"/>
          <w:lang w:val="en-US" w:eastAsia="zh-CN"/>
        </w:rPr>
        <w:t>征地安置补偿标准</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color w:val="auto"/>
          <w:kern w:val="0"/>
          <w:sz w:val="32"/>
          <w:szCs w:val="32"/>
          <w:lang w:val="en-US" w:eastAsia="zh-CN"/>
        </w:rPr>
        <w:t>1</w:t>
      </w:r>
      <w:r>
        <w:rPr>
          <w:rFonts w:hint="eastAsia" w:eastAsia="方正仿宋_GBK" w:cs="Times New Roman"/>
          <w:color w:val="auto"/>
          <w:kern w:val="0"/>
          <w:sz w:val="32"/>
          <w:szCs w:val="32"/>
          <w:lang w:val="en-US" w:eastAsia="zh-CN"/>
        </w:rPr>
        <w:t>．</w:t>
      </w:r>
      <w:r>
        <w:rPr>
          <w:rFonts w:hint="default" w:ascii="Times New Roman" w:hAnsi="Times New Roman" w:eastAsia="方正仿宋_GBK" w:cs="Times New Roman"/>
          <w:bCs/>
          <w:color w:val="auto"/>
          <w:sz w:val="32"/>
          <w:szCs w:val="32"/>
        </w:rPr>
        <w:t>土地补偿费和安置补助费</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征收农用地、建设用地和未利用地的土地补偿费和安置补助费，不分地类，按照市政府制定公布的区片综合地价标准乘以被征收土地面积计算。区片综合地价中，土地补偿费占30%，安置补助费占70%。</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eastAsia" w:eastAsia="方正仿宋_GBK" w:cs="Times New Roman"/>
          <w:color w:val="auto"/>
          <w:kern w:val="0"/>
          <w:sz w:val="32"/>
          <w:szCs w:val="32"/>
          <w:lang w:eastAsia="zh-CN"/>
        </w:rPr>
        <w:t>（</w:t>
      </w:r>
      <w:r>
        <w:rPr>
          <w:rFonts w:hint="eastAsia" w:eastAsia="方正仿宋_GBK" w:cs="Times New Roman"/>
          <w:color w:val="auto"/>
          <w:kern w:val="0"/>
          <w:sz w:val="32"/>
          <w:szCs w:val="32"/>
          <w:lang w:val="en-US" w:eastAsia="zh-CN"/>
        </w:rPr>
        <w:t>1</w:t>
      </w:r>
      <w:r>
        <w:rPr>
          <w:rFonts w:hint="eastAsia"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土地补偿费</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土地补偿费由</w:t>
      </w:r>
      <w:r>
        <w:rPr>
          <w:rFonts w:hint="default" w:ascii="Times New Roman" w:hAnsi="Times New Roman" w:eastAsia="方正仿宋_GBK" w:cs="Times New Roman"/>
          <w:color w:val="auto"/>
          <w:sz w:val="32"/>
          <w:szCs w:val="32"/>
        </w:rPr>
        <w:t>区</w:t>
      </w:r>
      <w:r>
        <w:rPr>
          <w:rFonts w:hint="default" w:ascii="Times New Roman" w:hAnsi="Times New Roman" w:eastAsia="方正仿宋_GBK" w:cs="Times New Roman"/>
          <w:color w:val="auto"/>
          <w:sz w:val="32"/>
          <w:szCs w:val="32"/>
          <w:lang w:eastAsia="zh-CN"/>
        </w:rPr>
        <w:t>水利局</w:t>
      </w:r>
      <w:r>
        <w:rPr>
          <w:rFonts w:hint="default" w:ascii="Times New Roman" w:hAnsi="Times New Roman" w:eastAsia="方正仿宋_GBK" w:cs="Times New Roman"/>
          <w:color w:val="auto"/>
          <w:sz w:val="32"/>
          <w:szCs w:val="32"/>
        </w:rPr>
        <w:t>委托</w:t>
      </w:r>
      <w:r>
        <w:rPr>
          <w:rFonts w:hint="default" w:ascii="Times New Roman" w:hAnsi="Times New Roman" w:eastAsia="方正仿宋_GBK" w:cs="Times New Roman"/>
          <w:color w:val="auto"/>
          <w:sz w:val="32"/>
          <w:szCs w:val="32"/>
          <w:lang w:val="en-US" w:eastAsia="zh-CN"/>
        </w:rPr>
        <w:t>赶水镇</w:t>
      </w:r>
      <w:r>
        <w:rPr>
          <w:rFonts w:hint="eastAsia" w:eastAsia="方正仿宋_GBK" w:cs="Times New Roman"/>
          <w:color w:val="auto"/>
          <w:sz w:val="32"/>
          <w:szCs w:val="32"/>
          <w:lang w:val="en-US" w:eastAsia="zh-CN"/>
        </w:rPr>
        <w:t>人民</w:t>
      </w:r>
      <w:r>
        <w:rPr>
          <w:rFonts w:hint="default" w:ascii="Times New Roman" w:hAnsi="Times New Roman" w:eastAsia="方正仿宋_GBK" w:cs="Times New Roman"/>
          <w:color w:val="auto"/>
          <w:sz w:val="32"/>
          <w:szCs w:val="32"/>
          <w:lang w:val="en-US" w:eastAsia="zh-CN"/>
        </w:rPr>
        <w:t>政府</w:t>
      </w:r>
      <w:r>
        <w:rPr>
          <w:rFonts w:hint="default" w:ascii="Times New Roman" w:hAnsi="Times New Roman" w:eastAsia="方正仿宋_GBK" w:cs="Times New Roman"/>
          <w:color w:val="auto"/>
          <w:kern w:val="0"/>
          <w:sz w:val="32"/>
          <w:szCs w:val="32"/>
        </w:rPr>
        <w:t>支付给被征地农村集体经济组织。其中，征收家庭承包土地的，土地补偿费的80%由农村集体经济组织按照被征收土地面积发放给承包经营户，土地补偿费的20%由农村集体经济组织依法管理和使用；征收未发包土地或者其他方式承包土地的，土地补偿费由农村集体经济组织依法管理和使用。</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rPr>
          <w:rFonts w:hint="default" w:ascii="Times New Roman" w:hAnsi="Times New Roman" w:cs="Times New Roman"/>
          <w:color w:val="auto"/>
        </w:rPr>
      </w:pP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安置补助费</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sz w:val="32"/>
          <w:szCs w:val="32"/>
        </w:rPr>
        <w:t>安置补助费由区</w:t>
      </w:r>
      <w:r>
        <w:rPr>
          <w:rFonts w:hint="default" w:ascii="Times New Roman" w:hAnsi="Times New Roman" w:eastAsia="方正仿宋_GBK" w:cs="Times New Roman"/>
          <w:color w:val="auto"/>
          <w:sz w:val="32"/>
          <w:szCs w:val="32"/>
          <w:lang w:eastAsia="zh-CN"/>
        </w:rPr>
        <w:t>水利局</w:t>
      </w:r>
      <w:r>
        <w:rPr>
          <w:rFonts w:hint="default" w:ascii="Times New Roman" w:hAnsi="Times New Roman" w:eastAsia="方正仿宋_GBK" w:cs="Times New Roman"/>
          <w:color w:val="auto"/>
          <w:sz w:val="32"/>
          <w:szCs w:val="32"/>
        </w:rPr>
        <w:t>委托</w:t>
      </w:r>
      <w:r>
        <w:rPr>
          <w:rFonts w:hint="default" w:ascii="Times New Roman" w:hAnsi="Times New Roman" w:eastAsia="方正仿宋_GBK" w:cs="Times New Roman"/>
          <w:color w:val="auto"/>
          <w:sz w:val="32"/>
          <w:szCs w:val="32"/>
          <w:lang w:val="en-US" w:eastAsia="zh-CN"/>
        </w:rPr>
        <w:t>赶水镇</w:t>
      </w:r>
      <w:r>
        <w:rPr>
          <w:rFonts w:hint="eastAsia" w:eastAsia="方正仿宋_GBK" w:cs="Times New Roman"/>
          <w:color w:val="auto"/>
          <w:sz w:val="32"/>
          <w:szCs w:val="32"/>
          <w:lang w:val="en-US" w:eastAsia="zh-CN"/>
        </w:rPr>
        <w:t>人民</w:t>
      </w:r>
      <w:r>
        <w:rPr>
          <w:rFonts w:hint="default" w:ascii="Times New Roman" w:hAnsi="Times New Roman" w:eastAsia="方正仿宋_GBK" w:cs="Times New Roman"/>
          <w:color w:val="auto"/>
          <w:sz w:val="32"/>
          <w:szCs w:val="32"/>
          <w:lang w:val="en-US" w:eastAsia="zh-CN"/>
        </w:rPr>
        <w:t>政府</w:t>
      </w:r>
      <w:r>
        <w:rPr>
          <w:rFonts w:hint="default" w:ascii="Times New Roman" w:hAnsi="Times New Roman" w:eastAsia="方正仿宋_GBK" w:cs="Times New Roman"/>
          <w:color w:val="auto"/>
          <w:sz w:val="32"/>
          <w:szCs w:val="32"/>
        </w:rPr>
        <w:t>发放给人员安置对象，每个人员安置对象的安置补助费发放标准为36000元。安置补助费支付后有结余的，结余部分由农村集体经济组织依法管理和使用。</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rPr>
        <w:t>2</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bCs/>
          <w:color w:val="auto"/>
          <w:sz w:val="32"/>
          <w:szCs w:val="32"/>
        </w:rPr>
        <w:t>其他地上附着物和青苗补偿费</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color w:val="auto"/>
          <w:sz w:val="32"/>
          <w:szCs w:val="32"/>
        </w:rPr>
        <w:t>其他地上附着物是指除房屋外的建筑物、构筑物以及林木和其他经济作物等，青苗是指土地上生长的农作物。</w:t>
      </w:r>
    </w:p>
    <w:p>
      <w:pPr>
        <w:keepNext w:val="0"/>
        <w:keepLines w:val="0"/>
        <w:pageBreakBefore w:val="0"/>
        <w:kinsoku/>
        <w:wordWrap/>
        <w:overflowPunct/>
        <w:topLinePunct w:val="0"/>
        <w:autoSpaceDE w:val="0"/>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征收其他地上附着物和青苗实行综合定额补偿，按被征收土地总面积扣除林地后的面积计算，每亩定额补偿16000元。</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征收林地的林木及附着物的补偿标准，实行综合定额补偿，每亩定额补偿16000元，其中，林木补偿按照《</w:t>
      </w:r>
      <w:r>
        <w:rPr>
          <w:rFonts w:hint="default" w:ascii="Times New Roman" w:hAnsi="Times New Roman" w:eastAsia="方正仿宋_GBK" w:cs="Times New Roman"/>
          <w:color w:val="auto"/>
          <w:sz w:val="32"/>
          <w:szCs w:val="32"/>
          <w:lang w:val="en-US" w:eastAsia="zh-CN"/>
        </w:rPr>
        <w:t>重庆市綦江区人民政府关于印发重庆市綦江区集体土地征收补偿安置实施办法的通知</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綦江府发〔2021〕1</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附件3的标准进行补偿；或者按照国家和本市征收林地的有关规定执行。</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上述费用</w:t>
      </w:r>
      <w:r>
        <w:rPr>
          <w:rFonts w:hint="default" w:ascii="Times New Roman" w:hAnsi="Times New Roman" w:eastAsia="方正仿宋_GBK" w:cs="Times New Roman"/>
          <w:color w:val="auto"/>
          <w:sz w:val="32"/>
          <w:szCs w:val="32"/>
        </w:rPr>
        <w:t>由区</w:t>
      </w:r>
      <w:r>
        <w:rPr>
          <w:rFonts w:hint="default" w:ascii="Times New Roman" w:hAnsi="Times New Roman" w:eastAsia="方正仿宋_GBK" w:cs="Times New Roman"/>
          <w:color w:val="auto"/>
          <w:sz w:val="32"/>
          <w:szCs w:val="32"/>
          <w:lang w:eastAsia="zh-CN"/>
        </w:rPr>
        <w:t>水利局</w:t>
      </w:r>
      <w:r>
        <w:rPr>
          <w:rFonts w:hint="default" w:ascii="Times New Roman" w:hAnsi="Times New Roman" w:eastAsia="方正仿宋_GBK" w:cs="Times New Roman"/>
          <w:color w:val="auto"/>
          <w:sz w:val="32"/>
          <w:szCs w:val="32"/>
        </w:rPr>
        <w:t>委托</w:t>
      </w:r>
      <w:r>
        <w:rPr>
          <w:rFonts w:hint="default" w:ascii="Times New Roman" w:hAnsi="Times New Roman" w:eastAsia="方正仿宋_GBK" w:cs="Times New Roman"/>
          <w:color w:val="auto"/>
          <w:sz w:val="32"/>
          <w:szCs w:val="32"/>
          <w:lang w:val="en-US" w:eastAsia="zh-CN"/>
        </w:rPr>
        <w:t>赶水镇</w:t>
      </w:r>
      <w:r>
        <w:rPr>
          <w:rFonts w:hint="eastAsia" w:eastAsia="方正仿宋_GBK" w:cs="Times New Roman"/>
          <w:color w:val="auto"/>
          <w:sz w:val="32"/>
          <w:szCs w:val="32"/>
          <w:lang w:val="en-US" w:eastAsia="zh-CN"/>
        </w:rPr>
        <w:t>人民</w:t>
      </w:r>
      <w:r>
        <w:rPr>
          <w:rFonts w:hint="default" w:ascii="Times New Roman" w:hAnsi="Times New Roman" w:eastAsia="方正仿宋_GBK" w:cs="Times New Roman"/>
          <w:color w:val="auto"/>
          <w:sz w:val="32"/>
          <w:szCs w:val="32"/>
          <w:lang w:val="en-US" w:eastAsia="zh-CN"/>
        </w:rPr>
        <w:t>政府</w:t>
      </w:r>
      <w:r>
        <w:rPr>
          <w:rFonts w:hint="default" w:ascii="Times New Roman" w:hAnsi="Times New Roman" w:eastAsia="方正仿宋_GBK" w:cs="Times New Roman"/>
          <w:color w:val="auto"/>
          <w:kern w:val="0"/>
          <w:sz w:val="32"/>
          <w:szCs w:val="32"/>
        </w:rPr>
        <w:t>支付给被征收集体经济组织，由被征收集体经济组织按照</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重庆市綦江区人民政府关于印发重庆市綦江区集体土地征收补偿安置实施办法的通知</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綦江府发〔2021〕1</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kern w:val="0"/>
          <w:sz w:val="32"/>
          <w:szCs w:val="32"/>
        </w:rPr>
        <w:t>附件2</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3、4、5规定标准补偿给其所有权人。</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3</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bCs/>
          <w:color w:val="auto"/>
          <w:sz w:val="32"/>
          <w:szCs w:val="32"/>
          <w:lang w:eastAsia="zh-CN"/>
        </w:rPr>
        <w:t>农村房屋的补偿。</w:t>
      </w:r>
      <w:r>
        <w:rPr>
          <w:rFonts w:hint="default" w:ascii="Times New Roman" w:hAnsi="Times New Roman" w:eastAsia="方正仿宋_GBK" w:cs="Times New Roman"/>
          <w:color w:val="auto"/>
          <w:kern w:val="0"/>
          <w:sz w:val="32"/>
          <w:szCs w:val="32"/>
        </w:rPr>
        <w:t>农村房屋以不动产权属证书记载的合法建筑面积为准，按照</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重庆市綦江区人民政府关于印发重庆市綦江区集体土地征收补偿安置实施办法的通知</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綦江府发〔2021〕1</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kern w:val="0"/>
          <w:sz w:val="32"/>
          <w:szCs w:val="32"/>
        </w:rPr>
        <w:t>附件2</w:t>
      </w:r>
      <w:r>
        <w:rPr>
          <w:rFonts w:hint="default" w:ascii="Times New Roman" w:hAnsi="Times New Roman" w:eastAsia="方正仿宋_GBK" w:cs="Times New Roman"/>
          <w:color w:val="auto"/>
          <w:kern w:val="0"/>
          <w:sz w:val="32"/>
          <w:szCs w:val="32"/>
          <w:lang w:eastAsia="zh-CN"/>
        </w:rPr>
        <w:t>的</w:t>
      </w:r>
      <w:r>
        <w:rPr>
          <w:rFonts w:hint="default" w:ascii="Times New Roman" w:hAnsi="Times New Roman" w:eastAsia="方正仿宋_GBK" w:cs="Times New Roman"/>
          <w:color w:val="auto"/>
          <w:kern w:val="0"/>
          <w:sz w:val="32"/>
          <w:szCs w:val="32"/>
        </w:rPr>
        <w:t>重置价格标准补偿。</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对未取得不动产权属证书的房屋，由区规划自然资源部门会同农业农村、住房城乡建设等有关部门和镇人民政府（街道办事处）依法进行认定。</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农村住房改作其他用途的，按照住房补偿。</w:t>
      </w:r>
    </w:p>
    <w:p>
      <w:pPr>
        <w:pStyle w:val="2"/>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rPr>
        <w:t>不能认定合法</w:t>
      </w:r>
      <w:r>
        <w:rPr>
          <w:rFonts w:hint="default" w:ascii="Times New Roman" w:hAnsi="Times New Roman" w:eastAsia="方正仿宋_GBK" w:cs="Times New Roman"/>
          <w:color w:val="auto"/>
          <w:spacing w:val="-6"/>
          <w:kern w:val="2"/>
          <w:sz w:val="32"/>
          <w:szCs w:val="32"/>
        </w:rPr>
        <w:t>产权的房屋，在本方案规定时间内签订建设征地补偿和移民安置协议的，可以给予适当补偿。按钢</w:t>
      </w:r>
      <w:r>
        <w:rPr>
          <w:rFonts w:hint="default" w:ascii="Times New Roman" w:hAnsi="Times New Roman" w:eastAsia="方正仿宋_GBK" w:cs="Times New Roman"/>
          <w:color w:val="auto"/>
          <w:kern w:val="2"/>
          <w:sz w:val="32"/>
          <w:szCs w:val="32"/>
        </w:rPr>
        <w:t>砼400元/㎡，砖</w:t>
      </w:r>
      <w:r>
        <w:rPr>
          <w:rFonts w:hint="default" w:ascii="Times New Roman" w:hAnsi="Times New Roman" w:eastAsia="方正仿宋_GBK" w:cs="Times New Roman"/>
          <w:color w:val="auto"/>
          <w:spacing w:val="-11"/>
          <w:kern w:val="2"/>
          <w:sz w:val="32"/>
          <w:szCs w:val="32"/>
        </w:rPr>
        <w:t>混结构285元/㎡，砖木结构、板房、全部砖墙体彩钢棚245元/㎡，土墙、干打</w:t>
      </w:r>
      <w:r>
        <w:rPr>
          <w:rFonts w:hint="default" w:ascii="Times New Roman" w:hAnsi="Times New Roman" w:eastAsia="方正仿宋_GBK" w:cs="Times New Roman"/>
          <w:color w:val="auto"/>
          <w:spacing w:val="-6"/>
          <w:kern w:val="2"/>
          <w:sz w:val="32"/>
          <w:szCs w:val="32"/>
        </w:rPr>
        <w:t>垒</w:t>
      </w:r>
      <w:r>
        <w:rPr>
          <w:rFonts w:hint="default" w:ascii="Times New Roman" w:hAnsi="Times New Roman" w:eastAsia="方正仿宋_GBK" w:cs="Times New Roman"/>
          <w:color w:val="auto"/>
          <w:kern w:val="2"/>
          <w:sz w:val="32"/>
          <w:szCs w:val="32"/>
        </w:rPr>
        <w:t>、穿逗210元/㎡，简易结构45</w:t>
      </w:r>
      <w:r>
        <w:rPr>
          <w:rFonts w:hint="eastAsia"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105元/㎡标准执行。不能认定合法产权的房屋，未在规定时间内签订协议和按约定时间未腾空交付的，不予补偿。违反</w:t>
      </w:r>
      <w:r>
        <w:rPr>
          <w:rFonts w:hint="eastAsia"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一户一宅</w:t>
      </w:r>
      <w:r>
        <w:rPr>
          <w:rFonts w:hint="eastAsia"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rPr>
        <w:t>规定不合法拥有两处及以上的不合法产权房屋、明确为建新应拆旧的房屋、已依法明确为违法建筑并限期拆除的房屋等不予补偿。</w:t>
      </w:r>
    </w:p>
    <w:p>
      <w:pPr>
        <w:pStyle w:val="2"/>
        <w:keepNext w:val="0"/>
        <w:keepLines w:val="0"/>
        <w:pageBreakBefore w:val="0"/>
        <w:kinsoku/>
        <w:wordWrap/>
        <w:overflowPunct/>
        <w:topLinePunct w:val="0"/>
        <w:bidi w:val="0"/>
        <w:spacing w:line="576" w:lineRule="exact"/>
        <w:ind w:left="0"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4</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bCs/>
          <w:color w:val="auto"/>
          <w:sz w:val="32"/>
          <w:szCs w:val="32"/>
          <w:lang w:eastAsia="zh-CN"/>
        </w:rPr>
        <w:t>被搬迁住房的装饰物补助。</w:t>
      </w:r>
      <w:r>
        <w:rPr>
          <w:rFonts w:hint="default" w:ascii="Times New Roman" w:hAnsi="Times New Roman" w:eastAsia="方正仿宋_GBK" w:cs="Times New Roman"/>
          <w:color w:val="auto"/>
          <w:kern w:val="0"/>
          <w:sz w:val="32"/>
          <w:szCs w:val="32"/>
        </w:rPr>
        <w:t>被搬迁房屋的装饰物由所有权人自行拆除</w:t>
      </w:r>
      <w:r>
        <w:rPr>
          <w:rFonts w:hint="eastAsia"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不能自行拆除的，给予适当补助，其补助标准见</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重庆市綦江区人民政府关于印发重庆市綦江区集体土地征收补偿安置实施办法的通知</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綦江府发〔2021〕1</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kern w:val="0"/>
          <w:sz w:val="32"/>
          <w:szCs w:val="32"/>
        </w:rPr>
        <w:t>附件8。</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kern w:val="0"/>
          <w:sz w:val="32"/>
          <w:szCs w:val="32"/>
          <w:lang w:val="en-US" w:eastAsia="zh-CN"/>
        </w:rPr>
        <w:t>5</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bCs/>
          <w:color w:val="auto"/>
          <w:sz w:val="32"/>
          <w:szCs w:val="32"/>
          <w:lang w:eastAsia="zh-CN"/>
        </w:rPr>
        <w:t>被搬迁房屋</w:t>
      </w:r>
      <w:r>
        <w:rPr>
          <w:rFonts w:hint="default" w:ascii="Times New Roman" w:hAnsi="Times New Roman" w:eastAsia="方正仿宋_GBK" w:cs="Times New Roman"/>
          <w:bCs/>
          <w:color w:val="auto"/>
          <w:sz w:val="32"/>
          <w:szCs w:val="32"/>
          <w:lang w:val="en-US" w:eastAsia="zh-CN"/>
        </w:rPr>
        <w:t>残值和</w:t>
      </w:r>
      <w:r>
        <w:rPr>
          <w:rFonts w:hint="default" w:ascii="Times New Roman" w:hAnsi="Times New Roman" w:eastAsia="方正仿宋_GBK" w:cs="Times New Roman"/>
          <w:bCs/>
          <w:color w:val="auto"/>
          <w:sz w:val="32"/>
          <w:szCs w:val="32"/>
          <w:lang w:eastAsia="zh-CN"/>
        </w:rPr>
        <w:t>水电等设施补偿。</w:t>
      </w:r>
      <w:r>
        <w:rPr>
          <w:rFonts w:hint="default" w:ascii="Times New Roman" w:hAnsi="Times New Roman" w:eastAsia="方正仿宋_GBK" w:cs="Times New Roman"/>
          <w:color w:val="auto"/>
          <w:sz w:val="32"/>
          <w:szCs w:val="32"/>
          <w:highlight w:val="none"/>
          <w:lang w:val="en-US" w:eastAsia="zh-CN"/>
        </w:rPr>
        <w:t>被搬迁房屋的残值按</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重庆市綦江区人民政府关于印发重庆市綦江区集体土地征收补偿安置实施办法的通知</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綦江府发〔2021〕1</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highlight w:val="none"/>
          <w:lang w:val="en-US" w:eastAsia="zh-CN"/>
        </w:rPr>
        <w:t>附件7的标准进行补偿。</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被搬迁住房安装的独立水、电、气、固定电话、有线电视等设施，按搬迁时相应行业主管部门的安装价格补偿。</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为生产经营安装的水、电、气、管网等设施，按实际安装费用补偿，无法提供实际安装发票的，按搬迁时相应行业主管部门的安装价格补偿。</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6</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苗木花卉种植专业户补偿</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征收土地预公告发布之日，按照国家和我市设施农业用地管理有关规定，经审批或者备案的苗木花卉种植专业户，以批准（备案）的种植规模内实际种植面积为准，在其他地上附着物和青苗综合定额补偿费每亩16000元中给予经营者每亩9600元补偿。</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7</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生产经营活动的搬迁补助费</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征收土地预公告发布之日，持有合法证照，从事工业、畜禽养殖业、商业、服务业和种植花卉苗木经营活动的，综合考虑生产经营年限、规模、类别、搬迁损失、搬迁难易度等因素，对生产经营者按以下规定给予一次性搬迁补助费。</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工业企业实施搬迁的，按被搬迁设施设备评估净值的15</w:t>
      </w:r>
      <w:r>
        <w:rPr>
          <w:rFonts w:hint="eastAsia"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20%给予一次性搬迁补助费。</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rPr>
        <w:t>经审批或者备案的苗木花卉种植专业户，以批准（备案）的种植规模内实际种植面积为准，给予每亩6400元一次性搬迁补助费。</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rPr>
        <w:t>从事生产经营的畜禽养殖专业户，按</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重庆市綦江区人民政府关于印发重庆市綦江区集体土地征收补偿安置实施办法的通知</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綦江府发〔2021〕1</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号</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kern w:val="0"/>
          <w:sz w:val="32"/>
          <w:szCs w:val="32"/>
        </w:rPr>
        <w:t>附件9给予一次性搬迁补助费。</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具有合法产权的被搬迁农村房屋，持有合法经营证照，且正在从事个体经营的，每户给予一次性搬迁补助费3000元。</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（5）</w:t>
      </w:r>
      <w:r>
        <w:rPr>
          <w:rFonts w:hint="default" w:ascii="Times New Roman" w:hAnsi="Times New Roman" w:eastAsia="方正仿宋_GBK" w:cs="Times New Roman"/>
          <w:color w:val="auto"/>
          <w:kern w:val="0"/>
          <w:sz w:val="32"/>
          <w:szCs w:val="32"/>
        </w:rPr>
        <w:t>从事农家乐、民宿等经营活动，持有合法证照正在经营的，其为经营服务的相关设施设备按评估净值15</w:t>
      </w:r>
      <w:r>
        <w:rPr>
          <w:rFonts w:hint="eastAsia"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20%给予一次性搬迁补助费。</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rPr>
          <w:rFonts w:hint="default" w:ascii="Times New Roman" w:hAnsi="Times New Roman" w:eastAsia="方正楷体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8</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有下列情形之一的，不予补偿：</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0"/>
          <w:sz w:val="32"/>
          <w:szCs w:val="32"/>
        </w:rPr>
        <w:t>违法建（构）筑物；</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（2）</w:t>
      </w:r>
      <w:r>
        <w:rPr>
          <w:rFonts w:hint="default" w:ascii="Times New Roman" w:hAnsi="Times New Roman" w:eastAsia="方正仿宋_GBK" w:cs="Times New Roman"/>
          <w:color w:val="auto"/>
          <w:kern w:val="0"/>
          <w:sz w:val="32"/>
          <w:szCs w:val="32"/>
        </w:rPr>
        <w:t>已拆除的房屋（因区政府安排提前拆除的除外，但应当提供相关佐证资料）、房屋已垮塌的部分；</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val="en-US" w:eastAsia="zh-CN"/>
        </w:rPr>
        <w:t>（3）</w:t>
      </w:r>
      <w:r>
        <w:rPr>
          <w:rFonts w:hint="default" w:ascii="Times New Roman" w:hAnsi="Times New Roman" w:eastAsia="方正仿宋_GBK" w:cs="Times New Roman"/>
          <w:color w:val="auto"/>
          <w:kern w:val="0"/>
          <w:sz w:val="32"/>
          <w:szCs w:val="32"/>
        </w:rPr>
        <w:t>区人民政府发布征收土地预公告后栽种的青苗及花草、树木等附着物；</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rPr>
          <w:rFonts w:hint="default" w:ascii="Times New Roman" w:hAnsi="Times New Roman" w:cs="Times New Roman"/>
          <w:color w:val="auto"/>
        </w:rPr>
      </w:pPr>
      <w:r>
        <w:rPr>
          <w:rFonts w:hint="default" w:ascii="Times New Roman" w:hAnsi="Times New Roman" w:eastAsia="方正仿宋_GBK" w:cs="Times New Roman"/>
          <w:color w:val="auto"/>
          <w:kern w:val="0"/>
          <w:sz w:val="32"/>
          <w:szCs w:val="32"/>
          <w:lang w:val="en-US" w:eastAsia="zh-CN"/>
        </w:rPr>
        <w:t>（4）</w:t>
      </w:r>
      <w:r>
        <w:rPr>
          <w:rFonts w:hint="default" w:ascii="Times New Roman" w:hAnsi="Times New Roman" w:eastAsia="方正仿宋_GBK" w:cs="Times New Roman"/>
          <w:color w:val="auto"/>
          <w:kern w:val="0"/>
          <w:sz w:val="32"/>
          <w:szCs w:val="32"/>
        </w:rPr>
        <w:t>其他不当增加补偿费用的情形。</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outlineLvl w:val="0"/>
        <w:rPr>
          <w:rFonts w:hint="default" w:ascii="Times New Roman" w:hAnsi="Times New Roman" w:eastAsia="方正黑体_GBK" w:cs="Times New Roman"/>
          <w:bCs/>
          <w:color w:val="auto"/>
          <w:sz w:val="32"/>
          <w:szCs w:val="32"/>
        </w:rPr>
      </w:pPr>
      <w:r>
        <w:rPr>
          <w:rFonts w:hint="default" w:ascii="Times New Roman" w:hAnsi="Times New Roman" w:eastAsia="方正楷体_GBK" w:cs="Times New Roman"/>
          <w:bCs/>
          <w:color w:val="auto"/>
          <w:sz w:val="32"/>
          <w:szCs w:val="32"/>
          <w:lang w:eastAsia="zh-CN"/>
        </w:rPr>
        <w:t>（</w:t>
      </w:r>
      <w:r>
        <w:rPr>
          <w:rFonts w:hint="default" w:ascii="Times New Roman" w:hAnsi="Times New Roman" w:eastAsia="方正楷体_GBK" w:cs="Times New Roman"/>
          <w:bCs/>
          <w:color w:val="auto"/>
          <w:sz w:val="32"/>
          <w:szCs w:val="32"/>
          <w:lang w:val="en-US" w:eastAsia="zh-CN"/>
        </w:rPr>
        <w:t>二</w:t>
      </w:r>
      <w:r>
        <w:rPr>
          <w:rFonts w:hint="default" w:ascii="Times New Roman" w:hAnsi="Times New Roman" w:eastAsia="方正楷体_GBK" w:cs="Times New Roman"/>
          <w:bCs/>
          <w:color w:val="auto"/>
          <w:sz w:val="32"/>
          <w:szCs w:val="32"/>
          <w:lang w:eastAsia="zh-CN"/>
        </w:rPr>
        <w:t>）</w:t>
      </w:r>
      <w:r>
        <w:rPr>
          <w:rFonts w:hint="default" w:ascii="Times New Roman" w:hAnsi="Times New Roman" w:eastAsia="方正楷体_GBK" w:cs="Times New Roman"/>
          <w:bCs/>
          <w:color w:val="auto"/>
          <w:sz w:val="32"/>
          <w:szCs w:val="32"/>
          <w:lang w:val="en-US" w:eastAsia="zh-CN"/>
        </w:rPr>
        <w:t>征地</w:t>
      </w:r>
      <w:r>
        <w:rPr>
          <w:rFonts w:hint="default" w:ascii="Times New Roman" w:hAnsi="Times New Roman" w:eastAsia="方正楷体_GBK" w:cs="Times New Roman"/>
          <w:bCs/>
          <w:color w:val="auto"/>
          <w:sz w:val="32"/>
          <w:szCs w:val="32"/>
        </w:rPr>
        <w:t>安置对象及安置方式</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方正仿宋_GBK" w:cs="Times New Roman"/>
          <w:color w:val="auto"/>
          <w:spacing w:val="-17"/>
          <w:sz w:val="32"/>
          <w:szCs w:val="32"/>
        </w:rPr>
      </w:pPr>
      <w:r>
        <w:rPr>
          <w:rFonts w:hint="eastAsia" w:eastAsia="方正仿宋_GBK" w:cs="Times New Roman"/>
          <w:bCs/>
          <w:color w:val="auto"/>
          <w:sz w:val="32"/>
          <w:szCs w:val="32"/>
          <w:lang w:val="en-US" w:eastAsia="zh-CN"/>
        </w:rPr>
        <w:t>1</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bCs/>
          <w:color w:val="auto"/>
          <w:sz w:val="32"/>
          <w:szCs w:val="32"/>
        </w:rPr>
        <w:t>人员安置</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color w:val="auto"/>
          <w:sz w:val="32"/>
          <w:szCs w:val="32"/>
        </w:rPr>
        <w:t>人员安置对象范围及具体确定办法，按照《重庆市集体土地征收补偿安置办法》（重庆市人民政府令第344号）第十三条、第十四条、第十五条、第十六条规定执行。人员安置对象应当从征收土地预公告发布之日计入被征地农村集体经济组织总人口的人</w:t>
      </w:r>
      <w:r>
        <w:rPr>
          <w:rFonts w:hint="default" w:ascii="Times New Roman" w:hAnsi="Times New Roman" w:eastAsia="方正仿宋_GBK" w:cs="Times New Roman"/>
          <w:color w:val="auto"/>
          <w:spacing w:val="-17"/>
          <w:sz w:val="32"/>
          <w:szCs w:val="32"/>
        </w:rPr>
        <w:t>员中产生</w:t>
      </w:r>
      <w:r>
        <w:rPr>
          <w:rFonts w:hint="default" w:ascii="Times New Roman" w:hAnsi="Times New Roman" w:eastAsia="方正仿宋_GBK" w:cs="Times New Roman"/>
          <w:color w:val="auto"/>
          <w:spacing w:val="-17"/>
          <w:sz w:val="32"/>
          <w:szCs w:val="32"/>
          <w:lang w:eastAsia="zh-CN"/>
        </w:rPr>
        <w:t>，</w:t>
      </w:r>
      <w:r>
        <w:rPr>
          <w:rFonts w:hint="default" w:ascii="Times New Roman" w:hAnsi="Times New Roman" w:eastAsia="方正仿宋_GBK" w:cs="Times New Roman"/>
          <w:color w:val="auto"/>
          <w:spacing w:val="-17"/>
          <w:sz w:val="32"/>
          <w:szCs w:val="32"/>
        </w:rPr>
        <w:t>每个人员安置对象的安置补助费发放标准为</w:t>
      </w:r>
      <w:r>
        <w:rPr>
          <w:rFonts w:hint="default" w:ascii="Times New Roman" w:hAnsi="Times New Roman" w:eastAsia="方正仿宋_GBK" w:cs="Times New Roman"/>
          <w:color w:val="auto"/>
          <w:spacing w:val="6"/>
          <w:sz w:val="32"/>
          <w:szCs w:val="32"/>
          <w:lang w:val="en-US" w:eastAsia="zh-CN"/>
        </w:rPr>
        <w:t>36000</w:t>
      </w:r>
      <w:r>
        <w:rPr>
          <w:rFonts w:hint="default" w:ascii="Times New Roman" w:hAnsi="Times New Roman" w:eastAsia="方正仿宋_GBK" w:cs="Times New Roman"/>
          <w:color w:val="auto"/>
          <w:spacing w:val="6"/>
          <w:sz w:val="32"/>
          <w:szCs w:val="32"/>
        </w:rPr>
        <w:t>元</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z w:val="32"/>
          <w:szCs w:val="32"/>
        </w:rPr>
        <w:t>由区</w:t>
      </w:r>
      <w:r>
        <w:rPr>
          <w:rFonts w:hint="default" w:ascii="Times New Roman" w:hAnsi="Times New Roman" w:eastAsia="方正仿宋_GBK" w:cs="Times New Roman"/>
          <w:color w:val="auto"/>
          <w:sz w:val="32"/>
          <w:szCs w:val="32"/>
          <w:lang w:eastAsia="zh-CN"/>
        </w:rPr>
        <w:t>水利局</w:t>
      </w:r>
      <w:r>
        <w:rPr>
          <w:rFonts w:hint="default" w:ascii="Times New Roman" w:hAnsi="Times New Roman" w:eastAsia="方正仿宋_GBK" w:cs="Times New Roman"/>
          <w:color w:val="auto"/>
          <w:sz w:val="32"/>
          <w:szCs w:val="32"/>
        </w:rPr>
        <w:t>委托</w:t>
      </w:r>
      <w:r>
        <w:rPr>
          <w:rFonts w:hint="default" w:ascii="Times New Roman" w:hAnsi="Times New Roman" w:eastAsia="方正仿宋_GBK" w:cs="Times New Roman"/>
          <w:color w:val="auto"/>
          <w:sz w:val="32"/>
          <w:szCs w:val="32"/>
          <w:lang w:val="en-US" w:eastAsia="zh-CN"/>
        </w:rPr>
        <w:t>赶水镇</w:t>
      </w:r>
      <w:r>
        <w:rPr>
          <w:rFonts w:hint="eastAsia" w:eastAsia="方正仿宋_GBK" w:cs="Times New Roman"/>
          <w:color w:val="auto"/>
          <w:sz w:val="32"/>
          <w:szCs w:val="32"/>
          <w:lang w:val="en-US" w:eastAsia="zh-CN"/>
        </w:rPr>
        <w:t>人民</w:t>
      </w:r>
      <w:r>
        <w:rPr>
          <w:rFonts w:hint="default" w:ascii="Times New Roman" w:hAnsi="Times New Roman" w:eastAsia="方正仿宋_GBK" w:cs="Times New Roman"/>
          <w:color w:val="auto"/>
          <w:sz w:val="32"/>
          <w:szCs w:val="32"/>
          <w:lang w:val="en-US" w:eastAsia="zh-CN"/>
        </w:rPr>
        <w:t>政府</w:t>
      </w:r>
      <w:r>
        <w:rPr>
          <w:rFonts w:hint="default" w:ascii="Times New Roman" w:hAnsi="Times New Roman" w:eastAsia="方正仿宋_GBK" w:cs="Times New Roman"/>
          <w:color w:val="auto"/>
          <w:sz w:val="32"/>
          <w:szCs w:val="32"/>
        </w:rPr>
        <w:t>采取发放安置补助费的方式进行安置</w:t>
      </w:r>
      <w:r>
        <w:rPr>
          <w:rFonts w:hint="default" w:ascii="Times New Roman" w:hAnsi="Times New Roman" w:eastAsia="方正仿宋_GBK" w:cs="Times New Roman"/>
          <w:color w:val="auto"/>
          <w:spacing w:val="-17"/>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eastAsia="zh-CN"/>
        </w:rPr>
        <w:t>（</w:t>
      </w:r>
      <w:r>
        <w:rPr>
          <w:rFonts w:hint="eastAsia" w:eastAsia="方正仿宋_GBK" w:cs="Times New Roman"/>
          <w:color w:val="auto"/>
          <w:sz w:val="32"/>
          <w:szCs w:val="32"/>
          <w:lang w:val="en-US" w:eastAsia="zh-CN"/>
        </w:rPr>
        <w:t>1</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下列人员计入被征地农村集体经济组织总人口：</w:t>
      </w:r>
    </w:p>
    <w:p>
      <w:pPr>
        <w:keepNext w:val="0"/>
        <w:keepLines w:val="0"/>
        <w:pageBreakBefore w:val="0"/>
        <w:kinsoku/>
        <w:wordWrap/>
        <w:overflowPunct/>
        <w:topLinePunct w:val="0"/>
        <w:bidi w:val="0"/>
        <w:spacing w:line="576"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①户口登记在被征地农村集体经济组织所在地，且取得该农村集体经济组织土地承包经营权的人员；</w:t>
      </w:r>
    </w:p>
    <w:p>
      <w:pPr>
        <w:keepNext w:val="0"/>
        <w:keepLines w:val="0"/>
        <w:pageBreakBefore w:val="0"/>
        <w:kinsoku/>
        <w:wordWrap/>
        <w:overflowPunct/>
        <w:topLinePunct w:val="0"/>
        <w:bidi w:val="0"/>
        <w:spacing w:line="576" w:lineRule="exact"/>
        <w:ind w:left="0" w:firstLine="640" w:firstLineChars="200"/>
        <w:textAlignment w:val="auto"/>
        <w:rPr>
          <w:rFonts w:hint="default" w:ascii="Times New Roman" w:hAnsi="Times New Roman" w:eastAsia="方正仿宋_GBK" w:cs="Times New Roman"/>
          <w:color w:val="auto"/>
          <w:spacing w:val="-11"/>
          <w:sz w:val="32"/>
          <w:szCs w:val="32"/>
        </w:rPr>
      </w:pPr>
      <w:r>
        <w:rPr>
          <w:rFonts w:hint="default" w:ascii="Times New Roman" w:hAnsi="Times New Roman" w:eastAsia="方正仿宋_GBK" w:cs="Times New Roman"/>
          <w:color w:val="auto"/>
          <w:sz w:val="32"/>
          <w:szCs w:val="32"/>
        </w:rPr>
        <w:t>②因出生、政</w:t>
      </w:r>
      <w:r>
        <w:rPr>
          <w:rFonts w:hint="default" w:ascii="Times New Roman" w:hAnsi="Times New Roman" w:eastAsia="方正仿宋_GBK" w:cs="Times New Roman"/>
          <w:color w:val="auto"/>
          <w:spacing w:val="-6"/>
          <w:sz w:val="32"/>
          <w:szCs w:val="32"/>
        </w:rPr>
        <w:t>策性移民将户口登记在被征地农村集体经济组</w:t>
      </w:r>
      <w:r>
        <w:rPr>
          <w:rFonts w:hint="default" w:ascii="Times New Roman" w:hAnsi="Times New Roman" w:eastAsia="方正仿宋_GBK" w:cs="Times New Roman"/>
          <w:color w:val="auto"/>
          <w:spacing w:val="-11"/>
          <w:sz w:val="32"/>
          <w:szCs w:val="32"/>
        </w:rPr>
        <w:t>织所在地，且依法享有该农村集体经济组织土地承包经营权的人员；</w:t>
      </w:r>
    </w:p>
    <w:p>
      <w:pPr>
        <w:keepNext w:val="0"/>
        <w:keepLines w:val="0"/>
        <w:pageBreakBefore w:val="0"/>
        <w:kinsoku/>
        <w:wordWrap/>
        <w:overflowPunct/>
        <w:topLinePunct w:val="0"/>
        <w:bidi w:val="0"/>
        <w:spacing w:line="576"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③因合法收养、合法婚姻将户口从其他农村集体经济组织迁入并长期在被征地农村集体经济组织生产生活，且依法享有被征地农村集体经济组织土地承包经营权的人员；</w:t>
      </w:r>
    </w:p>
    <w:p>
      <w:pPr>
        <w:keepNext w:val="0"/>
        <w:keepLines w:val="0"/>
        <w:pageBreakBefore w:val="0"/>
        <w:kinsoku/>
        <w:wordWrap/>
        <w:overflowPunct/>
        <w:topLinePunct w:val="0"/>
        <w:bidi w:val="0"/>
        <w:spacing w:line="576"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④依法享有被征地农村集体经济组织土地承包经营权的在校大中专学生（含硕士、博士研究生）、现役军士和义务兵、儿童福利机构孤儿、服刑人员；</w:t>
      </w:r>
    </w:p>
    <w:p>
      <w:pPr>
        <w:keepNext w:val="0"/>
        <w:keepLines w:val="0"/>
        <w:pageBreakBefore w:val="0"/>
        <w:kinsoku/>
        <w:wordWrap/>
        <w:overflowPunct/>
        <w:topLinePunct w:val="0"/>
        <w:bidi w:val="0"/>
        <w:spacing w:line="576"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⑤按照本市统筹城乡户籍制度改革有关规定保留征地补偿安置权利的人员；</w:t>
      </w:r>
    </w:p>
    <w:p>
      <w:pPr>
        <w:keepNext w:val="0"/>
        <w:keepLines w:val="0"/>
        <w:pageBreakBefore w:val="0"/>
        <w:kinsoku/>
        <w:wordWrap/>
        <w:overflowPunct/>
        <w:topLinePunct w:val="0"/>
        <w:bidi w:val="0"/>
        <w:spacing w:line="576"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⑥因其他原因，户口从被征地农村集体经济组织所在地迁出进城落户，但长期在被征地农村集体经济组织生产生活，且取得该农村集体经济组织土地承包经营权的人员。</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eastAsia="zh-CN"/>
        </w:rPr>
        <w:t>（</w:t>
      </w:r>
      <w:r>
        <w:rPr>
          <w:rFonts w:hint="eastAsia" w:eastAsia="方正仿宋_GBK" w:cs="Times New Roman"/>
          <w:color w:val="auto"/>
          <w:sz w:val="32"/>
          <w:szCs w:val="32"/>
          <w:lang w:val="en-US" w:eastAsia="zh-CN"/>
        </w:rPr>
        <w:t>2</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下列人员不计入被征地农村集体经济组织总人口：</w:t>
      </w:r>
    </w:p>
    <w:p>
      <w:pPr>
        <w:keepNext w:val="0"/>
        <w:keepLines w:val="0"/>
        <w:pageBreakBefore w:val="0"/>
        <w:kinsoku/>
        <w:wordWrap/>
        <w:overflowPunct/>
        <w:topLinePunct w:val="0"/>
        <w:bidi w:val="0"/>
        <w:spacing w:line="576"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①征地前已实行征地人员安置的人员； </w:t>
      </w:r>
    </w:p>
    <w:p>
      <w:pPr>
        <w:keepNext w:val="0"/>
        <w:keepLines w:val="0"/>
        <w:pageBreakBefore w:val="0"/>
        <w:kinsoku/>
        <w:wordWrap/>
        <w:overflowPunct/>
        <w:topLinePunct w:val="0"/>
        <w:bidi w:val="0"/>
        <w:spacing w:line="576" w:lineRule="exact"/>
        <w:ind w:left="0" w:firstLine="640" w:firstLineChars="200"/>
        <w:textAlignment w:val="auto"/>
        <w:rPr>
          <w:rFonts w:hint="default" w:ascii="Times New Roman" w:hAnsi="Times New Roman" w:eastAsia="方正仿宋_GBK" w:cs="Times New Roman"/>
          <w:color w:val="auto"/>
          <w:spacing w:val="-8"/>
          <w:sz w:val="32"/>
          <w:szCs w:val="32"/>
        </w:rPr>
      </w:pPr>
      <w:r>
        <w:rPr>
          <w:rFonts w:hint="default" w:ascii="Times New Roman" w:hAnsi="Times New Roman" w:eastAsia="方正仿宋_GBK" w:cs="Times New Roman"/>
          <w:color w:val="auto"/>
          <w:sz w:val="32"/>
          <w:szCs w:val="32"/>
        </w:rPr>
        <w:t>②国</w:t>
      </w:r>
      <w:r>
        <w:rPr>
          <w:rFonts w:hint="default" w:ascii="Times New Roman" w:hAnsi="Times New Roman" w:eastAsia="方正仿宋_GBK" w:cs="Times New Roman"/>
          <w:color w:val="auto"/>
          <w:spacing w:val="-8"/>
          <w:sz w:val="32"/>
          <w:szCs w:val="32"/>
        </w:rPr>
        <w:t>家机关、人民团体、事业单位等在编在职和退休人员。</w:t>
      </w:r>
    </w:p>
    <w:p>
      <w:pPr>
        <w:keepNext w:val="0"/>
        <w:keepLines w:val="0"/>
        <w:pageBreakBefore w:val="0"/>
        <w:kinsoku/>
        <w:wordWrap/>
        <w:overflowPunct/>
        <w:topLinePunct w:val="0"/>
        <w:bidi w:val="0"/>
        <w:spacing w:line="576"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人员安置对象总数的确定方法：</w:t>
      </w:r>
    </w:p>
    <w:p>
      <w:pPr>
        <w:keepNext w:val="0"/>
        <w:keepLines w:val="0"/>
        <w:pageBreakBefore w:val="0"/>
        <w:kinsoku/>
        <w:wordWrap/>
        <w:overflowPunct/>
        <w:topLinePunct w:val="0"/>
        <w:bidi w:val="0"/>
        <w:spacing w:line="576"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农村集体经济组织的土地被全部征收的，按照上述规定计入被征地农村集体经济组织总人口的人员全部为人员安置对象。</w:t>
      </w:r>
    </w:p>
    <w:p>
      <w:pPr>
        <w:keepNext w:val="0"/>
        <w:keepLines w:val="0"/>
        <w:pageBreakBefore w:val="0"/>
        <w:kinsoku/>
        <w:wordWrap/>
        <w:overflowPunct/>
        <w:topLinePunct w:val="0"/>
        <w:bidi w:val="0"/>
        <w:spacing w:line="576"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农村集体经济组织的土地被部分征收的，人员安置对象的人数按照被征收土地面积除以被征地农村集体经济组织人均土地面积计算。其中，被征收土地中耕地占比超过农村集体经济组织耕地占比的，人员安置对象人数为按照本款前述方法计算的人数乘以被征收土地中耕地占比再除以农村集体经济组织耕地占比。</w:t>
      </w:r>
    </w:p>
    <w:p>
      <w:pPr>
        <w:keepNext w:val="0"/>
        <w:keepLines w:val="0"/>
        <w:pageBreakBefore w:val="0"/>
        <w:kinsoku/>
        <w:wordWrap/>
        <w:overflowPunct/>
        <w:topLinePunct w:val="0"/>
        <w:bidi w:val="0"/>
        <w:spacing w:line="576" w:lineRule="exact"/>
        <w:ind w:left="0" w:firstLine="640" w:firstLineChars="200"/>
        <w:textAlignment w:val="auto"/>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前款所称人均土地面积为集体土地所有权证登记的土地总面积（不含已被征收的面积）除以按照本实施办法计入被征地农村集体经济组织总人口数。前款所称农村集体经济组织耕地占比为集体土地所有权证登记的耕地面积（不含已被征收的面积）占土地总面积（不含已被征收的面积）的比例。</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rPr>
          <w:rFonts w:hint="default" w:ascii="Times New Roman" w:hAnsi="Times New Roman" w:eastAsia="方正仿宋_GBK" w:cs="Times New Roman"/>
          <w:color w:val="auto"/>
          <w:spacing w:val="-17"/>
          <w:sz w:val="32"/>
          <w:szCs w:val="32"/>
        </w:rPr>
      </w:pPr>
      <w:r>
        <w:rPr>
          <w:rFonts w:hint="default" w:ascii="Times New Roman" w:hAnsi="Times New Roman" w:eastAsia="方正仿宋_GBK" w:cs="Times New Roman"/>
          <w:color w:val="auto"/>
          <w:sz w:val="32"/>
          <w:szCs w:val="32"/>
        </w:rPr>
        <w:t>人员安置对象范围及具体确定办法，按照《重庆市集体土地征收补偿安置办法》（重庆市人民政府令第344号）第十三条、第十四条、第十五条、第十六条规定执行。人员安置对象应当从征收土地预公告发布之日计入被征地农村集体经济组织总人口的人</w:t>
      </w:r>
      <w:r>
        <w:rPr>
          <w:rFonts w:hint="default" w:ascii="Times New Roman" w:hAnsi="Times New Roman" w:eastAsia="方正仿宋_GBK" w:cs="Times New Roman"/>
          <w:color w:val="auto"/>
          <w:spacing w:val="-17"/>
          <w:sz w:val="32"/>
          <w:szCs w:val="32"/>
        </w:rPr>
        <w:t>员中产生</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该项目安置人数为74人，</w:t>
      </w:r>
      <w:r>
        <w:rPr>
          <w:rFonts w:hint="default" w:ascii="Times New Roman" w:hAnsi="Times New Roman" w:eastAsia="方正仿宋_GBK" w:cs="Times New Roman"/>
          <w:color w:val="auto"/>
          <w:sz w:val="32"/>
          <w:szCs w:val="32"/>
        </w:rPr>
        <w:t>由区</w:t>
      </w:r>
      <w:r>
        <w:rPr>
          <w:rFonts w:hint="default" w:ascii="Times New Roman" w:hAnsi="Times New Roman" w:eastAsia="方正仿宋_GBK" w:cs="Times New Roman"/>
          <w:color w:val="auto"/>
          <w:sz w:val="32"/>
          <w:szCs w:val="32"/>
          <w:lang w:val="en-US" w:eastAsia="zh-CN"/>
        </w:rPr>
        <w:t>水利局</w:t>
      </w:r>
      <w:r>
        <w:rPr>
          <w:rFonts w:hint="default" w:ascii="Times New Roman" w:hAnsi="Times New Roman" w:eastAsia="方正仿宋_GBK" w:cs="Times New Roman"/>
          <w:color w:val="auto"/>
          <w:sz w:val="32"/>
          <w:szCs w:val="32"/>
        </w:rPr>
        <w:t>委托</w:t>
      </w:r>
      <w:r>
        <w:rPr>
          <w:rFonts w:hint="default" w:ascii="Times New Roman" w:hAnsi="Times New Roman" w:eastAsia="方正仿宋_GBK" w:cs="Times New Roman"/>
          <w:color w:val="auto"/>
          <w:sz w:val="32"/>
          <w:szCs w:val="32"/>
          <w:lang w:val="en-US" w:eastAsia="zh-CN"/>
        </w:rPr>
        <w:t>赶水镇</w:t>
      </w:r>
      <w:r>
        <w:rPr>
          <w:rFonts w:hint="eastAsia" w:eastAsia="方正仿宋_GBK" w:cs="Times New Roman"/>
          <w:color w:val="auto"/>
          <w:sz w:val="32"/>
          <w:szCs w:val="32"/>
          <w:lang w:val="en-US" w:eastAsia="zh-CN"/>
        </w:rPr>
        <w:t>人民</w:t>
      </w:r>
      <w:r>
        <w:rPr>
          <w:rFonts w:hint="default" w:ascii="Times New Roman" w:hAnsi="Times New Roman" w:eastAsia="方正仿宋_GBK" w:cs="Times New Roman"/>
          <w:color w:val="auto"/>
          <w:sz w:val="32"/>
          <w:szCs w:val="32"/>
          <w:lang w:val="en-US" w:eastAsia="zh-CN"/>
        </w:rPr>
        <w:t>政府</w:t>
      </w:r>
      <w:r>
        <w:rPr>
          <w:rFonts w:hint="default" w:ascii="Times New Roman" w:hAnsi="Times New Roman" w:eastAsia="方正仿宋_GBK" w:cs="Times New Roman"/>
          <w:color w:val="auto"/>
          <w:sz w:val="32"/>
          <w:szCs w:val="32"/>
        </w:rPr>
        <w:t>采取发放安置补助费的方式进行安置，</w:t>
      </w:r>
      <w:r>
        <w:rPr>
          <w:rFonts w:hint="default" w:ascii="Times New Roman" w:hAnsi="Times New Roman" w:eastAsia="方正仿宋_GBK" w:cs="Times New Roman"/>
          <w:color w:val="auto"/>
          <w:spacing w:val="-17"/>
          <w:sz w:val="32"/>
          <w:szCs w:val="32"/>
        </w:rPr>
        <w:t>每个人员安置对象的安置补助费发放标准为</w:t>
      </w:r>
      <w:r>
        <w:rPr>
          <w:rFonts w:hint="default" w:ascii="Times New Roman" w:hAnsi="Times New Roman" w:eastAsia="方正仿宋_GBK" w:cs="Times New Roman"/>
          <w:color w:val="auto"/>
          <w:spacing w:val="-17"/>
          <w:kern w:val="0"/>
          <w:sz w:val="32"/>
          <w:szCs w:val="32"/>
        </w:rPr>
        <w:t>36000</w:t>
      </w:r>
      <w:r>
        <w:rPr>
          <w:rFonts w:hint="default" w:ascii="Times New Roman" w:hAnsi="Times New Roman" w:eastAsia="方正仿宋_GBK" w:cs="Times New Roman"/>
          <w:color w:val="auto"/>
          <w:spacing w:val="-17"/>
          <w:sz w:val="32"/>
          <w:szCs w:val="32"/>
        </w:rPr>
        <w:t>元。</w:t>
      </w:r>
    </w:p>
    <w:p>
      <w:pPr>
        <w:keepNext w:val="0"/>
        <w:keepLines w:val="0"/>
        <w:pageBreakBefore w:val="0"/>
        <w:kinsoku/>
        <w:wordWrap/>
        <w:overflowPunct/>
        <w:topLinePunct w:val="0"/>
        <w:bidi w:val="0"/>
        <w:spacing w:line="576"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具体的人员安置对象经农村集体经济组织公示</w:t>
      </w: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日无异议后，报</w:t>
      </w:r>
      <w:r>
        <w:rPr>
          <w:rFonts w:hint="default" w:ascii="Times New Roman" w:hAnsi="Times New Roman" w:eastAsia="方正仿宋_GBK" w:cs="Times New Roman"/>
          <w:color w:val="auto"/>
          <w:sz w:val="32"/>
          <w:szCs w:val="32"/>
          <w:lang w:val="en-US" w:eastAsia="zh-CN"/>
        </w:rPr>
        <w:t>赶水镇</w:t>
      </w:r>
      <w:r>
        <w:rPr>
          <w:rFonts w:hint="eastAsia" w:eastAsia="方正仿宋_GBK" w:cs="Times New Roman"/>
          <w:color w:val="auto"/>
          <w:sz w:val="32"/>
          <w:szCs w:val="32"/>
          <w:lang w:val="en-US" w:eastAsia="zh-CN"/>
        </w:rPr>
        <w:t>人民</w:t>
      </w:r>
      <w:r>
        <w:rPr>
          <w:rFonts w:hint="default" w:ascii="Times New Roman" w:hAnsi="Times New Roman" w:eastAsia="方正仿宋_GBK" w:cs="Times New Roman"/>
          <w:color w:val="auto"/>
          <w:sz w:val="32"/>
          <w:szCs w:val="32"/>
          <w:lang w:val="en-US" w:eastAsia="zh-CN"/>
        </w:rPr>
        <w:t>政府</w:t>
      </w:r>
      <w:r>
        <w:rPr>
          <w:rFonts w:hint="default" w:ascii="Times New Roman" w:hAnsi="Times New Roman" w:eastAsia="方正仿宋_GBK" w:cs="Times New Roman"/>
          <w:color w:val="auto"/>
          <w:sz w:val="32"/>
          <w:szCs w:val="32"/>
        </w:rPr>
        <w:t>初审，区</w:t>
      </w:r>
      <w:r>
        <w:rPr>
          <w:rFonts w:hint="default" w:ascii="Times New Roman" w:hAnsi="Times New Roman" w:eastAsia="方正仿宋_GBK" w:cs="Times New Roman"/>
          <w:color w:val="auto"/>
          <w:sz w:val="32"/>
          <w:szCs w:val="32"/>
          <w:lang w:val="en-US" w:eastAsia="zh-CN"/>
        </w:rPr>
        <w:t>水利局</w:t>
      </w:r>
      <w:r>
        <w:rPr>
          <w:rFonts w:hint="default" w:ascii="Times New Roman" w:hAnsi="Times New Roman" w:eastAsia="方正仿宋_GBK" w:cs="Times New Roman"/>
          <w:color w:val="auto"/>
          <w:sz w:val="32"/>
          <w:szCs w:val="32"/>
        </w:rPr>
        <w:t>同区规划自然资源、人力社保、公安、农业农村等部门复核，区人民政府核准。</w:t>
      </w:r>
    </w:p>
    <w:p>
      <w:pPr>
        <w:keepNext w:val="0"/>
        <w:keepLines w:val="0"/>
        <w:pageBreakBefore w:val="0"/>
        <w:kinsoku/>
        <w:wordWrap/>
        <w:overflowPunct/>
        <w:topLinePunct w:val="0"/>
        <w:bidi w:val="0"/>
        <w:adjustRightInd w:val="0"/>
        <w:snapToGrid w:val="0"/>
        <w:spacing w:line="576"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lang w:val="en-US" w:eastAsia="zh-CN"/>
        </w:rPr>
        <w:t>2</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bCs/>
          <w:color w:val="auto"/>
          <w:sz w:val="32"/>
          <w:szCs w:val="32"/>
        </w:rPr>
        <w:t>住房安置</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color w:val="auto"/>
          <w:sz w:val="32"/>
          <w:szCs w:val="32"/>
        </w:rPr>
        <w:t>住房安置对象范围及具体确定办法，按照《重庆市集体土地征收补偿安置办法》（重庆市人民政府令第344号）第十九条、第二十条、第十五条、第十六条规定执行。对住房安置对象</w:t>
      </w:r>
      <w:r>
        <w:rPr>
          <w:rFonts w:hint="default" w:ascii="Times New Roman" w:hAnsi="Times New Roman" w:eastAsia="方正仿宋_GBK" w:cs="Times New Roman"/>
          <w:b w:val="0"/>
          <w:bCs w:val="0"/>
          <w:color w:val="auto"/>
          <w:sz w:val="32"/>
          <w:szCs w:val="32"/>
          <w:lang w:eastAsia="zh-CN"/>
        </w:rPr>
        <w:t>按户</w:t>
      </w:r>
      <w:r>
        <w:rPr>
          <w:rFonts w:hint="default" w:ascii="Times New Roman" w:hAnsi="Times New Roman" w:eastAsia="方正仿宋_GBK" w:cs="Times New Roman"/>
          <w:color w:val="auto"/>
          <w:sz w:val="32"/>
          <w:szCs w:val="32"/>
        </w:rPr>
        <w:t>采取农村宅基地自建安置、安置房安置或者货币安置等方式</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numPr>
          <w:ilvl w:val="0"/>
          <w:numId w:val="0"/>
        </w:numPr>
        <w:kinsoku/>
        <w:wordWrap/>
        <w:overflowPunct/>
        <w:topLinePunct w:val="0"/>
        <w:bidi w:val="0"/>
        <w:spacing w:line="576"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农村宅基地自建安置。住房安置对象选择农村宅基地自建安置的，应当符合镇（街）国土空间规划、村规划，以及国家和本市关于宅基地建房的有关规定。同时按被搬迁合法产权房屋居住面积（不含畜圈等非居住功能房屋）每平方米400元的标准给予一次性自建房补助（包含新宅基地、水电等基础设施和配套设施）。</w:t>
      </w:r>
    </w:p>
    <w:p>
      <w:pPr>
        <w:keepNext w:val="0"/>
        <w:keepLines w:val="0"/>
        <w:pageBreakBefore w:val="0"/>
        <w:kinsoku/>
        <w:wordWrap/>
        <w:overflowPunct/>
        <w:topLinePunct w:val="0"/>
        <w:bidi w:val="0"/>
        <w:spacing w:line="576"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安置房安置</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住房安置对象选择安置房安置的，住房安置建筑面积标准为每人30平方米。应安置建筑面积的部分，按照《</w:t>
      </w:r>
      <w:r>
        <w:rPr>
          <w:rFonts w:hint="default" w:ascii="Times New Roman" w:hAnsi="Times New Roman" w:eastAsia="方正仿宋_GBK" w:cs="Times New Roman"/>
          <w:color w:val="auto"/>
          <w:sz w:val="32"/>
          <w:szCs w:val="32"/>
          <w:lang w:val="en-US" w:eastAsia="zh-CN"/>
        </w:rPr>
        <w:t>重庆市綦江区人民政府关于印发重庆市綦江区集体土地征收补偿安置实施办法的通知</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綦江府发〔2021〕1</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砖混结构房屋的重置价格标准（1020元/平方米）购买。因户型设计等原因，以户为单位，安置房超过应安置建筑面积不满5平方米的部分，按照安置房建安造价的50%（650元/平方米）购买；超过应安置建筑面积5平方米以上不满10平方米的部分，按照安置房建安造价（1300元/平方米）购买；超过应安置建筑面积10平方米以上的部分，按照住房货币安置价格标准</w:t>
      </w:r>
      <w:r>
        <w:rPr>
          <w:rFonts w:hint="default" w:ascii="Times New Roman" w:hAnsi="Times New Roman" w:eastAsia="方正仿宋_GBK" w:cs="Times New Roman"/>
          <w:color w:val="auto"/>
          <w:sz w:val="32"/>
          <w:szCs w:val="32"/>
          <w:lang w:val="en-US" w:eastAsia="zh-CN"/>
        </w:rPr>
        <w:t>3200</w:t>
      </w:r>
      <w:r>
        <w:rPr>
          <w:rFonts w:hint="default" w:ascii="Times New Roman" w:hAnsi="Times New Roman" w:eastAsia="方正仿宋_GBK" w:cs="Times New Roman"/>
          <w:color w:val="auto"/>
          <w:sz w:val="32"/>
          <w:szCs w:val="32"/>
        </w:rPr>
        <w:t>元/平方米购买</w:t>
      </w:r>
      <w:r>
        <w:rPr>
          <w:rFonts w:hint="default" w:ascii="Times New Roman" w:hAnsi="Times New Roman" w:eastAsia="方正仿宋_GBK" w:cs="Times New Roman"/>
          <w:color w:val="auto"/>
          <w:sz w:val="32"/>
          <w:szCs w:val="32"/>
          <w:lang w:eastAsia="zh-CN"/>
        </w:rPr>
        <w:t>。</w:t>
      </w:r>
    </w:p>
    <w:p>
      <w:pPr>
        <w:keepNext w:val="0"/>
        <w:keepLines w:val="0"/>
        <w:pageBreakBefore w:val="0"/>
        <w:kinsoku/>
        <w:wordWrap/>
        <w:overflowPunct/>
        <w:topLinePunct w:val="0"/>
        <w:bidi w:val="0"/>
        <w:spacing w:line="576"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货币安置</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住房安置对象选择货币安置的，住房货币安置建筑面积标准为每人30平方米</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货币安置款额等于住房货币安置价格标准乘以应安置建筑面积。住房货币安置价格标准为</w:t>
      </w:r>
      <w:r>
        <w:rPr>
          <w:rFonts w:hint="default" w:ascii="Times New Roman" w:hAnsi="Times New Roman" w:eastAsia="方正仿宋_GBK" w:cs="Times New Roman"/>
          <w:color w:val="auto"/>
          <w:sz w:val="32"/>
          <w:szCs w:val="32"/>
          <w:lang w:val="en-US" w:eastAsia="zh-CN"/>
        </w:rPr>
        <w:t>32</w:t>
      </w:r>
      <w:r>
        <w:rPr>
          <w:rFonts w:hint="default" w:ascii="Times New Roman" w:hAnsi="Times New Roman" w:eastAsia="方正仿宋_GBK" w:cs="Times New Roman"/>
          <w:color w:val="auto"/>
          <w:sz w:val="32"/>
          <w:szCs w:val="32"/>
        </w:rPr>
        <w:t>00元/平方米。</w:t>
      </w:r>
    </w:p>
    <w:p>
      <w:pPr>
        <w:keepNext w:val="0"/>
        <w:keepLines w:val="0"/>
        <w:pageBreakBefore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特殊安置</w:t>
      </w:r>
    </w:p>
    <w:p>
      <w:pPr>
        <w:keepNext w:val="0"/>
        <w:keepLines w:val="0"/>
        <w:pageBreakBefore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cs="Times New Roman"/>
          <w:color w:val="auto"/>
        </w:rPr>
      </w:pPr>
      <w:r>
        <w:rPr>
          <w:rFonts w:hint="default" w:ascii="Times New Roman" w:hAnsi="Times New Roman" w:eastAsia="方正仿宋_GBK" w:cs="Times New Roman"/>
          <w:color w:val="auto"/>
          <w:kern w:val="0"/>
          <w:sz w:val="32"/>
          <w:szCs w:val="32"/>
        </w:rPr>
        <w:t>①</w:t>
      </w:r>
      <w:r>
        <w:rPr>
          <w:rFonts w:hint="default" w:ascii="Times New Roman" w:hAnsi="Times New Roman" w:eastAsia="方正仿宋_GBK" w:cs="Times New Roman"/>
          <w:color w:val="auto"/>
          <w:sz w:val="32"/>
          <w:szCs w:val="32"/>
        </w:rPr>
        <w:t>住房安置对象夫妻双方均无子女，实行安置房安置或者货币安置时，可以申请增加15平方米建筑面积的住房或者对应的货币补偿。</w:t>
      </w:r>
    </w:p>
    <w:p>
      <w:pPr>
        <w:keepNext w:val="0"/>
        <w:keepLines w:val="0"/>
        <w:pageBreakBefore w:val="0"/>
        <w:widowControl/>
        <w:kinsoku/>
        <w:wordWrap/>
        <w:overflowPunct/>
        <w:topLinePunct w:val="0"/>
        <w:bidi w:val="0"/>
        <w:spacing w:line="576" w:lineRule="exact"/>
        <w:ind w:left="0"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②</w:t>
      </w:r>
      <w:r>
        <w:rPr>
          <w:rFonts w:hint="default" w:ascii="Times New Roman" w:hAnsi="Times New Roman" w:eastAsia="方正仿宋_GBK" w:cs="Times New Roman"/>
          <w:color w:val="auto"/>
          <w:sz w:val="32"/>
          <w:szCs w:val="32"/>
        </w:rPr>
        <w:t>住房安置对象已达法定婚龄未婚的（不含离异、丧偶未再婚等情形）</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可以申请增加15平方米建筑面积的住房或者对应的货币补偿。</w:t>
      </w:r>
    </w:p>
    <w:p>
      <w:pPr>
        <w:pStyle w:val="11"/>
        <w:keepNext w:val="0"/>
        <w:keepLines w:val="0"/>
        <w:pageBreakBefore w:val="0"/>
        <w:kinsoku/>
        <w:wordWrap/>
        <w:overflowPunct/>
        <w:topLinePunct w:val="0"/>
        <w:bidi w:val="0"/>
        <w:spacing w:line="576"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③住房安置对象的配偶及其未成年子女和被搬迁房屋的不动产权持证人及其配偶、未成年子女，不属于被征地农村集体经济组织总人口范围，同时符合下列条件：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长期居住在被征收范围内；征地前未实行征地住房安置；住房安置对象或被搬迁住房所有权人及其配偶和未成年子女均无商品房和其他农村住房，也未享受过福利房、经济适用房、安置房等住房；不享有其他农村集体经济组织宅基地权利。</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可按以下规定申请住房安置：住房安置对象的配偶或者未成年子女，实行安置房安置或者货币安置</w:t>
      </w:r>
      <w:r>
        <w:rPr>
          <w:rFonts w:hint="default" w:ascii="Times New Roman" w:hAnsi="Times New Roman" w:eastAsia="方正仿宋_GBK" w:cs="Times New Roman"/>
          <w:color w:val="auto"/>
          <w:spacing w:val="-6"/>
          <w:sz w:val="32"/>
          <w:szCs w:val="32"/>
        </w:rPr>
        <w:t>时，可以申请15平方米建筑面积的住房，与住房安置对象合并安</w:t>
      </w:r>
      <w:r>
        <w:rPr>
          <w:rFonts w:hint="default" w:ascii="Times New Roman" w:hAnsi="Times New Roman" w:eastAsia="方正仿宋_GBK" w:cs="Times New Roman"/>
          <w:color w:val="auto"/>
          <w:sz w:val="32"/>
          <w:szCs w:val="32"/>
        </w:rPr>
        <w:t>置。</w:t>
      </w:r>
    </w:p>
    <w:p>
      <w:pPr>
        <w:pStyle w:val="11"/>
        <w:keepNext w:val="0"/>
        <w:keepLines w:val="0"/>
        <w:pageBreakBefore w:val="0"/>
        <w:kinsoku/>
        <w:wordWrap/>
        <w:overflowPunct/>
        <w:topLinePunct w:val="0"/>
        <w:bidi w:val="0"/>
        <w:spacing w:line="576"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被搬迁住房所有权人及其配偶，实行安置房安置或货币安置时，可以申请30平方米建筑面积的住房，其未成年子女可申请增加15平方米建筑面积的住房与其合并安置。但通过买卖、继承、赠与、交换、分家析产、司法处置等方式取得被搬迁房屋所有权证书的，被搬迁房屋按重置价格标准上浮50%予以补助，不予住房安置。</w:t>
      </w:r>
    </w:p>
    <w:p>
      <w:pPr>
        <w:keepNext w:val="0"/>
        <w:keepLines w:val="0"/>
        <w:pageBreakBefore w:val="0"/>
        <w:kinsoku/>
        <w:wordWrap/>
        <w:overflowPunct/>
        <w:topLinePunct w:val="0"/>
        <w:bidi w:val="0"/>
        <w:spacing w:line="576"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搬迁费。征地搬迁农村住房，搬迁费按户两次计发，每次标准为3人以下（含3人），每户1500元；4人，每户2000元；5人以上（含5人），每户2500元，用于被搬迁户搬家及生产生活设施迁移需要的费用。</w:t>
      </w:r>
    </w:p>
    <w:p>
      <w:pPr>
        <w:keepNext w:val="0"/>
        <w:keepLines w:val="0"/>
        <w:pageBreakBefore w:val="0"/>
        <w:kinsoku/>
        <w:wordWrap/>
        <w:overflowPunct/>
        <w:topLinePunct w:val="0"/>
        <w:bidi w:val="0"/>
        <w:spacing w:line="576"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临时安置费。选择农村宅基地自建安置的，按照符合宅基地申请条件的人员每人每月200元计算并一次性支付18个月的临时安置费。</w:t>
      </w:r>
    </w:p>
    <w:p>
      <w:pPr>
        <w:keepNext w:val="0"/>
        <w:keepLines w:val="0"/>
        <w:pageBreakBefore w:val="0"/>
        <w:kinsoku/>
        <w:wordWrap/>
        <w:overflowPunct/>
        <w:topLinePunct w:val="0"/>
        <w:bidi w:val="0"/>
        <w:spacing w:line="576"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行安置房安置的，自被搬迁住房腾空验收交付搬迁之月起至安置房通知交付后6个月止，按照应安置建筑面积每月每平方米10元计算支付临时安置费；临时过渡期限最长为3年，不满3年的按实际过渡期限计算，超过3年的，从逾期之月起临时安置费按应安置建筑面积每月每平方米20元计算。</w:t>
      </w:r>
    </w:p>
    <w:p>
      <w:pPr>
        <w:keepNext w:val="0"/>
        <w:keepLines w:val="0"/>
        <w:pageBreakBefore w:val="0"/>
        <w:kinsoku/>
        <w:wordWrap/>
        <w:overflowPunct/>
        <w:topLinePunct w:val="0"/>
        <w:bidi w:val="0"/>
        <w:spacing w:line="576" w:lineRule="exact"/>
        <w:ind w:left="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选择住房货币安置的，按照应安置建筑面积每月每平方米10元计算并一次性支付12个月的临时安置费。</w:t>
      </w:r>
    </w:p>
    <w:p>
      <w:pPr>
        <w:keepNext w:val="0"/>
        <w:keepLines w:val="0"/>
        <w:pageBreakBefore w:val="0"/>
        <w:kinsoku/>
        <w:wordWrap/>
        <w:overflowPunct/>
        <w:topLinePunct w:val="0"/>
        <w:bidi w:val="0"/>
        <w:adjustRightInd w:val="0"/>
        <w:snapToGrid w:val="0"/>
        <w:spacing w:line="576" w:lineRule="exact"/>
        <w:ind w:left="0" w:firstLine="608"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仿宋_GBK" w:cs="Times New Roman"/>
          <w:color w:val="auto"/>
          <w:spacing w:val="-8"/>
          <w:sz w:val="32"/>
          <w:szCs w:val="32"/>
          <w:lang w:val="en-US" w:eastAsia="zh-CN"/>
        </w:rPr>
        <w:t>（7）特殊对象搬迁费和过渡费补助。</w:t>
      </w:r>
      <w:r>
        <w:rPr>
          <w:rFonts w:hint="default" w:ascii="Times New Roman" w:hAnsi="Times New Roman" w:eastAsia="方正仿宋_GBK" w:cs="Times New Roman"/>
          <w:color w:val="auto"/>
          <w:spacing w:val="-8"/>
          <w:sz w:val="32"/>
          <w:szCs w:val="32"/>
        </w:rPr>
        <w:t>对</w:t>
      </w:r>
      <w:r>
        <w:rPr>
          <w:rFonts w:hint="default" w:ascii="Times New Roman" w:hAnsi="Times New Roman" w:eastAsia="方正仿宋_GBK" w:cs="Times New Roman"/>
          <w:color w:val="auto"/>
          <w:spacing w:val="-8"/>
          <w:sz w:val="32"/>
          <w:szCs w:val="32"/>
          <w:lang w:val="en-US" w:eastAsia="zh-CN"/>
        </w:rPr>
        <w:t>按</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重庆市綦江区人民政府关于印发重庆市綦江区集体土地征收补偿安置实施办法的通知</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綦江府发〔2021〕1</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pacing w:val="-8"/>
          <w:sz w:val="32"/>
          <w:szCs w:val="32"/>
          <w:lang w:val="en-US" w:eastAsia="zh-CN"/>
        </w:rPr>
        <w:t>规定实施住房安置家庭户中，不能予以住房安置的同户籍其他家庭成员</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lang w:val="en-US" w:eastAsia="zh-CN"/>
        </w:rPr>
        <w:t>纳入本户家庭人员合并计算，并按照政策规定标准支付该户住房搬迁费；对</w:t>
      </w:r>
      <w:r>
        <w:rPr>
          <w:rFonts w:hint="default" w:ascii="Times New Roman" w:hAnsi="Times New Roman" w:eastAsia="方正仿宋_GBK" w:cs="Times New Roman"/>
          <w:color w:val="auto"/>
          <w:spacing w:val="-8"/>
          <w:sz w:val="32"/>
          <w:szCs w:val="32"/>
        </w:rPr>
        <w:t>符合</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重庆市綦江区人民政府关于印发重庆市綦江区集体土地征收补偿安置实施办法的通知</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綦江府发〔2021〕1</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pacing w:val="-8"/>
          <w:sz w:val="32"/>
          <w:szCs w:val="32"/>
        </w:rPr>
        <w:t>第</w:t>
      </w:r>
      <w:r>
        <w:rPr>
          <w:rFonts w:hint="default" w:ascii="Times New Roman" w:hAnsi="Times New Roman" w:eastAsia="方正仿宋_GBK" w:cs="Times New Roman"/>
          <w:color w:val="auto"/>
          <w:spacing w:val="-8"/>
          <w:sz w:val="32"/>
          <w:szCs w:val="32"/>
          <w:lang w:val="en-US" w:eastAsia="zh-CN"/>
        </w:rPr>
        <w:t>二十七</w:t>
      </w:r>
      <w:r>
        <w:rPr>
          <w:rFonts w:hint="default" w:ascii="Times New Roman" w:hAnsi="Times New Roman" w:eastAsia="方正仿宋_GBK" w:cs="Times New Roman"/>
          <w:color w:val="auto"/>
          <w:spacing w:val="-8"/>
          <w:sz w:val="32"/>
          <w:szCs w:val="32"/>
        </w:rPr>
        <w:t>条第三款规定不能</w:t>
      </w:r>
      <w:r>
        <w:rPr>
          <w:rFonts w:hint="default" w:ascii="Times New Roman" w:hAnsi="Times New Roman" w:eastAsia="方正仿宋_GBK" w:cs="Times New Roman"/>
          <w:color w:val="auto"/>
          <w:spacing w:val="-8"/>
          <w:sz w:val="32"/>
          <w:szCs w:val="32"/>
          <w:lang w:val="en-US" w:eastAsia="zh-CN"/>
        </w:rPr>
        <w:t>予以</w:t>
      </w:r>
      <w:r>
        <w:rPr>
          <w:rFonts w:hint="default" w:ascii="Times New Roman" w:hAnsi="Times New Roman" w:eastAsia="方正仿宋_GBK" w:cs="Times New Roman"/>
          <w:color w:val="auto"/>
          <w:spacing w:val="-8"/>
          <w:sz w:val="32"/>
          <w:szCs w:val="32"/>
        </w:rPr>
        <w:t>住房安置的家庭户</w:t>
      </w:r>
      <w:r>
        <w:rPr>
          <w:rFonts w:hint="default" w:ascii="Times New Roman" w:hAnsi="Times New Roman" w:eastAsia="方正仿宋_GBK" w:cs="Times New Roman"/>
          <w:color w:val="auto"/>
          <w:spacing w:val="-8"/>
          <w:sz w:val="32"/>
          <w:szCs w:val="32"/>
          <w:lang w:val="en-US" w:eastAsia="zh-CN"/>
        </w:rPr>
        <w:t>人员，参照政策规定标准支付临时安置费</w:t>
      </w:r>
      <w:r>
        <w:rPr>
          <w:rFonts w:hint="eastAsia" w:eastAsia="方正仿宋_GBK" w:cs="Times New Roman"/>
          <w:color w:val="auto"/>
          <w:spacing w:val="-8"/>
          <w:sz w:val="32"/>
          <w:szCs w:val="32"/>
          <w:lang w:val="en-US" w:eastAsia="zh-CN"/>
        </w:rPr>
        <w:t>，</w:t>
      </w:r>
      <w:r>
        <w:rPr>
          <w:rFonts w:hint="default" w:ascii="Times New Roman" w:hAnsi="Times New Roman" w:eastAsia="方正仿宋_GBK" w:cs="Times New Roman"/>
          <w:color w:val="auto"/>
          <w:spacing w:val="-8"/>
          <w:sz w:val="32"/>
          <w:szCs w:val="32"/>
          <w:lang w:val="en-US" w:eastAsia="zh-CN"/>
        </w:rPr>
        <w:t>标准</w:t>
      </w:r>
      <w:r>
        <w:rPr>
          <w:rFonts w:hint="default" w:ascii="Times New Roman" w:hAnsi="Times New Roman" w:eastAsia="方正仿宋_GBK" w:cs="Times New Roman"/>
          <w:color w:val="auto"/>
          <w:spacing w:val="-8"/>
          <w:sz w:val="32"/>
          <w:szCs w:val="32"/>
        </w:rPr>
        <w:t>按每人3600元计发。</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outlineLvl w:val="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三</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社会保障</w:t>
      </w:r>
    </w:p>
    <w:p>
      <w:pPr>
        <w:keepNext w:val="0"/>
        <w:keepLines w:val="0"/>
        <w:pageBreakBefore w:val="0"/>
        <w:kinsoku/>
        <w:wordWrap/>
        <w:overflowPunct/>
        <w:topLinePunct w:val="0"/>
        <w:bidi w:val="0"/>
        <w:adjustRightInd w:val="0"/>
        <w:snapToGrid w:val="0"/>
        <w:spacing w:line="576" w:lineRule="exact"/>
        <w:ind w:left="0" w:firstLine="608" w:firstLineChars="200"/>
        <w:jc w:val="both"/>
        <w:textAlignment w:val="auto"/>
        <w:rPr>
          <w:rFonts w:hint="default" w:ascii="Times New Roman" w:hAnsi="Times New Roman" w:eastAsia="方正仿宋_GBK" w:cs="Times New Roman"/>
          <w:color w:val="auto"/>
          <w:spacing w:val="-8"/>
          <w:sz w:val="32"/>
          <w:szCs w:val="32"/>
        </w:rPr>
      </w:pPr>
      <w:r>
        <w:rPr>
          <w:rFonts w:hint="default" w:ascii="Times New Roman" w:hAnsi="Times New Roman" w:eastAsia="方正仿宋_GBK" w:cs="Times New Roman"/>
          <w:color w:val="auto"/>
          <w:spacing w:val="-8"/>
          <w:sz w:val="32"/>
          <w:szCs w:val="32"/>
        </w:rPr>
        <w:t>对符合条件的征地人员安置对象参加基本养老保险实施缴费补贴，具体如下：</w:t>
      </w:r>
    </w:p>
    <w:p>
      <w:pPr>
        <w:pStyle w:val="11"/>
        <w:keepNext w:val="0"/>
        <w:keepLines w:val="0"/>
        <w:pageBreakBefore w:val="0"/>
        <w:kinsoku/>
        <w:wordWrap/>
        <w:overflowPunct/>
        <w:topLinePunct w:val="0"/>
        <w:bidi w:val="0"/>
        <w:adjustRightInd w:val="0"/>
        <w:spacing w:line="576" w:lineRule="exact"/>
        <w:ind w:left="0" w:firstLine="608" w:firstLineChars="200"/>
        <w:jc w:val="both"/>
        <w:textAlignment w:val="auto"/>
        <w:rPr>
          <w:rFonts w:hint="default" w:ascii="Times New Roman" w:hAnsi="Times New Roman" w:eastAsia="方正仿宋_GBK" w:cs="Times New Roman"/>
          <w:color w:val="auto"/>
          <w:spacing w:val="-8"/>
          <w:sz w:val="32"/>
          <w:szCs w:val="32"/>
        </w:rPr>
      </w:pPr>
      <w:r>
        <w:rPr>
          <w:rFonts w:hint="default" w:ascii="Times New Roman" w:hAnsi="Times New Roman" w:eastAsia="方正仿宋_GBK" w:cs="Times New Roman"/>
          <w:color w:val="auto"/>
          <w:spacing w:val="-8"/>
          <w:sz w:val="32"/>
          <w:szCs w:val="32"/>
          <w:lang w:val="en-US" w:eastAsia="zh-CN"/>
        </w:rPr>
        <w:t>1</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spacing w:val="-8"/>
          <w:sz w:val="32"/>
          <w:szCs w:val="32"/>
        </w:rPr>
        <w:t>补贴对象。征地人员安置对象中，在征收土地公告当月年满16周岁及以上的人员。</w:t>
      </w:r>
    </w:p>
    <w:p>
      <w:pPr>
        <w:pStyle w:val="11"/>
        <w:keepNext w:val="0"/>
        <w:keepLines w:val="0"/>
        <w:pageBreakBefore w:val="0"/>
        <w:kinsoku/>
        <w:wordWrap/>
        <w:overflowPunct/>
        <w:topLinePunct w:val="0"/>
        <w:bidi w:val="0"/>
        <w:adjustRightInd w:val="0"/>
        <w:spacing w:line="576" w:lineRule="exact"/>
        <w:ind w:left="0" w:firstLine="608" w:firstLineChars="200"/>
        <w:jc w:val="both"/>
        <w:textAlignment w:val="auto"/>
        <w:rPr>
          <w:rFonts w:hint="default" w:ascii="Times New Roman" w:hAnsi="Times New Roman" w:eastAsia="方正仿宋_GBK" w:cs="Times New Roman"/>
          <w:color w:val="auto"/>
          <w:spacing w:val="-8"/>
          <w:sz w:val="32"/>
          <w:szCs w:val="32"/>
        </w:rPr>
      </w:pPr>
      <w:r>
        <w:rPr>
          <w:rFonts w:hint="default" w:ascii="Times New Roman" w:hAnsi="Times New Roman" w:eastAsia="方正仿宋_GBK" w:cs="Times New Roman"/>
          <w:color w:val="auto"/>
          <w:spacing w:val="-8"/>
          <w:sz w:val="32"/>
          <w:szCs w:val="32"/>
        </w:rPr>
        <w:t>以下人员不属于补贴对象：</w:t>
      </w:r>
    </w:p>
    <w:p>
      <w:pPr>
        <w:pStyle w:val="11"/>
        <w:keepNext w:val="0"/>
        <w:keepLines w:val="0"/>
        <w:pageBreakBefore w:val="0"/>
        <w:numPr>
          <w:ilvl w:val="0"/>
          <w:numId w:val="0"/>
        </w:numPr>
        <w:kinsoku/>
        <w:wordWrap/>
        <w:overflowPunct/>
        <w:topLinePunct w:val="0"/>
        <w:bidi w:val="0"/>
        <w:adjustRightInd w:val="0"/>
        <w:spacing w:line="576" w:lineRule="exact"/>
        <w:ind w:left="0" w:firstLine="608" w:firstLineChars="200"/>
        <w:jc w:val="both"/>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8"/>
          <w:sz w:val="32"/>
          <w:szCs w:val="32"/>
          <w:lang w:val="en-US" w:eastAsia="zh-CN"/>
        </w:rPr>
        <w:t>（1）</w:t>
      </w:r>
      <w:r>
        <w:rPr>
          <w:rFonts w:hint="default" w:ascii="Times New Roman" w:hAnsi="Times New Roman" w:eastAsia="方正仿宋_GBK" w:cs="Times New Roman"/>
          <w:color w:val="auto"/>
          <w:spacing w:val="-8"/>
          <w:sz w:val="32"/>
          <w:szCs w:val="32"/>
        </w:rPr>
        <w:t>按照或参照渝府发</w:t>
      </w:r>
      <w:r>
        <w:rPr>
          <w:rFonts w:hint="default" w:ascii="Times New Roman" w:hAnsi="Times New Roman" w:eastAsia="方正仿宋_GBK" w:cs="Times New Roman"/>
          <w:color w:val="auto"/>
          <w:sz w:val="32"/>
          <w:szCs w:val="32"/>
        </w:rPr>
        <w:t>〔2008〕26号文件规定，已参加被征地农转非人员（被征地安置人员）基本养老保险的征地人员安置对象</w:t>
      </w:r>
      <w:r>
        <w:rPr>
          <w:rFonts w:hint="eastAsia" w:ascii="Times New Roman" w:hAnsi="Times New Roman" w:eastAsia="方正仿宋_GBK" w:cs="Times New Roman"/>
          <w:color w:val="auto"/>
          <w:sz w:val="32"/>
          <w:szCs w:val="32"/>
          <w:lang w:eastAsia="zh-CN"/>
        </w:rPr>
        <w:t>；</w:t>
      </w:r>
    </w:p>
    <w:p>
      <w:pPr>
        <w:pStyle w:val="11"/>
        <w:keepNext w:val="0"/>
        <w:keepLines w:val="0"/>
        <w:pageBreakBefore w:val="0"/>
        <w:numPr>
          <w:ilvl w:val="0"/>
          <w:numId w:val="0"/>
        </w:numPr>
        <w:kinsoku/>
        <w:wordWrap/>
        <w:overflowPunct/>
        <w:topLinePunct w:val="0"/>
        <w:bidi w:val="0"/>
        <w:adjustRightInd w:val="0"/>
        <w:spacing w:line="576"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在征收土地公告当月前已死</w:t>
      </w:r>
      <w:r>
        <w:rPr>
          <w:rFonts w:hint="default" w:ascii="Times New Roman" w:hAnsi="Times New Roman" w:eastAsia="方正仿宋_GBK" w:cs="Times New Roman"/>
          <w:color w:val="auto"/>
          <w:spacing w:val="-6"/>
          <w:sz w:val="32"/>
          <w:szCs w:val="32"/>
        </w:rPr>
        <w:t>亡，或已出国定居且终止基本养老保险关系的征地人员安置对</w:t>
      </w:r>
      <w:r>
        <w:rPr>
          <w:rFonts w:hint="default" w:ascii="Times New Roman" w:hAnsi="Times New Roman" w:eastAsia="方正仿宋_GBK" w:cs="Times New Roman"/>
          <w:color w:val="auto"/>
          <w:sz w:val="32"/>
          <w:szCs w:val="32"/>
        </w:rPr>
        <w:t>象。</w:t>
      </w:r>
    </w:p>
    <w:p>
      <w:pPr>
        <w:pStyle w:val="11"/>
        <w:keepNext w:val="0"/>
        <w:keepLines w:val="0"/>
        <w:pageBreakBefore w:val="0"/>
        <w:kinsoku/>
        <w:wordWrap/>
        <w:overflowPunct/>
        <w:topLinePunct w:val="0"/>
        <w:bidi w:val="0"/>
        <w:adjustRightInd w:val="0"/>
        <w:spacing w:line="576" w:lineRule="exact"/>
        <w:ind w:lef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sz w:val="32"/>
          <w:szCs w:val="32"/>
        </w:rPr>
        <w:t>补贴年限。根据补贴对象在征收土地公告当月的年龄确定补贴年限，最低2年，最高15年。具体补贴年限如下：</w:t>
      </w:r>
    </w:p>
    <w:tbl>
      <w:tblPr>
        <w:tblStyle w:val="8"/>
        <w:tblW w:w="8355"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7"/>
        <w:gridCol w:w="2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87"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年龄</w:t>
            </w:r>
          </w:p>
        </w:tc>
        <w:tc>
          <w:tcPr>
            <w:tcW w:w="2568"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补贴年限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787"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男性：年满50周岁及以上</w:t>
            </w:r>
          </w:p>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女性：年满40周岁及以上</w:t>
            </w:r>
          </w:p>
        </w:tc>
        <w:tc>
          <w:tcPr>
            <w:tcW w:w="2568"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87"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男性：年满40周岁不满50周岁</w:t>
            </w:r>
          </w:p>
        </w:tc>
        <w:tc>
          <w:tcPr>
            <w:tcW w:w="2568"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787"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年满38周岁不满40周岁</w:t>
            </w:r>
          </w:p>
        </w:tc>
        <w:tc>
          <w:tcPr>
            <w:tcW w:w="2568"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87"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年满36周岁不满38周岁</w:t>
            </w:r>
          </w:p>
        </w:tc>
        <w:tc>
          <w:tcPr>
            <w:tcW w:w="2568"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787"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年满34周岁不满36周岁</w:t>
            </w:r>
          </w:p>
        </w:tc>
        <w:tc>
          <w:tcPr>
            <w:tcW w:w="2568"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87"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年满32周岁不满34周岁</w:t>
            </w:r>
          </w:p>
        </w:tc>
        <w:tc>
          <w:tcPr>
            <w:tcW w:w="2568"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787"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年满30周岁不满32周岁</w:t>
            </w:r>
          </w:p>
        </w:tc>
        <w:tc>
          <w:tcPr>
            <w:tcW w:w="2568"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87"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年满28周岁不满30周岁</w:t>
            </w:r>
          </w:p>
        </w:tc>
        <w:tc>
          <w:tcPr>
            <w:tcW w:w="2568"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787"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年满26周岁不满28周岁</w:t>
            </w:r>
          </w:p>
        </w:tc>
        <w:tc>
          <w:tcPr>
            <w:tcW w:w="2568"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87"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年满24周岁不满26周岁</w:t>
            </w:r>
          </w:p>
        </w:tc>
        <w:tc>
          <w:tcPr>
            <w:tcW w:w="2568"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787"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年满22周岁不满24周岁</w:t>
            </w:r>
          </w:p>
        </w:tc>
        <w:tc>
          <w:tcPr>
            <w:tcW w:w="2568"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87"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年满20周岁不满22周岁</w:t>
            </w:r>
          </w:p>
        </w:tc>
        <w:tc>
          <w:tcPr>
            <w:tcW w:w="2568"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787"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年满18周岁不满20周岁</w:t>
            </w:r>
          </w:p>
        </w:tc>
        <w:tc>
          <w:tcPr>
            <w:tcW w:w="2568"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787"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年满16周岁不满18周岁</w:t>
            </w:r>
          </w:p>
        </w:tc>
        <w:tc>
          <w:tcPr>
            <w:tcW w:w="2568" w:type="dxa"/>
            <w:vAlign w:val="center"/>
          </w:tcPr>
          <w:p>
            <w:pPr>
              <w:pStyle w:val="11"/>
              <w:widowControl w:val="0"/>
              <w:jc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2年</w:t>
            </w:r>
          </w:p>
        </w:tc>
      </w:tr>
    </w:tbl>
    <w:p>
      <w:pPr>
        <w:pStyle w:val="11"/>
        <w:keepNext w:val="0"/>
        <w:keepLines w:val="0"/>
        <w:pageBreakBefore w:val="0"/>
        <w:kinsoku/>
        <w:wordWrap/>
        <w:overflowPunct/>
        <w:topLinePunct w:val="0"/>
        <w:bidi w:val="0"/>
        <w:spacing w:line="576" w:lineRule="exact"/>
        <w:ind w:left="0" w:firstLine="640" w:firstLineChars="200"/>
        <w:jc w:val="both"/>
        <w:textAlignment w:val="auto"/>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kern w:val="0"/>
          <w:sz w:val="32"/>
          <w:szCs w:val="32"/>
          <w:lang w:val="en-US" w:eastAsia="zh-CN"/>
        </w:rPr>
        <w:t>．</w:t>
      </w:r>
      <w:r>
        <w:rPr>
          <w:rFonts w:hint="eastAsia" w:ascii="方正仿宋_GBK" w:hAnsi="方正仿宋_GBK" w:eastAsia="方正仿宋_GBK" w:cs="方正仿宋_GBK"/>
          <w:color w:val="auto"/>
          <w:sz w:val="32"/>
          <w:szCs w:val="32"/>
        </w:rPr>
        <w:t>补贴方式</w:t>
      </w:r>
    </w:p>
    <w:p>
      <w:pPr>
        <w:pStyle w:val="11"/>
        <w:keepNext w:val="0"/>
        <w:keepLines w:val="0"/>
        <w:pageBreakBefore w:val="0"/>
        <w:kinsoku/>
        <w:wordWrap/>
        <w:overflowPunct/>
        <w:topLinePunct w:val="0"/>
        <w:bidi w:val="0"/>
        <w:spacing w:line="576" w:lineRule="exact"/>
        <w:ind w:left="0" w:firstLine="640" w:firstLineChars="200"/>
        <w:jc w:val="both"/>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征收土地公告当月，尚未达到基本养老保险金领取条件的补贴对象。</w:t>
      </w:r>
    </w:p>
    <w:p>
      <w:pPr>
        <w:pStyle w:val="11"/>
        <w:keepNext w:val="0"/>
        <w:keepLines w:val="0"/>
        <w:pageBreakBefore w:val="0"/>
        <w:kinsoku/>
        <w:wordWrap/>
        <w:overflowPunct/>
        <w:topLinePunct w:val="0"/>
        <w:bidi w:val="0"/>
        <w:spacing w:line="576" w:lineRule="exact"/>
        <w:ind w:left="0" w:firstLine="640" w:firstLineChars="200"/>
        <w:jc w:val="both"/>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w:t>
      </w:r>
      <w:r>
        <w:rPr>
          <w:rFonts w:hint="eastAsia" w:ascii="Times New Roman" w:hAnsi="Times New Roman" w:eastAsia="方正仿宋_GBK" w:cs="Times New Roman"/>
          <w:color w:val="auto"/>
          <w:sz w:val="32"/>
          <w:szCs w:val="32"/>
        </w:rPr>
        <w:t>征收土地公告后，在我市参加企业职工基本养老保险的，缴费补贴按年发放给本人。按月领取企业职工基本养老金后，已发放补贴年限未达到应补贴年限的，一次性将剩余年限缴费补贴发放给本人。</w:t>
      </w:r>
    </w:p>
    <w:p>
      <w:pPr>
        <w:pStyle w:val="11"/>
        <w:keepNext w:val="0"/>
        <w:keepLines w:val="0"/>
        <w:pageBreakBefore w:val="0"/>
        <w:kinsoku/>
        <w:wordWrap/>
        <w:overflowPunct/>
        <w:topLinePunct w:val="0"/>
        <w:bidi w:val="0"/>
        <w:spacing w:line="576" w:lineRule="exact"/>
        <w:ind w:left="0" w:firstLine="640" w:firstLineChars="200"/>
        <w:jc w:val="both"/>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w:t>
      </w:r>
      <w:r>
        <w:rPr>
          <w:rFonts w:hint="eastAsia" w:ascii="Times New Roman" w:hAnsi="Times New Roman" w:eastAsia="方正仿宋_GBK" w:cs="Times New Roman"/>
          <w:color w:val="auto"/>
          <w:sz w:val="32"/>
          <w:szCs w:val="32"/>
        </w:rPr>
        <w:t>征收土地公告后，在我市参加城乡居民基本养老保险的，缴费补贴按年记入其个人账户。年满60周岁时，已发放补贴年限未达到应补贴年限的，一次性将剩余年限缴费补贴记入其个人账户，按规定计发基本养老金。</w:t>
      </w:r>
    </w:p>
    <w:p>
      <w:pPr>
        <w:pStyle w:val="11"/>
        <w:keepNext w:val="0"/>
        <w:keepLines w:val="0"/>
        <w:pageBreakBefore w:val="0"/>
        <w:kinsoku/>
        <w:wordWrap/>
        <w:overflowPunct/>
        <w:topLinePunct w:val="0"/>
        <w:bidi w:val="0"/>
        <w:spacing w:line="576" w:lineRule="exact"/>
        <w:ind w:left="0" w:firstLine="640" w:firstLineChars="200"/>
        <w:jc w:val="both"/>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w:t>
      </w:r>
      <w:r>
        <w:rPr>
          <w:rFonts w:hint="eastAsia" w:ascii="Times New Roman" w:hAnsi="Times New Roman" w:eastAsia="方正仿宋_GBK" w:cs="Times New Roman"/>
          <w:color w:val="auto"/>
          <w:sz w:val="32"/>
          <w:szCs w:val="32"/>
        </w:rPr>
        <w:t>征收土地公告后，在市外参加基本养老保险的，可凭本人参保缴费凭证申请领取缴费补贴。</w:t>
      </w:r>
    </w:p>
    <w:p>
      <w:pPr>
        <w:pStyle w:val="11"/>
        <w:keepNext w:val="0"/>
        <w:keepLines w:val="0"/>
        <w:pageBreakBefore w:val="0"/>
        <w:kinsoku/>
        <w:wordWrap/>
        <w:overflowPunct/>
        <w:topLinePunct w:val="0"/>
        <w:bidi w:val="0"/>
        <w:spacing w:line="576" w:lineRule="exact"/>
        <w:ind w:left="0" w:firstLine="640" w:firstLineChars="200"/>
        <w:jc w:val="both"/>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征收土地公告当月，已达到基本养老保险金领取条件，或已超过法定退休年龄且未参加基本养老保险的补贴对象。</w:t>
      </w:r>
    </w:p>
    <w:p>
      <w:pPr>
        <w:pStyle w:val="11"/>
        <w:keepNext w:val="0"/>
        <w:keepLines w:val="0"/>
        <w:pageBreakBefore w:val="0"/>
        <w:kinsoku/>
        <w:wordWrap/>
        <w:overflowPunct/>
        <w:topLinePunct w:val="0"/>
        <w:bidi w:val="0"/>
        <w:spacing w:line="576" w:lineRule="exact"/>
        <w:ind w:left="0" w:firstLine="640" w:firstLineChars="200"/>
        <w:jc w:val="both"/>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w:t>
      </w:r>
      <w:r>
        <w:rPr>
          <w:rFonts w:hint="eastAsia" w:ascii="Times New Roman" w:hAnsi="Times New Roman" w:eastAsia="方正仿宋_GBK" w:cs="Times New Roman"/>
          <w:color w:val="auto"/>
          <w:sz w:val="32"/>
          <w:szCs w:val="32"/>
        </w:rPr>
        <w:t>参加我市企业职工基本养老保险并按月领取基本养老金的，一次性将缴费补贴发放给本人。</w:t>
      </w:r>
    </w:p>
    <w:p>
      <w:pPr>
        <w:pStyle w:val="11"/>
        <w:keepNext w:val="0"/>
        <w:keepLines w:val="0"/>
        <w:pageBreakBefore w:val="0"/>
        <w:widowControl w:val="0"/>
        <w:kinsoku/>
        <w:wordWrap/>
        <w:overflowPunct/>
        <w:topLinePunct w:val="0"/>
        <w:bidi w:val="0"/>
        <w:spacing w:line="576" w:lineRule="exact"/>
        <w:ind w:left="0" w:firstLine="640" w:firstLineChars="200"/>
        <w:jc w:val="both"/>
        <w:textAlignment w:val="auto"/>
        <w:rPr>
          <w:rFonts w:ascii="Times New Roman" w:hAnsi="Times New Roman" w:eastAsia="方正仿宋_GBK" w:cs="Times New Roman"/>
          <w:color w:val="auto"/>
          <w:sz w:val="32"/>
          <w:szCs w:val="32"/>
        </w:rPr>
        <w:pPrChange w:id="0" w:author="方宏胜" w:date="2025-03-18T16:37:48Z">
          <w:pPr>
            <w:pStyle w:val="11"/>
            <w:keepNext w:val="0"/>
            <w:keepLines w:val="0"/>
            <w:pageBreakBefore w:val="0"/>
            <w:kinsoku/>
            <w:wordWrap/>
            <w:overflowPunct/>
            <w:topLinePunct w:val="0"/>
            <w:bidi w:val="0"/>
            <w:spacing w:line="576" w:lineRule="exact"/>
            <w:ind w:left="0" w:firstLine="640" w:firstLineChars="200"/>
            <w:jc w:val="both"/>
            <w:textAlignment w:val="auto"/>
          </w:pPr>
        </w:pPrChange>
      </w:pPr>
      <w:r>
        <w:rPr>
          <w:rFonts w:hint="default" w:ascii="Times New Roman" w:hAnsi="Times New Roman" w:eastAsia="方正仿宋_GBK" w:cs="Times New Roman"/>
          <w:color w:val="auto"/>
          <w:sz w:val="32"/>
          <w:szCs w:val="32"/>
        </w:rPr>
        <w:t>②</w:t>
      </w:r>
      <w:r>
        <w:rPr>
          <w:rFonts w:hint="eastAsia" w:ascii="Times New Roman" w:hAnsi="Times New Roman" w:eastAsia="方正仿宋_GBK" w:cs="Times New Roman"/>
          <w:color w:val="auto"/>
          <w:sz w:val="32"/>
          <w:szCs w:val="32"/>
        </w:rPr>
        <w:t>参加我市城乡居民基本养老保险并按月领取养老金的，一次性将缴费补贴记入其个人账户，重新核定养老金待遇，从征收土地公告的次月起发放。</w:t>
      </w:r>
    </w:p>
    <w:p>
      <w:pPr>
        <w:pStyle w:val="11"/>
        <w:keepNext w:val="0"/>
        <w:keepLines w:val="0"/>
        <w:pageBreakBefore w:val="0"/>
        <w:kinsoku/>
        <w:wordWrap/>
        <w:overflowPunct/>
        <w:topLinePunct w:val="0"/>
        <w:bidi w:val="0"/>
        <w:spacing w:line="576" w:lineRule="exact"/>
        <w:ind w:left="0" w:firstLine="640" w:firstLineChars="200"/>
        <w:jc w:val="both"/>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w:t>
      </w:r>
      <w:r>
        <w:rPr>
          <w:rFonts w:hint="eastAsia" w:ascii="Times New Roman" w:hAnsi="Times New Roman" w:eastAsia="方正仿宋_GBK" w:cs="Times New Roman"/>
          <w:color w:val="auto"/>
          <w:sz w:val="32"/>
          <w:szCs w:val="32"/>
        </w:rPr>
        <w:t>在市外领取基本养老金的，经本人申请，可一次性将缴费补贴发给本人。</w:t>
      </w:r>
    </w:p>
    <w:p>
      <w:pPr>
        <w:pStyle w:val="11"/>
        <w:keepNext w:val="0"/>
        <w:keepLines w:val="0"/>
        <w:pageBreakBefore w:val="0"/>
        <w:kinsoku/>
        <w:wordWrap/>
        <w:overflowPunct/>
        <w:topLinePunct w:val="0"/>
        <w:bidi w:val="0"/>
        <w:spacing w:line="576" w:lineRule="exact"/>
        <w:ind w:left="0" w:firstLine="640" w:firstLineChars="200"/>
        <w:jc w:val="both"/>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④</w:t>
      </w:r>
      <w:r>
        <w:rPr>
          <w:rFonts w:hint="eastAsia" w:ascii="Times New Roman" w:hAnsi="Times New Roman" w:eastAsia="方正仿宋_GBK" w:cs="Times New Roman"/>
          <w:color w:val="auto"/>
          <w:sz w:val="32"/>
          <w:szCs w:val="32"/>
        </w:rPr>
        <w:t>年满60周岁及以上，且征地时没有参加基本养老保险的补贴对象，纳入城乡居民基本养老保险，一次性将缴费补贴记入其个人账户，按城乡居民基本养老保险规定计发养老金待遇，从征收土地公告的次月起发放。</w:t>
      </w:r>
    </w:p>
    <w:p>
      <w:pPr>
        <w:pStyle w:val="11"/>
        <w:keepNext w:val="0"/>
        <w:keepLines w:val="0"/>
        <w:pageBreakBefore w:val="0"/>
        <w:kinsoku/>
        <w:wordWrap/>
        <w:overflowPunct/>
        <w:topLinePunct w:val="0"/>
        <w:bidi w:val="0"/>
        <w:spacing w:line="576" w:lineRule="exact"/>
        <w:ind w:left="0" w:firstLine="640" w:firstLineChars="200"/>
        <w:jc w:val="both"/>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Times New Roman"/>
          <w:bCs/>
          <w:color w:val="auto"/>
          <w:kern w:val="2"/>
          <w:sz w:val="32"/>
          <w:szCs w:val="32"/>
          <w:lang w:val="en-US" w:eastAsia="zh-CN" w:bidi="ar-SA"/>
        </w:rPr>
        <w:t>4</w:t>
      </w:r>
      <w:r>
        <w:rPr>
          <w:rFonts w:hint="eastAsia" w:ascii="Times New Roman" w:hAnsi="Times New Roman" w:eastAsia="方正仿宋_GBK" w:cs="Times New Roman"/>
          <w:color w:val="auto"/>
          <w:kern w:val="0"/>
          <w:sz w:val="32"/>
          <w:szCs w:val="32"/>
          <w:lang w:val="en-US" w:eastAsia="zh-CN"/>
        </w:rPr>
        <w:t>．</w:t>
      </w:r>
      <w:r>
        <w:rPr>
          <w:rFonts w:hint="eastAsia" w:ascii="方正仿宋_GBK" w:hAnsi="方正仿宋_GBK" w:eastAsia="方正仿宋_GBK" w:cs="方正仿宋_GBK"/>
          <w:color w:val="auto"/>
          <w:sz w:val="32"/>
          <w:szCs w:val="32"/>
        </w:rPr>
        <w:t>缴费补贴标准。</w:t>
      </w:r>
      <w:r>
        <w:rPr>
          <w:rFonts w:ascii="Times New Roman" w:hAnsi="Times New Roman" w:eastAsia="方正仿宋_GBK" w:cs="Times New Roman"/>
          <w:color w:val="auto"/>
          <w:sz w:val="32"/>
          <w:szCs w:val="32"/>
        </w:rPr>
        <w:t>缴费补贴标准为5500元/人</w:t>
      </w:r>
      <w:r>
        <w:rPr>
          <w:rFonts w:hint="eastAsia" w:ascii="Times New Roman" w:hAnsi="Times New Roman" w:eastAsia="方正仿宋_GBK" w:cs="Times New Roman"/>
          <w:color w:val="auto"/>
          <w:sz w:val="32"/>
          <w:szCs w:val="32"/>
          <w:lang w:val="en-US" w:eastAsia="zh-CN"/>
        </w:rPr>
        <w:t>·</w:t>
      </w:r>
      <w:r>
        <w:rPr>
          <w:rFonts w:ascii="Times New Roman" w:hAnsi="Times New Roman" w:eastAsia="方正仿宋_GBK" w:cs="Times New Roman"/>
          <w:color w:val="auto"/>
          <w:sz w:val="32"/>
          <w:szCs w:val="32"/>
        </w:rPr>
        <w:t>年。</w:t>
      </w:r>
    </w:p>
    <w:p>
      <w:pPr>
        <w:pStyle w:val="11"/>
        <w:keepNext w:val="0"/>
        <w:keepLines w:val="0"/>
        <w:pageBreakBefore w:val="0"/>
        <w:kinsoku/>
        <w:wordWrap/>
        <w:overflowPunct/>
        <w:topLinePunct w:val="0"/>
        <w:bidi w:val="0"/>
        <w:spacing w:line="576" w:lineRule="exact"/>
        <w:ind w:left="0" w:firstLine="640" w:firstLineChars="200"/>
        <w:jc w:val="both"/>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Times New Roman"/>
          <w:bCs/>
          <w:color w:val="auto"/>
          <w:kern w:val="2"/>
          <w:sz w:val="32"/>
          <w:szCs w:val="32"/>
          <w:lang w:val="en-US" w:eastAsia="zh-CN" w:bidi="ar-SA"/>
        </w:rPr>
        <w:t>5</w:t>
      </w:r>
      <w:r>
        <w:rPr>
          <w:rFonts w:hint="eastAsia" w:ascii="Times New Roman" w:hAnsi="Times New Roman" w:eastAsia="方正仿宋_GBK" w:cs="Times New Roman"/>
          <w:color w:val="auto"/>
          <w:kern w:val="0"/>
          <w:sz w:val="32"/>
          <w:szCs w:val="32"/>
          <w:lang w:val="en-US" w:eastAsia="zh-CN"/>
        </w:rPr>
        <w:t>．</w:t>
      </w:r>
      <w:r>
        <w:rPr>
          <w:rFonts w:hint="eastAsia" w:ascii="方正仿宋_GBK" w:hAnsi="方正仿宋_GBK" w:eastAsia="方正仿宋_GBK" w:cs="方正仿宋_GBK"/>
          <w:color w:val="auto"/>
          <w:sz w:val="32"/>
          <w:szCs w:val="32"/>
        </w:rPr>
        <w:t>其他事项。</w:t>
      </w:r>
      <w:r>
        <w:rPr>
          <w:rFonts w:ascii="Times New Roman" w:hAnsi="Times New Roman" w:eastAsia="方正仿宋_GBK" w:cs="Times New Roman"/>
          <w:color w:val="auto"/>
          <w:sz w:val="32"/>
          <w:szCs w:val="32"/>
        </w:rPr>
        <w:t>具体补贴办法及其他有关规定，按照《重庆市人民政府办公厅关于做好征地人员安置对象参加基本养老保险并实施缴费补贴政策有关工作的通知》（渝府办发〔2021〕96号）</w:t>
      </w:r>
      <w:r>
        <w:rPr>
          <w:rFonts w:hint="eastAsia" w:ascii="Times New Roman" w:hAnsi="Times New Roman" w:eastAsia="方正仿宋_GBK" w:cs="Times New Roman"/>
          <w:color w:val="auto"/>
          <w:sz w:val="32"/>
          <w:szCs w:val="32"/>
        </w:rPr>
        <w:t>和</w:t>
      </w:r>
      <w:r>
        <w:rPr>
          <w:rFonts w:ascii="Times New Roman" w:hAnsi="Times New Roman" w:eastAsia="方正仿宋_GBK" w:cs="Times New Roman"/>
          <w:color w:val="auto"/>
          <w:sz w:val="32"/>
          <w:szCs w:val="32"/>
        </w:rPr>
        <w:t>《重庆市</w:t>
      </w:r>
      <w:r>
        <w:rPr>
          <w:rFonts w:hint="eastAsia" w:ascii="Times New Roman" w:hAnsi="Times New Roman" w:eastAsia="方正仿宋_GBK" w:cs="Times New Roman"/>
          <w:color w:val="auto"/>
          <w:sz w:val="32"/>
          <w:szCs w:val="32"/>
        </w:rPr>
        <w:t>人力资源和社会保障局</w:t>
      </w: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rPr>
        <w:t>重庆市财政局</w:t>
      </w: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rPr>
        <w:t>重庆市规划和自然资源局</w:t>
      </w:r>
      <w:r>
        <w:rPr>
          <w:rFonts w:hint="eastAsia"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rPr>
        <w:t>国家税务总局重庆市税务局</w:t>
      </w:r>
      <w:r>
        <w:rPr>
          <w:rFonts w:ascii="Times New Roman" w:hAnsi="Times New Roman" w:eastAsia="方正仿宋_GBK" w:cs="Times New Roman"/>
          <w:color w:val="auto"/>
          <w:sz w:val="32"/>
          <w:szCs w:val="32"/>
        </w:rPr>
        <w:t>关于征地人员安置对象参加基本养老保险并实施缴费补贴政策有关工作的</w:t>
      </w:r>
      <w:r>
        <w:rPr>
          <w:rFonts w:hint="eastAsia" w:ascii="Times New Roman" w:hAnsi="Times New Roman" w:eastAsia="方正仿宋_GBK" w:cs="Times New Roman"/>
          <w:color w:val="auto"/>
          <w:sz w:val="32"/>
          <w:szCs w:val="32"/>
        </w:rPr>
        <w:t>处理意见</w:t>
      </w:r>
      <w:r>
        <w:rPr>
          <w:rFonts w:ascii="Times New Roman" w:hAnsi="Times New Roman" w:eastAsia="方正仿宋_GBK" w:cs="Times New Roman"/>
          <w:color w:val="auto"/>
          <w:sz w:val="32"/>
          <w:szCs w:val="32"/>
        </w:rPr>
        <w:t>》（渝</w:t>
      </w:r>
      <w:r>
        <w:rPr>
          <w:rFonts w:hint="eastAsia" w:ascii="Times New Roman" w:hAnsi="Times New Roman" w:eastAsia="方正仿宋_GBK" w:cs="Times New Roman"/>
          <w:color w:val="auto"/>
          <w:sz w:val="32"/>
          <w:szCs w:val="32"/>
        </w:rPr>
        <w:t>人社</w:t>
      </w:r>
      <w:r>
        <w:rPr>
          <w:rFonts w:ascii="Times New Roman" w:hAnsi="Times New Roman" w:eastAsia="方正仿宋_GBK" w:cs="Times New Roman"/>
          <w:color w:val="auto"/>
          <w:sz w:val="32"/>
          <w:szCs w:val="32"/>
        </w:rPr>
        <w:t>发〔202</w:t>
      </w:r>
      <w:r>
        <w:rPr>
          <w:rFonts w:hint="eastAsia" w:ascii="Times New Roman" w:hAnsi="Times New Roman" w:eastAsia="方正仿宋_GBK" w:cs="Times New Roman"/>
          <w:color w:val="auto"/>
          <w:sz w:val="32"/>
          <w:szCs w:val="32"/>
        </w:rPr>
        <w:t>2</w:t>
      </w:r>
      <w:r>
        <w:rPr>
          <w:rFonts w:ascii="Times New Roman" w:hAnsi="Times New Roman" w:eastAsia="方正仿宋_GBK" w:cs="Times New Roman"/>
          <w:color w:val="auto"/>
          <w:sz w:val="32"/>
          <w:szCs w:val="32"/>
        </w:rPr>
        <w:t>〕6号）</w:t>
      </w:r>
      <w:r>
        <w:rPr>
          <w:rFonts w:hint="eastAsia" w:ascii="Times New Roman" w:hAnsi="Times New Roman" w:eastAsia="方正仿宋_GBK" w:cs="Times New Roman"/>
          <w:color w:val="auto"/>
          <w:sz w:val="32"/>
          <w:szCs w:val="32"/>
          <w:lang w:val="en-US" w:eastAsia="zh-CN"/>
        </w:rPr>
        <w:t>文件</w:t>
      </w:r>
      <w:r>
        <w:rPr>
          <w:rFonts w:ascii="Times New Roman" w:hAnsi="Times New Roman" w:eastAsia="方正仿宋_GBK" w:cs="Times New Roman"/>
          <w:color w:val="auto"/>
          <w:sz w:val="32"/>
          <w:szCs w:val="32"/>
        </w:rPr>
        <w:t>执行。</w:t>
      </w:r>
    </w:p>
    <w:p>
      <w:pPr>
        <w:pStyle w:val="2"/>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四、农业安置</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eastAsia="方正仿宋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一</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土地安置。</w:t>
      </w:r>
      <w:r>
        <w:rPr>
          <w:rFonts w:eastAsia="方正仿宋_GBK"/>
          <w:color w:val="auto"/>
          <w:sz w:val="32"/>
          <w:szCs w:val="32"/>
        </w:rPr>
        <w:t>在保证土地征收后农民能够保有足够的</w:t>
      </w:r>
      <w:r>
        <w:rPr>
          <w:rFonts w:hint="eastAsia" w:eastAsia="方正仿宋_GBK"/>
          <w:color w:val="auto"/>
          <w:sz w:val="32"/>
          <w:szCs w:val="32"/>
        </w:rPr>
        <w:t>土地进行</w:t>
      </w:r>
      <w:r>
        <w:rPr>
          <w:rFonts w:eastAsia="方正仿宋_GBK"/>
          <w:color w:val="auto"/>
          <w:sz w:val="32"/>
          <w:szCs w:val="32"/>
        </w:rPr>
        <w:t>生产的前提下，征地涉及区移</w:t>
      </w:r>
      <w:r>
        <w:rPr>
          <w:rFonts w:ascii="Times New Roman" w:hAnsi="Times New Roman" w:eastAsia="方正仿宋_GBK" w:cs="Times New Roman"/>
          <w:color w:val="auto"/>
          <w:sz w:val="32"/>
          <w:szCs w:val="32"/>
        </w:rPr>
        <w:t>民</w:t>
      </w:r>
      <w:r>
        <w:rPr>
          <w:rFonts w:hint="eastAsia" w:ascii="Times New Roman" w:hAnsi="Times New Roman" w:eastAsia="方正仿宋_GBK" w:cs="Times New Roman"/>
          <w:color w:val="auto"/>
          <w:sz w:val="32"/>
          <w:szCs w:val="32"/>
        </w:rPr>
        <w:t>土地</w:t>
      </w:r>
      <w:r>
        <w:rPr>
          <w:rFonts w:ascii="Times New Roman" w:hAnsi="Times New Roman" w:eastAsia="方正仿宋_GBK" w:cs="Times New Roman"/>
          <w:color w:val="auto"/>
          <w:sz w:val="32"/>
          <w:szCs w:val="32"/>
        </w:rPr>
        <w:t>的安置标准满足每组计算生产安置人口确定的</w:t>
      </w:r>
      <w:r>
        <w:rPr>
          <w:rFonts w:hint="eastAsia" w:ascii="Times New Roman" w:hAnsi="Times New Roman" w:eastAsia="方正仿宋_GBK" w:cs="Times New Roman"/>
          <w:color w:val="auto"/>
          <w:sz w:val="32"/>
          <w:szCs w:val="32"/>
        </w:rPr>
        <w:t>土地</w:t>
      </w:r>
      <w:r>
        <w:rPr>
          <w:rFonts w:ascii="Times New Roman" w:hAnsi="Times New Roman" w:eastAsia="方正仿宋_GBK" w:cs="Times New Roman"/>
          <w:color w:val="auto"/>
          <w:sz w:val="32"/>
          <w:szCs w:val="32"/>
        </w:rPr>
        <w:t>面积的90%推算农业安置容量，选择农业安置的人口要满足安置容量。每户调剂</w:t>
      </w:r>
      <w:r>
        <w:rPr>
          <w:rFonts w:hint="eastAsia" w:ascii="Times New Roman" w:hAnsi="Times New Roman" w:eastAsia="方正仿宋_GBK" w:cs="Times New Roman"/>
          <w:color w:val="auto"/>
          <w:sz w:val="32"/>
          <w:szCs w:val="32"/>
        </w:rPr>
        <w:t>土地</w:t>
      </w:r>
      <w:r>
        <w:rPr>
          <w:rFonts w:ascii="Times New Roman" w:hAnsi="Times New Roman" w:eastAsia="方正仿宋_GBK" w:cs="Times New Roman"/>
          <w:color w:val="auto"/>
          <w:sz w:val="32"/>
          <w:szCs w:val="32"/>
        </w:rPr>
        <w:t>面积应与实际淹（占）</w:t>
      </w:r>
      <w:r>
        <w:rPr>
          <w:rFonts w:hint="eastAsia" w:ascii="Times New Roman" w:hAnsi="Times New Roman" w:eastAsia="方正仿宋_GBK" w:cs="Times New Roman"/>
          <w:color w:val="auto"/>
          <w:sz w:val="32"/>
          <w:szCs w:val="32"/>
        </w:rPr>
        <w:t>土地</w:t>
      </w:r>
      <w:r>
        <w:rPr>
          <w:rFonts w:ascii="Times New Roman" w:hAnsi="Times New Roman" w:eastAsia="方正仿宋_GBK" w:cs="Times New Roman"/>
          <w:color w:val="auto"/>
          <w:sz w:val="32"/>
          <w:szCs w:val="32"/>
        </w:rPr>
        <w:t>面积一致，调剂土地的</w:t>
      </w:r>
      <w:r>
        <w:rPr>
          <w:rFonts w:hint="eastAsia" w:ascii="Times New Roman" w:hAnsi="Times New Roman" w:eastAsia="方正仿宋_GBK" w:cs="Times New Roman"/>
          <w:color w:val="auto"/>
          <w:sz w:val="32"/>
          <w:szCs w:val="32"/>
        </w:rPr>
        <w:t>生产</w:t>
      </w:r>
      <w:r>
        <w:rPr>
          <w:rFonts w:ascii="Times New Roman" w:hAnsi="Times New Roman" w:eastAsia="方正仿宋_GBK" w:cs="Times New Roman"/>
          <w:color w:val="auto"/>
          <w:sz w:val="32"/>
          <w:szCs w:val="32"/>
        </w:rPr>
        <w:t>半径不宜超过2公里，均在本社内部剩余</w:t>
      </w:r>
      <w:r>
        <w:rPr>
          <w:rFonts w:hint="eastAsia" w:ascii="Times New Roman" w:hAnsi="Times New Roman" w:eastAsia="方正仿宋_GBK" w:cs="Times New Roman"/>
          <w:color w:val="auto"/>
          <w:sz w:val="32"/>
          <w:szCs w:val="32"/>
        </w:rPr>
        <w:t>土地</w:t>
      </w:r>
      <w:r>
        <w:rPr>
          <w:rFonts w:ascii="Times New Roman" w:hAnsi="Times New Roman" w:eastAsia="方正仿宋_GBK" w:cs="Times New Roman"/>
          <w:color w:val="auto"/>
          <w:sz w:val="32"/>
          <w:szCs w:val="32"/>
        </w:rPr>
        <w:t>范</w:t>
      </w:r>
      <w:r>
        <w:rPr>
          <w:rFonts w:eastAsia="方正仿宋_GBK"/>
          <w:color w:val="auto"/>
          <w:sz w:val="32"/>
          <w:szCs w:val="32"/>
        </w:rPr>
        <w:t>围内调剂土地，调剂土地具体地块以镇、村、组确定的地块为准</w:t>
      </w:r>
      <w:r>
        <w:rPr>
          <w:rFonts w:hint="eastAsia" w:eastAsia="方正仿宋_GBK"/>
          <w:color w:val="auto"/>
          <w:sz w:val="32"/>
          <w:szCs w:val="32"/>
        </w:rPr>
        <w:t>；农村移民通过调剂土地集中安置的，应当将土地补偿费、安置补助费和集体财产补偿费直接全额兑付给该村集体经济组织或者村民委员会。</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eastAsia="方正仿宋_GBK"/>
          <w:color w:val="auto"/>
          <w:sz w:val="32"/>
          <w:szCs w:val="32"/>
        </w:rPr>
      </w:pP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lang w:eastAsia="zh-CN"/>
        </w:rPr>
        <w:t>）</w:t>
      </w:r>
      <w:r>
        <w:rPr>
          <w:rFonts w:hint="eastAsia" w:ascii="方正楷体_GBK" w:hAnsi="方正楷体_GBK" w:eastAsia="方正楷体_GBK" w:cs="方正楷体_GBK"/>
          <w:color w:val="auto"/>
          <w:sz w:val="32"/>
          <w:szCs w:val="32"/>
          <w:lang w:val="en-US" w:eastAsia="zh-CN"/>
        </w:rPr>
        <w:t>住房安置。</w:t>
      </w:r>
      <w:r>
        <w:rPr>
          <w:rFonts w:hint="eastAsia" w:eastAsia="方正仿宋_GBK"/>
          <w:color w:val="auto"/>
          <w:sz w:val="32"/>
          <w:szCs w:val="32"/>
          <w:lang w:val="en-US" w:eastAsia="zh-CN"/>
        </w:rPr>
        <w:t>农业安置的移民对象只能选择</w:t>
      </w:r>
      <w:r>
        <w:rPr>
          <w:rFonts w:eastAsia="方正仿宋_GBK"/>
          <w:color w:val="auto"/>
          <w:sz w:val="32"/>
          <w:szCs w:val="32"/>
        </w:rPr>
        <w:t>农村宅基地自建安置</w:t>
      </w:r>
      <w:r>
        <w:rPr>
          <w:rFonts w:hint="eastAsia" w:eastAsia="方正仿宋_GBK"/>
          <w:color w:val="auto"/>
          <w:sz w:val="32"/>
          <w:szCs w:val="32"/>
          <w:lang w:eastAsia="zh-CN"/>
        </w:rPr>
        <w:t>，</w:t>
      </w:r>
      <w:r>
        <w:rPr>
          <w:rFonts w:hint="eastAsia" w:eastAsia="方正仿宋_GBK"/>
          <w:color w:val="auto"/>
          <w:sz w:val="32"/>
          <w:szCs w:val="32"/>
          <w:lang w:val="en-US" w:eastAsia="zh-CN"/>
        </w:rPr>
        <w:t>且</w:t>
      </w:r>
      <w:r>
        <w:rPr>
          <w:rFonts w:hint="eastAsia" w:eastAsia="方正仿宋_GBK"/>
          <w:color w:val="auto"/>
          <w:sz w:val="32"/>
          <w:szCs w:val="32"/>
        </w:rPr>
        <w:t>应当符合镇（街）国土空间规划、村规划，以及国家和本市关于宅基地建房的有关规定。</w:t>
      </w:r>
    </w:p>
    <w:p>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eastAsia" w:eastAsia="方正仿宋_GBK"/>
          <w:color w:val="auto"/>
          <w:kern w:val="0"/>
          <w:sz w:val="32"/>
          <w:szCs w:val="32"/>
        </w:rPr>
      </w:pPr>
      <w:r>
        <w:rPr>
          <w:rFonts w:hint="eastAsia" w:eastAsia="方正仿宋_GBK"/>
          <w:color w:val="auto"/>
          <w:kern w:val="0"/>
          <w:sz w:val="32"/>
          <w:szCs w:val="32"/>
        </w:rPr>
        <w:t>农村房屋以不动产权属证书记载的合法建筑面积为准，按照</w:t>
      </w:r>
      <w:r>
        <w:rPr>
          <w:rFonts w:hint="eastAsia" w:eastAsia="方正仿宋_GBK"/>
          <w:color w:val="auto"/>
          <w:sz w:val="32"/>
          <w:szCs w:val="32"/>
        </w:rPr>
        <w:t>《</w:t>
      </w:r>
      <w:r>
        <w:rPr>
          <w:rFonts w:hint="eastAsia" w:eastAsia="方正仿宋_GBK"/>
          <w:color w:val="auto"/>
          <w:sz w:val="32"/>
          <w:szCs w:val="32"/>
          <w:lang w:val="en-US" w:eastAsia="zh-CN"/>
        </w:rPr>
        <w:t>重庆市綦江区人民政府关于印发重庆市綦江区集体土地征收补偿安置实施办法的通知</w:t>
      </w:r>
      <w:r>
        <w:rPr>
          <w:rFonts w:hint="eastAsia" w:eastAsia="方正仿宋_GBK"/>
          <w:color w:val="auto"/>
          <w:sz w:val="32"/>
          <w:szCs w:val="32"/>
        </w:rPr>
        <w:t>》</w:t>
      </w:r>
      <w:r>
        <w:rPr>
          <w:rFonts w:hint="eastAsia" w:eastAsia="方正仿宋_GBK"/>
          <w:color w:val="auto"/>
          <w:sz w:val="32"/>
          <w:szCs w:val="32"/>
          <w:lang w:eastAsia="zh-CN"/>
        </w:rPr>
        <w:t>（</w:t>
      </w:r>
      <w:r>
        <w:rPr>
          <w:rFonts w:eastAsia="方正仿宋_GBK"/>
          <w:color w:val="auto"/>
          <w:sz w:val="32"/>
          <w:szCs w:val="32"/>
        </w:rPr>
        <w:t>綦江府发〔2021〕1</w:t>
      </w:r>
      <w:r>
        <w:rPr>
          <w:rFonts w:hint="eastAsia" w:eastAsia="方正仿宋_GBK"/>
          <w:color w:val="auto"/>
          <w:sz w:val="32"/>
          <w:szCs w:val="32"/>
          <w:lang w:val="en-US" w:eastAsia="zh-CN"/>
        </w:rPr>
        <w:t>3</w:t>
      </w:r>
      <w:r>
        <w:rPr>
          <w:rFonts w:eastAsia="方正仿宋_GBK"/>
          <w:color w:val="auto"/>
          <w:sz w:val="32"/>
          <w:szCs w:val="32"/>
        </w:rPr>
        <w:t>号</w:t>
      </w:r>
      <w:r>
        <w:rPr>
          <w:rFonts w:hint="eastAsia" w:eastAsia="方正仿宋_GBK"/>
          <w:color w:val="auto"/>
          <w:sz w:val="32"/>
          <w:szCs w:val="32"/>
          <w:lang w:eastAsia="zh-CN"/>
        </w:rPr>
        <w:t>）</w:t>
      </w:r>
      <w:r>
        <w:rPr>
          <w:rFonts w:hint="eastAsia" w:eastAsia="方正仿宋_GBK"/>
          <w:color w:val="auto"/>
          <w:kern w:val="0"/>
          <w:sz w:val="32"/>
          <w:szCs w:val="32"/>
        </w:rPr>
        <w:t>附件2</w:t>
      </w:r>
      <w:r>
        <w:rPr>
          <w:rFonts w:hint="eastAsia" w:eastAsia="方正仿宋_GBK"/>
          <w:color w:val="auto"/>
          <w:kern w:val="0"/>
          <w:sz w:val="32"/>
          <w:szCs w:val="32"/>
          <w:lang w:eastAsia="zh-CN"/>
        </w:rPr>
        <w:t>的</w:t>
      </w:r>
      <w:r>
        <w:rPr>
          <w:rFonts w:hint="eastAsia" w:eastAsia="方正仿宋_GBK"/>
          <w:color w:val="auto"/>
          <w:kern w:val="0"/>
          <w:sz w:val="32"/>
          <w:szCs w:val="32"/>
        </w:rPr>
        <w:t>重置价格标准补偿。</w:t>
      </w:r>
    </w:p>
    <w:p>
      <w:pPr>
        <w:keepNext w:val="0"/>
        <w:keepLines w:val="0"/>
        <w:pageBreakBefore w:val="0"/>
        <w:kinsoku/>
        <w:wordWrap/>
        <w:overflowPunct/>
        <w:topLinePunct w:val="0"/>
        <w:bidi w:val="0"/>
        <w:adjustRightInd w:val="0"/>
        <w:snapToGrid w:val="0"/>
        <w:spacing w:line="576" w:lineRule="exact"/>
        <w:ind w:firstLine="640" w:firstLineChars="200"/>
        <w:jc w:val="both"/>
        <w:textAlignment w:val="auto"/>
        <w:rPr>
          <w:rFonts w:hint="eastAsia" w:eastAsia="方正仿宋_GBK"/>
          <w:color w:val="auto"/>
          <w:kern w:val="0"/>
          <w:sz w:val="32"/>
          <w:szCs w:val="32"/>
        </w:rPr>
      </w:pPr>
      <w:r>
        <w:rPr>
          <w:rFonts w:hint="eastAsia" w:eastAsia="方正仿宋_GBK"/>
          <w:color w:val="auto"/>
          <w:kern w:val="0"/>
          <w:sz w:val="32"/>
          <w:szCs w:val="32"/>
        </w:rPr>
        <w:t>对未取得不动产权属证书的房屋，由区规划自然资源部门会同农业农村、住房城乡建设等有关部门和镇人民政府（街道办事处）依法进行认定。</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eastAsia="方正仿宋_GBK"/>
          <w:color w:val="auto"/>
          <w:kern w:val="0"/>
          <w:sz w:val="32"/>
          <w:szCs w:val="32"/>
        </w:rPr>
      </w:pPr>
      <w:r>
        <w:rPr>
          <w:rFonts w:hint="eastAsia" w:eastAsia="方正仿宋_GBK"/>
          <w:color w:val="auto"/>
          <w:kern w:val="0"/>
          <w:sz w:val="32"/>
          <w:szCs w:val="32"/>
        </w:rPr>
        <w:t>农村住房改作其他用途的，按照住房补偿。</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color w:val="auto"/>
        </w:rPr>
      </w:pPr>
      <w:r>
        <w:rPr>
          <w:rFonts w:ascii="Times New Roman" w:hAnsi="Times New Roman" w:eastAsia="方正仿宋_GBK" w:cs="Times New Roman"/>
          <w:color w:val="auto"/>
          <w:kern w:val="2"/>
          <w:sz w:val="32"/>
          <w:szCs w:val="32"/>
        </w:rPr>
        <w:t>不能认定合法</w:t>
      </w:r>
      <w:r>
        <w:rPr>
          <w:rFonts w:ascii="Times New Roman" w:hAnsi="Times New Roman" w:eastAsia="方正仿宋_GBK" w:cs="Times New Roman"/>
          <w:color w:val="auto"/>
          <w:spacing w:val="-6"/>
          <w:kern w:val="2"/>
          <w:sz w:val="32"/>
          <w:szCs w:val="32"/>
        </w:rPr>
        <w:t>产权的房屋，在</w:t>
      </w:r>
      <w:r>
        <w:rPr>
          <w:rFonts w:hint="eastAsia" w:ascii="Times New Roman" w:hAnsi="Times New Roman" w:eastAsia="方正仿宋_GBK" w:cs="Times New Roman"/>
          <w:color w:val="auto"/>
          <w:spacing w:val="-6"/>
          <w:kern w:val="2"/>
          <w:sz w:val="32"/>
          <w:szCs w:val="32"/>
        </w:rPr>
        <w:t>本方案</w:t>
      </w:r>
      <w:r>
        <w:rPr>
          <w:rFonts w:ascii="Times New Roman" w:hAnsi="Times New Roman" w:eastAsia="方正仿宋_GBK" w:cs="Times New Roman"/>
          <w:color w:val="auto"/>
          <w:spacing w:val="-6"/>
          <w:kern w:val="2"/>
          <w:sz w:val="32"/>
          <w:szCs w:val="32"/>
        </w:rPr>
        <w:t>规定时间内签订建设征地补偿和</w:t>
      </w:r>
      <w:r>
        <w:rPr>
          <w:rFonts w:ascii="Times New Roman" w:hAnsi="Times New Roman" w:eastAsia="方正仿宋_GBK" w:cs="Times New Roman"/>
          <w:color w:val="auto"/>
          <w:spacing w:val="-11"/>
          <w:kern w:val="2"/>
          <w:sz w:val="32"/>
          <w:szCs w:val="32"/>
        </w:rPr>
        <w:t>移民安置协议的</w:t>
      </w:r>
      <w:r>
        <w:rPr>
          <w:rFonts w:hint="eastAsia" w:eastAsia="方正仿宋_GBK" w:cs="Times New Roman"/>
          <w:color w:val="auto"/>
          <w:spacing w:val="-11"/>
          <w:kern w:val="2"/>
          <w:sz w:val="32"/>
          <w:szCs w:val="32"/>
          <w:lang w:eastAsia="zh-CN"/>
        </w:rPr>
        <w:t>，</w:t>
      </w:r>
      <w:r>
        <w:rPr>
          <w:rFonts w:ascii="Times New Roman" w:hAnsi="Times New Roman" w:eastAsia="方正仿宋_GBK" w:cs="Times New Roman"/>
          <w:color w:val="auto"/>
          <w:spacing w:val="-11"/>
          <w:kern w:val="2"/>
          <w:sz w:val="32"/>
          <w:szCs w:val="32"/>
        </w:rPr>
        <w:t>可以给予适当补偿。按钢</w:t>
      </w:r>
      <w:r>
        <w:rPr>
          <w:rFonts w:hint="eastAsia" w:ascii="Times New Roman" w:hAnsi="Times New Roman" w:eastAsia="方正仿宋_GBK" w:cs="Times New Roman"/>
          <w:color w:val="auto"/>
          <w:spacing w:val="-11"/>
          <w:kern w:val="2"/>
          <w:sz w:val="32"/>
          <w:szCs w:val="32"/>
        </w:rPr>
        <w:t>砼</w:t>
      </w:r>
      <w:r>
        <w:rPr>
          <w:rFonts w:ascii="Times New Roman" w:hAnsi="Times New Roman" w:eastAsia="方正仿宋_GBK" w:cs="Times New Roman"/>
          <w:color w:val="auto"/>
          <w:spacing w:val="-11"/>
          <w:kern w:val="2"/>
          <w:sz w:val="32"/>
          <w:szCs w:val="32"/>
        </w:rPr>
        <w:t>400元/㎡，砖混结构285元/㎡，砖木结构、板房、全部砖墙体彩钢棚245元/㎡，土墙、干打垒、穿逗210</w:t>
      </w:r>
      <w:r>
        <w:rPr>
          <w:rFonts w:ascii="Times New Roman" w:hAnsi="Times New Roman" w:eastAsia="方正仿宋_GBK" w:cs="Times New Roman"/>
          <w:color w:val="auto"/>
          <w:kern w:val="2"/>
          <w:sz w:val="32"/>
          <w:szCs w:val="32"/>
        </w:rPr>
        <w:t>元/㎡，简易结构45</w:t>
      </w:r>
      <w:r>
        <w:rPr>
          <w:rFonts w:hint="eastAsia" w:eastAsia="方正仿宋_GBK" w:cs="Times New Roman"/>
          <w:color w:val="auto"/>
          <w:kern w:val="2"/>
          <w:sz w:val="32"/>
          <w:szCs w:val="32"/>
          <w:lang w:eastAsia="zh-CN"/>
        </w:rPr>
        <w:t>—</w:t>
      </w:r>
      <w:r>
        <w:rPr>
          <w:rFonts w:ascii="Times New Roman" w:hAnsi="Times New Roman" w:eastAsia="方正仿宋_GBK" w:cs="Times New Roman"/>
          <w:color w:val="auto"/>
          <w:kern w:val="2"/>
          <w:sz w:val="32"/>
          <w:szCs w:val="32"/>
        </w:rPr>
        <w:t>105元/㎡标准执行。不能认定合法产权的房屋，未在规定时间内签订协议和按约定时间未腾空交付的，不予补偿。违反</w:t>
      </w:r>
      <w:r>
        <w:rPr>
          <w:rFonts w:hint="eastAsia" w:eastAsia="方正仿宋_GBK" w:cs="Times New Roman"/>
          <w:color w:val="auto"/>
          <w:kern w:val="2"/>
          <w:sz w:val="32"/>
          <w:szCs w:val="32"/>
          <w:lang w:eastAsia="zh-CN"/>
        </w:rPr>
        <w:t>“</w:t>
      </w:r>
      <w:r>
        <w:rPr>
          <w:rFonts w:ascii="Times New Roman" w:hAnsi="Times New Roman" w:eastAsia="方正仿宋_GBK" w:cs="Times New Roman"/>
          <w:color w:val="auto"/>
          <w:kern w:val="2"/>
          <w:sz w:val="32"/>
          <w:szCs w:val="32"/>
        </w:rPr>
        <w:t>一户一宅</w:t>
      </w:r>
      <w:r>
        <w:rPr>
          <w:rFonts w:hint="eastAsia" w:eastAsia="方正仿宋_GBK" w:cs="Times New Roman"/>
          <w:color w:val="auto"/>
          <w:kern w:val="2"/>
          <w:sz w:val="32"/>
          <w:szCs w:val="32"/>
          <w:lang w:eastAsia="zh-CN"/>
        </w:rPr>
        <w:t>”</w:t>
      </w:r>
      <w:r>
        <w:rPr>
          <w:rFonts w:ascii="Times New Roman" w:hAnsi="Times New Roman" w:eastAsia="方正仿宋_GBK" w:cs="Times New Roman"/>
          <w:color w:val="auto"/>
          <w:kern w:val="2"/>
          <w:sz w:val="32"/>
          <w:szCs w:val="32"/>
        </w:rPr>
        <w:t>规定不合法拥有两处及以上的不合法产权房屋、明确为建新应拆旧的房屋、已依法明确为违法建筑并限期拆除的房屋等不予补偿。</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eastAsia="方正仿宋_GBK"/>
          <w:color w:val="auto"/>
          <w:sz w:val="32"/>
          <w:szCs w:val="32"/>
          <w:lang w:val="en-US" w:eastAsia="zh-CN"/>
        </w:rPr>
      </w:pPr>
      <w:r>
        <w:rPr>
          <w:rFonts w:hint="eastAsia" w:eastAsia="方正仿宋_GBK"/>
          <w:color w:val="auto"/>
          <w:sz w:val="32"/>
          <w:szCs w:val="32"/>
        </w:rPr>
        <w:t>同时按被搬迁合法产权房屋居住面积（不含畜圈等非居住功能房屋）每平方米</w:t>
      </w:r>
      <w:r>
        <w:rPr>
          <w:rFonts w:eastAsia="方正仿宋_GBK"/>
          <w:color w:val="auto"/>
          <w:sz w:val="32"/>
          <w:szCs w:val="32"/>
        </w:rPr>
        <w:t>400</w:t>
      </w:r>
      <w:r>
        <w:rPr>
          <w:rFonts w:hint="eastAsia" w:eastAsia="方正仿宋_GBK"/>
          <w:color w:val="auto"/>
          <w:sz w:val="32"/>
          <w:szCs w:val="32"/>
        </w:rPr>
        <w:t>元的一次性自建房补助（包含新宅基地、水电等基础设施和配套设施），由被搬迁户按照农村宅基地和农村村民住房规划建设管理有关规定申请宅基地自建住房。</w:t>
      </w:r>
    </w:p>
    <w:p>
      <w:pPr>
        <w:keepNext w:val="0"/>
        <w:keepLines w:val="0"/>
        <w:pageBreakBefore w:val="0"/>
        <w:kinsoku/>
        <w:wordWrap/>
        <w:overflowPunct/>
        <w:topLinePunct w:val="0"/>
        <w:bidi w:val="0"/>
        <w:adjustRightInd w:val="0"/>
        <w:snapToGrid w:val="0"/>
        <w:spacing w:line="576" w:lineRule="exact"/>
        <w:ind w:left="0" w:firstLine="640" w:firstLineChars="200"/>
        <w:jc w:val="both"/>
        <w:textAlignment w:val="auto"/>
        <w:outlineLvl w:val="0"/>
        <w:rPr>
          <w:rFonts w:hint="eastAsia" w:ascii="方正黑体_GBK" w:hAnsi="方正黑体_GBK" w:eastAsia="方正黑体_GBK" w:cs="方正黑体_GBK"/>
          <w:bCs/>
          <w:color w:val="auto"/>
          <w:sz w:val="32"/>
          <w:szCs w:val="32"/>
        </w:rPr>
      </w:pPr>
      <w:r>
        <w:rPr>
          <w:rFonts w:hint="eastAsia" w:ascii="方正黑体_GBK" w:hAnsi="方正黑体_GBK" w:eastAsia="方正黑体_GBK" w:cs="方正黑体_GBK"/>
          <w:bCs/>
          <w:color w:val="auto"/>
          <w:sz w:val="32"/>
          <w:szCs w:val="32"/>
          <w:lang w:val="en-US" w:eastAsia="zh-CN"/>
        </w:rPr>
        <w:t>五、</w:t>
      </w:r>
      <w:r>
        <w:rPr>
          <w:rFonts w:hint="eastAsia" w:ascii="方正黑体_GBK" w:hAnsi="方正黑体_GBK" w:eastAsia="方正黑体_GBK" w:cs="方正黑体_GBK"/>
          <w:bCs/>
          <w:color w:val="auto"/>
          <w:sz w:val="32"/>
          <w:szCs w:val="32"/>
        </w:rPr>
        <w:t>其他事项</w:t>
      </w:r>
    </w:p>
    <w:p>
      <w:pPr>
        <w:keepNext w:val="0"/>
        <w:keepLines w:val="0"/>
        <w:pageBreakBefore w:val="0"/>
        <w:widowControl/>
        <w:kinsoku/>
        <w:wordWrap/>
        <w:overflowPunct/>
        <w:topLinePunct w:val="0"/>
        <w:bidi w:val="0"/>
        <w:spacing w:line="576" w:lineRule="exact"/>
        <w:ind w:firstLine="640" w:firstLineChars="200"/>
        <w:textAlignment w:val="auto"/>
        <w:rPr>
          <w:rFonts w:hint="eastAsia" w:eastAsia="方正仿宋_GBK"/>
          <w:color w:val="auto"/>
          <w:kern w:val="0"/>
          <w:sz w:val="32"/>
          <w:szCs w:val="32"/>
        </w:rPr>
      </w:pPr>
      <w:r>
        <w:rPr>
          <w:rFonts w:hint="eastAsia" w:ascii="方正楷体_GBK" w:hAnsi="方正楷体_GBK" w:eastAsia="方正楷体_GBK" w:cs="方正楷体_GBK"/>
          <w:bCs/>
          <w:color w:val="auto"/>
          <w:sz w:val="32"/>
          <w:szCs w:val="32"/>
          <w:lang w:val="en-US" w:eastAsia="zh-CN"/>
        </w:rPr>
        <w:t>（一）</w:t>
      </w:r>
      <w:r>
        <w:rPr>
          <w:rFonts w:hint="eastAsia" w:ascii="方正楷体_GBK" w:hAnsi="方正楷体_GBK" w:eastAsia="方正楷体_GBK" w:cs="方正楷体_GBK"/>
          <w:color w:val="auto"/>
          <w:kern w:val="0"/>
          <w:sz w:val="32"/>
          <w:szCs w:val="32"/>
        </w:rPr>
        <w:t>协议签订期限。</w:t>
      </w:r>
      <w:r>
        <w:rPr>
          <w:rFonts w:hint="eastAsia" w:eastAsia="方正仿宋_GBK"/>
          <w:color w:val="auto"/>
          <w:kern w:val="0"/>
          <w:sz w:val="32"/>
          <w:szCs w:val="32"/>
        </w:rPr>
        <w:t>本项目土地确认表</w:t>
      </w:r>
      <w:r>
        <w:rPr>
          <w:rFonts w:hint="eastAsia" w:eastAsia="方正仿宋_GBK"/>
          <w:color w:val="auto"/>
          <w:kern w:val="0"/>
          <w:sz w:val="32"/>
          <w:szCs w:val="32"/>
          <w:lang w:val="en-US" w:eastAsia="zh-CN"/>
        </w:rPr>
        <w:t>和房屋搬迁协议</w:t>
      </w:r>
      <w:r>
        <w:rPr>
          <w:rFonts w:hint="eastAsia" w:eastAsia="方正仿宋_GBK"/>
          <w:color w:val="auto"/>
          <w:kern w:val="0"/>
          <w:sz w:val="32"/>
          <w:szCs w:val="32"/>
        </w:rPr>
        <w:t>签订期限为</w:t>
      </w:r>
      <w:r>
        <w:rPr>
          <w:rFonts w:hint="eastAsia" w:eastAsia="方正仿宋_GBK"/>
          <w:color w:val="auto"/>
          <w:kern w:val="0"/>
          <w:sz w:val="32"/>
          <w:szCs w:val="32"/>
          <w:lang w:val="en-US" w:eastAsia="zh-CN"/>
        </w:rPr>
        <w:t>40</w:t>
      </w:r>
      <w:r>
        <w:rPr>
          <w:rFonts w:hint="eastAsia" w:eastAsia="方正仿宋_GBK"/>
          <w:color w:val="auto"/>
          <w:kern w:val="0"/>
          <w:sz w:val="32"/>
          <w:szCs w:val="32"/>
        </w:rPr>
        <w:t>日，从本府发布征地补偿安置确认方案之日起计算。</w:t>
      </w:r>
    </w:p>
    <w:p>
      <w:pPr>
        <w:keepNext w:val="0"/>
        <w:keepLines w:val="0"/>
        <w:pageBreakBefore w:val="0"/>
        <w:widowControl/>
        <w:kinsoku/>
        <w:wordWrap/>
        <w:overflowPunct/>
        <w:topLinePunct w:val="0"/>
        <w:bidi w:val="0"/>
        <w:spacing w:line="576" w:lineRule="exact"/>
        <w:ind w:firstLine="640" w:firstLineChars="200"/>
        <w:textAlignment w:val="auto"/>
        <w:rPr>
          <w:rFonts w:hint="eastAsia" w:eastAsia="方正仿宋_GBK"/>
          <w:kern w:val="0"/>
          <w:sz w:val="32"/>
          <w:szCs w:val="32"/>
        </w:rPr>
      </w:pPr>
      <w:r>
        <w:rPr>
          <w:rFonts w:hint="eastAsia" w:ascii="方正楷体_GBK" w:hAnsi="方正楷体_GBK" w:eastAsia="方正楷体_GBK" w:cs="方正楷体_GBK"/>
          <w:color w:val="auto"/>
          <w:kern w:val="0"/>
          <w:sz w:val="32"/>
          <w:szCs w:val="32"/>
        </w:rPr>
        <w:t>（</w:t>
      </w:r>
      <w:r>
        <w:rPr>
          <w:rFonts w:hint="eastAsia" w:ascii="方正楷体_GBK" w:hAnsi="方正楷体_GBK" w:eastAsia="方正楷体_GBK" w:cs="方正楷体_GBK"/>
          <w:color w:val="auto"/>
          <w:kern w:val="0"/>
          <w:sz w:val="32"/>
          <w:szCs w:val="32"/>
          <w:lang w:val="en-US" w:eastAsia="zh-CN"/>
        </w:rPr>
        <w:t>二</w:t>
      </w:r>
      <w:r>
        <w:rPr>
          <w:rFonts w:hint="eastAsia" w:ascii="方正楷体_GBK" w:hAnsi="方正楷体_GBK" w:eastAsia="方正楷体_GBK" w:cs="方正楷体_GBK"/>
          <w:color w:val="auto"/>
          <w:kern w:val="0"/>
          <w:sz w:val="32"/>
          <w:szCs w:val="32"/>
        </w:rPr>
        <w:t>）奖励。</w:t>
      </w:r>
      <w:r>
        <w:rPr>
          <w:rFonts w:eastAsia="方正仿宋_GBK"/>
          <w:color w:val="auto"/>
          <w:kern w:val="0"/>
          <w:sz w:val="32"/>
          <w:szCs w:val="32"/>
        </w:rPr>
        <w:t>农村房屋被征地搬迁的合法建筑面积部分，在</w:t>
      </w:r>
      <w:r>
        <w:rPr>
          <w:rFonts w:hint="eastAsia" w:eastAsia="方正仿宋_GBK"/>
          <w:color w:val="auto"/>
          <w:kern w:val="0"/>
          <w:sz w:val="32"/>
          <w:szCs w:val="32"/>
        </w:rPr>
        <w:t>本方案规定时间内</w:t>
      </w:r>
      <w:r>
        <w:rPr>
          <w:rFonts w:eastAsia="方正仿宋_GBK"/>
          <w:color w:val="auto"/>
          <w:kern w:val="0"/>
          <w:sz w:val="32"/>
          <w:szCs w:val="32"/>
        </w:rPr>
        <w:t>签订房屋搬迁补偿安置协议的，给予每平方米</w:t>
      </w:r>
      <w:r>
        <w:rPr>
          <w:color w:val="auto"/>
          <w:kern w:val="0"/>
          <w:sz w:val="32"/>
          <w:szCs w:val="32"/>
        </w:rPr>
        <w:t>35</w:t>
      </w:r>
      <w:r>
        <w:rPr>
          <w:rFonts w:eastAsia="方正仿宋_GBK"/>
          <w:color w:val="auto"/>
          <w:kern w:val="0"/>
          <w:sz w:val="32"/>
          <w:szCs w:val="32"/>
        </w:rPr>
        <w:t>元的协议签订奖励；在签订的搬迁补偿安置协议</w:t>
      </w:r>
      <w:r>
        <w:rPr>
          <w:rFonts w:hint="eastAsia" w:eastAsia="方正仿宋_GBK"/>
          <w:color w:val="auto"/>
          <w:kern w:val="0"/>
          <w:sz w:val="32"/>
          <w:szCs w:val="32"/>
        </w:rPr>
        <w:t>规定时间内</w:t>
      </w:r>
      <w:r>
        <w:rPr>
          <w:rFonts w:eastAsia="方正仿宋_GBK"/>
          <w:color w:val="auto"/>
          <w:kern w:val="0"/>
          <w:sz w:val="32"/>
          <w:szCs w:val="32"/>
        </w:rPr>
        <w:t>腾空交付房屋且承诺放弃残值的，给予每平方米</w:t>
      </w:r>
      <w:r>
        <w:rPr>
          <w:color w:val="auto"/>
          <w:kern w:val="0"/>
          <w:sz w:val="32"/>
          <w:szCs w:val="32"/>
        </w:rPr>
        <w:t>25</w:t>
      </w:r>
      <w:r>
        <w:rPr>
          <w:rFonts w:eastAsia="方正仿宋_GBK"/>
          <w:color w:val="auto"/>
          <w:kern w:val="0"/>
          <w:sz w:val="32"/>
          <w:szCs w:val="32"/>
        </w:rPr>
        <w:t>元的房屋腾空交付奖励；未在本方案规定期限内签订房屋搬迁协议或未</w:t>
      </w:r>
      <w:r>
        <w:rPr>
          <w:rFonts w:hint="eastAsia" w:eastAsia="方正仿宋_GBK"/>
          <w:color w:val="auto"/>
          <w:kern w:val="0"/>
          <w:sz w:val="32"/>
          <w:szCs w:val="32"/>
        </w:rPr>
        <w:t>在规定时间内</w:t>
      </w:r>
      <w:r>
        <w:rPr>
          <w:rFonts w:eastAsia="方正仿宋_GBK"/>
          <w:color w:val="auto"/>
          <w:kern w:val="0"/>
          <w:sz w:val="32"/>
          <w:szCs w:val="32"/>
        </w:rPr>
        <w:t>腾空交付房屋的不给予相应奖励。</w:t>
      </w:r>
    </w:p>
    <w:p>
      <w:pPr>
        <w:keepNext w:val="0"/>
        <w:keepLines w:val="0"/>
        <w:pageBreakBefore w:val="0"/>
        <w:widowControl/>
        <w:kinsoku/>
        <w:wordWrap/>
        <w:overflowPunct/>
        <w:topLinePunct w:val="0"/>
        <w:bidi w:val="0"/>
        <w:spacing w:line="576" w:lineRule="exact"/>
        <w:ind w:left="0" w:firstLine="640" w:firstLineChars="200"/>
        <w:jc w:val="both"/>
        <w:textAlignment w:val="auto"/>
        <w:rPr>
          <w:rFonts w:eastAsia="方正仿宋_GBK"/>
          <w:color w:val="auto"/>
          <w:sz w:val="32"/>
          <w:szCs w:val="32"/>
        </w:rPr>
      </w:pPr>
      <w:r>
        <w:rPr>
          <w:rFonts w:hint="eastAsia" w:ascii="方正楷体_GBK" w:hAnsi="方正楷体_GBK" w:eastAsia="方正楷体_GBK" w:cs="方正楷体_GBK"/>
          <w:bCs/>
          <w:color w:val="auto"/>
          <w:sz w:val="32"/>
          <w:szCs w:val="32"/>
          <w:lang w:val="en-US" w:eastAsia="zh-CN"/>
        </w:rPr>
        <w:t>（三）</w:t>
      </w:r>
      <w:r>
        <w:rPr>
          <w:rFonts w:hint="eastAsia" w:ascii="方正楷体_GBK" w:hAnsi="方正楷体_GBK" w:eastAsia="方正楷体_GBK" w:cs="方正楷体_GBK"/>
          <w:color w:val="auto"/>
          <w:kern w:val="0"/>
          <w:sz w:val="32"/>
          <w:szCs w:val="32"/>
        </w:rPr>
        <w:t>交地。</w:t>
      </w:r>
      <w:r>
        <w:rPr>
          <w:rFonts w:hint="eastAsia" w:eastAsia="方正仿宋_GBK"/>
          <w:color w:val="auto"/>
          <w:sz w:val="32"/>
          <w:szCs w:val="32"/>
        </w:rPr>
        <w:t>被征收的土地，应在支付完毕补偿安置费用后10日内交付给重庆市綦江区</w:t>
      </w:r>
      <w:r>
        <w:rPr>
          <w:rFonts w:hint="eastAsia" w:eastAsia="方正仿宋_GBK"/>
          <w:color w:val="auto"/>
          <w:sz w:val="32"/>
          <w:szCs w:val="32"/>
          <w:lang w:val="en-US" w:eastAsia="zh-CN"/>
        </w:rPr>
        <w:t>水利局</w:t>
      </w:r>
      <w:r>
        <w:rPr>
          <w:rFonts w:hint="eastAsia" w:eastAsia="方正仿宋_GBK"/>
          <w:color w:val="auto"/>
          <w:sz w:val="32"/>
          <w:szCs w:val="32"/>
        </w:rPr>
        <w:t>。逾期未将集体或个人建</w:t>
      </w:r>
      <w:r>
        <w:rPr>
          <w:rFonts w:hint="eastAsia" w:eastAsia="方正仿宋_GBK"/>
          <w:color w:val="auto"/>
          <w:sz w:val="32"/>
          <w:szCs w:val="32"/>
          <w:lang w:eastAsia="zh-CN"/>
        </w:rPr>
        <w:t>（</w:t>
      </w:r>
      <w:r>
        <w:rPr>
          <w:rFonts w:hint="eastAsia" w:eastAsia="方正仿宋_GBK"/>
          <w:color w:val="auto"/>
          <w:sz w:val="32"/>
          <w:szCs w:val="32"/>
        </w:rPr>
        <w:t>构</w:t>
      </w:r>
      <w:r>
        <w:rPr>
          <w:rFonts w:hint="eastAsia" w:eastAsia="方正仿宋_GBK"/>
          <w:color w:val="auto"/>
          <w:sz w:val="32"/>
          <w:szCs w:val="32"/>
          <w:lang w:eastAsia="zh-CN"/>
        </w:rPr>
        <w:t>）</w:t>
      </w:r>
      <w:r>
        <w:rPr>
          <w:rFonts w:hint="eastAsia" w:eastAsia="方正仿宋_GBK"/>
          <w:color w:val="auto"/>
          <w:sz w:val="32"/>
          <w:szCs w:val="32"/>
        </w:rPr>
        <w:t>筑物按规定和约定时间搬迁拆除的，本府将依法申请人民法院强制执行。</w:t>
      </w:r>
    </w:p>
    <w:p>
      <w:pPr>
        <w:keepNext w:val="0"/>
        <w:keepLines w:val="0"/>
        <w:pageBreakBefore w:val="0"/>
        <w:widowControl/>
        <w:kinsoku/>
        <w:wordWrap/>
        <w:overflowPunct/>
        <w:topLinePunct w:val="0"/>
        <w:autoSpaceDE/>
        <w:autoSpaceDN/>
        <w:bidi w:val="0"/>
        <w:adjustRightInd/>
        <w:snapToGrid/>
        <w:spacing w:line="576" w:lineRule="exact"/>
        <w:ind w:left="0" w:firstLine="640" w:firstLineChars="200"/>
        <w:jc w:val="both"/>
        <w:textAlignment w:val="auto"/>
        <w:outlineLvl w:val="0"/>
        <w:rPr>
          <w:rFonts w:hint="eastAsia" w:eastAsia="方正仿宋_GBK"/>
          <w:color w:val="auto"/>
          <w:sz w:val="32"/>
          <w:szCs w:val="32"/>
        </w:rPr>
      </w:pPr>
      <w:r>
        <w:rPr>
          <w:rFonts w:hint="eastAsia" w:ascii="方正楷体_GBK" w:hAnsi="方正楷体_GBK" w:eastAsia="方正楷体_GBK" w:cs="方正楷体_GBK"/>
          <w:bCs/>
          <w:color w:val="auto"/>
          <w:sz w:val="32"/>
          <w:szCs w:val="32"/>
          <w:lang w:val="en-US" w:eastAsia="zh-CN"/>
        </w:rPr>
        <w:t>（四）</w:t>
      </w:r>
      <w:r>
        <w:rPr>
          <w:rFonts w:hint="eastAsia" w:ascii="方正楷体_GBK" w:hAnsi="方正楷体_GBK" w:eastAsia="方正楷体_GBK" w:cs="方正楷体_GBK"/>
          <w:color w:val="auto"/>
          <w:kern w:val="0"/>
          <w:sz w:val="32"/>
          <w:szCs w:val="32"/>
        </w:rPr>
        <w:t>监督检查。</w:t>
      </w:r>
      <w:r>
        <w:rPr>
          <w:rFonts w:hint="eastAsia" w:eastAsia="方正仿宋_GBK"/>
          <w:color w:val="auto"/>
          <w:sz w:val="32"/>
          <w:szCs w:val="32"/>
        </w:rPr>
        <w:t>在实施征地工程中，被征地群众对有关人员徇私舞弊、弄虚作假、违反征地政策规定可进行举报，经调查核实，情况属实并造成国家重大经济损失的，依法追究其责任，构成犯罪的，依法追究其刑事责任。</w:t>
      </w:r>
    </w:p>
    <w:p>
      <w:pPr>
        <w:pStyle w:val="11"/>
        <w:keepNext w:val="0"/>
        <w:keepLines w:val="0"/>
        <w:pageBreakBefore w:val="0"/>
        <w:kinsoku/>
        <w:wordWrap/>
        <w:overflowPunct/>
        <w:topLinePunct w:val="0"/>
        <w:bidi w:val="0"/>
        <w:spacing w:line="576" w:lineRule="exact"/>
        <w:ind w:left="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本方案未尽事宜，按照市、区有关规定执行。</w:t>
      </w:r>
    </w:p>
    <w:p>
      <w:pPr>
        <w:pStyle w:val="11"/>
        <w:keepNext w:val="0"/>
        <w:keepLines w:val="0"/>
        <w:pageBreakBefore w:val="0"/>
        <w:widowControl/>
        <w:kinsoku/>
        <w:wordWrap/>
        <w:overflowPunct/>
        <w:topLinePunct w:val="0"/>
        <w:autoSpaceDE w:val="0"/>
        <w:autoSpaceDN w:val="0"/>
        <w:bidi w:val="0"/>
        <w:adjustRightInd w:val="0"/>
        <w:snapToGrid/>
        <w:spacing w:line="576" w:lineRule="exact"/>
        <w:ind w:left="0" w:firstLine="640" w:firstLineChars="200"/>
        <w:jc w:val="both"/>
        <w:textAlignment w:val="auto"/>
        <w:rPr>
          <w:rFonts w:hint="eastAsia" w:ascii="Times New Roman" w:hAnsi="Times New Roman" w:eastAsia="方正仿宋_GBK" w:cs="Times New Roman"/>
          <w:color w:val="auto"/>
          <w:sz w:val="32"/>
          <w:szCs w:val="32"/>
        </w:rPr>
      </w:pPr>
    </w:p>
    <w:p>
      <w:pPr>
        <w:pStyle w:val="11"/>
        <w:keepNext w:val="0"/>
        <w:keepLines w:val="0"/>
        <w:pageBreakBefore w:val="0"/>
        <w:widowControl/>
        <w:kinsoku/>
        <w:wordWrap/>
        <w:overflowPunct/>
        <w:topLinePunct w:val="0"/>
        <w:autoSpaceDE w:val="0"/>
        <w:autoSpaceDN w:val="0"/>
        <w:bidi w:val="0"/>
        <w:adjustRightInd w:val="0"/>
        <w:snapToGrid/>
        <w:spacing w:line="576" w:lineRule="exact"/>
        <w:ind w:left="0" w:firstLine="640" w:firstLineChars="200"/>
        <w:jc w:val="both"/>
        <w:textAlignment w:val="auto"/>
        <w:rPr>
          <w:rFonts w:hint="default" w:ascii="Times New Roman" w:hAnsi="Times New Roman" w:eastAsia="方正仿宋_GBK" w:cs="Times New Roman"/>
          <w:bCs/>
          <w:color w:val="auto"/>
          <w:sz w:val="32"/>
          <w:szCs w:val="32"/>
        </w:rPr>
      </w:pPr>
      <w:r>
        <w:rPr>
          <w:rFonts w:hint="eastAsia" w:ascii="Times New Roman" w:hAnsi="Times New Roman" w:eastAsia="方正仿宋_GBK" w:cs="Times New Roman"/>
          <w:color w:val="auto"/>
          <w:sz w:val="32"/>
          <w:szCs w:val="32"/>
        </w:rPr>
        <w:t>附件：</w:t>
      </w: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bCs/>
          <w:color w:val="auto"/>
          <w:sz w:val="32"/>
          <w:szCs w:val="32"/>
        </w:rPr>
        <w:t>土地分类面积情况表</w:t>
      </w:r>
    </w:p>
    <w:p>
      <w:pPr>
        <w:pStyle w:val="11"/>
        <w:keepNext w:val="0"/>
        <w:keepLines w:val="0"/>
        <w:pageBreakBefore w:val="0"/>
        <w:widowControl/>
        <w:numPr>
          <w:ilvl w:val="0"/>
          <w:numId w:val="0"/>
        </w:numPr>
        <w:kinsoku/>
        <w:wordWrap/>
        <w:overflowPunct/>
        <w:topLinePunct w:val="0"/>
        <w:autoSpaceDE w:val="0"/>
        <w:autoSpaceDN w:val="0"/>
        <w:bidi w:val="0"/>
        <w:adjustRightInd w:val="0"/>
        <w:snapToGrid/>
        <w:spacing w:line="576" w:lineRule="exact"/>
        <w:ind w:firstLine="1600" w:firstLineChars="5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sz w:val="32"/>
          <w:szCs w:val="32"/>
        </w:rPr>
        <w:t>土地补偿费安置补助费</w:t>
      </w:r>
      <w:r>
        <w:rPr>
          <w:rFonts w:hint="default" w:ascii="Times New Roman" w:hAnsi="Times New Roman" w:eastAsia="方正仿宋_GBK" w:cs="Times New Roman"/>
          <w:color w:val="auto"/>
          <w:sz w:val="32"/>
          <w:szCs w:val="32"/>
          <w:lang w:val="en-US" w:eastAsia="zh-CN"/>
        </w:rPr>
        <w:t>和安置人数</w:t>
      </w:r>
      <w:r>
        <w:rPr>
          <w:rFonts w:hint="default" w:ascii="Times New Roman" w:hAnsi="Times New Roman" w:eastAsia="方正仿宋_GBK" w:cs="Times New Roman"/>
          <w:color w:val="auto"/>
          <w:sz w:val="32"/>
          <w:szCs w:val="32"/>
        </w:rPr>
        <w:t>明细表</w:t>
      </w:r>
    </w:p>
    <w:p>
      <w:pPr>
        <w:pStyle w:val="11"/>
        <w:keepNext w:val="0"/>
        <w:keepLines w:val="0"/>
        <w:pageBreakBefore w:val="0"/>
        <w:widowControl/>
        <w:kinsoku/>
        <w:wordWrap/>
        <w:overflowPunct/>
        <w:topLinePunct w:val="0"/>
        <w:autoSpaceDE w:val="0"/>
        <w:autoSpaceDN w:val="0"/>
        <w:bidi w:val="0"/>
        <w:adjustRightInd w:val="0"/>
        <w:snapToGrid/>
        <w:spacing w:line="576" w:lineRule="exact"/>
        <w:textAlignment w:val="auto"/>
        <w:rPr>
          <w:rFonts w:hint="default" w:eastAsia="宋体"/>
          <w:color w:val="auto"/>
          <w:lang w:val="en-US" w:eastAsia="zh-CN"/>
        </w:rPr>
        <w:sectPr>
          <w:footerReference r:id="rId3" w:type="default"/>
          <w:pgSz w:w="11906" w:h="16838"/>
          <w:pgMar w:top="2098" w:right="1474" w:bottom="1984" w:left="1587" w:header="851" w:footer="992" w:gutter="0"/>
          <w:pgNumType w:fmt="decimal"/>
          <w:cols w:space="720" w:num="1"/>
          <w:docGrid w:type="lines" w:linePitch="312" w:charSpace="0"/>
        </w:sectPr>
      </w:pPr>
      <w:r>
        <w:rPr>
          <w:rFonts w:hint="default" w:ascii="Times New Roman" w:hAnsi="Times New Roman" w:eastAsia="方正仿宋_GBK" w:cs="Times New Roman"/>
          <w:color w:val="auto"/>
          <w:sz w:val="32"/>
          <w:szCs w:val="32"/>
          <w:lang w:val="en-US" w:eastAsia="zh-CN"/>
        </w:rPr>
        <w:t xml:space="preserve">          3</w:t>
      </w:r>
      <w:r>
        <w:rPr>
          <w:rFonts w:hint="eastAsia" w:ascii="Times New Roman" w:hAnsi="Times New Roman" w:eastAsia="方正仿宋_GBK" w:cs="Times New Roman"/>
          <w:color w:val="auto"/>
          <w:kern w:val="0"/>
          <w:sz w:val="32"/>
          <w:szCs w:val="32"/>
          <w:lang w:val="en-US" w:eastAsia="zh-CN"/>
        </w:rPr>
        <w:t>．</w:t>
      </w:r>
      <w:r>
        <w:rPr>
          <w:rFonts w:hint="eastAsia" w:ascii="方正仿宋_GBK" w:hAnsi="方正仿宋_GBK" w:eastAsia="方正仿宋_GBK" w:cs="方正仿宋_GBK"/>
          <w:color w:val="auto"/>
          <w:sz w:val="32"/>
          <w:szCs w:val="32"/>
          <w:lang w:val="en-US" w:eastAsia="zh-CN"/>
        </w:rPr>
        <w:t>房屋附属物及附属设施补偿标准</w:t>
      </w:r>
    </w:p>
    <w:p>
      <w:pPr>
        <w:pStyle w:val="2"/>
        <w:rPr>
          <w:rFonts w:hint="eastAsia"/>
          <w:lang w:val="en-US" w:eastAsia="zh-CN"/>
        </w:rPr>
      </w:pPr>
    </w:p>
    <w:p>
      <w:pPr>
        <w:overflowPunct w:val="0"/>
        <w:snapToGrid w:val="0"/>
        <w:jc w:val="center"/>
        <w:rPr>
          <w:color w:val="auto"/>
          <w:sz w:val="36"/>
          <w:szCs w:val="36"/>
        </w:rPr>
      </w:pPr>
      <w:r>
        <w:rPr>
          <w:rFonts w:hint="eastAsia" w:eastAsia="方正小标宋_GBK" w:cs="方正小标宋_GBK"/>
          <w:color w:val="auto"/>
          <w:sz w:val="36"/>
          <w:szCs w:val="36"/>
        </w:rPr>
        <w:t>土地分类面积情况表</w:t>
      </w:r>
    </w:p>
    <w:p>
      <w:pPr>
        <w:overflowPunct w:val="0"/>
        <w:snapToGrid w:val="0"/>
        <w:ind w:firstLine="480" w:firstLineChars="200"/>
        <w:jc w:val="right"/>
        <w:rPr>
          <w:rFonts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单位：公顷</w:t>
      </w:r>
    </w:p>
    <w:tbl>
      <w:tblPr>
        <w:tblStyle w:val="8"/>
        <w:tblW w:w="133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238"/>
        <w:gridCol w:w="1897"/>
        <w:gridCol w:w="1229"/>
        <w:gridCol w:w="1419"/>
        <w:gridCol w:w="1172"/>
        <w:gridCol w:w="1255"/>
        <w:gridCol w:w="1691"/>
        <w:gridCol w:w="1345"/>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3899" w:type="dxa"/>
            <w:gridSpan w:val="3"/>
            <w:vMerge w:val="restart"/>
            <w:vAlign w:val="center"/>
          </w:tcPr>
          <w:p>
            <w:pPr>
              <w:pStyle w:val="11"/>
              <w:widowControl w:val="0"/>
              <w:overflowPunct w:val="0"/>
              <w:spacing w:line="240" w:lineRule="exact"/>
              <w:jc w:val="center"/>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rPr>
              <w:t>权属单位</w:t>
            </w:r>
          </w:p>
        </w:tc>
        <w:tc>
          <w:tcPr>
            <w:tcW w:w="1229" w:type="dxa"/>
            <w:vMerge w:val="restart"/>
            <w:vAlign w:val="center"/>
          </w:tcPr>
          <w:p>
            <w:pPr>
              <w:pStyle w:val="11"/>
              <w:widowControl w:val="0"/>
              <w:overflowPunct w:val="0"/>
              <w:spacing w:line="240" w:lineRule="exact"/>
              <w:jc w:val="center"/>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rPr>
              <w:t>本次征地前总面积</w:t>
            </w:r>
          </w:p>
        </w:tc>
        <w:tc>
          <w:tcPr>
            <w:tcW w:w="1419" w:type="dxa"/>
            <w:vMerge w:val="restart"/>
            <w:vAlign w:val="center"/>
          </w:tcPr>
          <w:p>
            <w:pPr>
              <w:pStyle w:val="11"/>
              <w:widowControl w:val="0"/>
              <w:overflowPunct w:val="0"/>
              <w:spacing w:line="240" w:lineRule="exact"/>
              <w:jc w:val="center"/>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rPr>
              <w:t>本次征地前耕地面积</w:t>
            </w:r>
          </w:p>
        </w:tc>
        <w:tc>
          <w:tcPr>
            <w:tcW w:w="6800" w:type="dxa"/>
            <w:gridSpan w:val="5"/>
            <w:vAlign w:val="center"/>
          </w:tcPr>
          <w:p>
            <w:pPr>
              <w:pStyle w:val="11"/>
              <w:widowControl w:val="0"/>
              <w:overflowPunct w:val="0"/>
              <w:spacing w:line="240" w:lineRule="exact"/>
              <w:jc w:val="center"/>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rPr>
              <w:t>本次征地分类面积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3899" w:type="dxa"/>
            <w:gridSpan w:val="3"/>
            <w:vMerge w:val="continue"/>
            <w:vAlign w:val="center"/>
          </w:tcPr>
          <w:p>
            <w:pPr>
              <w:pStyle w:val="11"/>
              <w:widowControl w:val="0"/>
              <w:overflowPunct w:val="0"/>
              <w:spacing w:line="240" w:lineRule="exact"/>
              <w:jc w:val="center"/>
              <w:rPr>
                <w:rFonts w:hint="eastAsia" w:ascii="方正黑体_GBK" w:hAnsi="方正黑体_GBK" w:eastAsia="方正黑体_GBK" w:cs="方正黑体_GBK"/>
                <w:color w:val="auto"/>
              </w:rPr>
            </w:pPr>
          </w:p>
        </w:tc>
        <w:tc>
          <w:tcPr>
            <w:tcW w:w="1229" w:type="dxa"/>
            <w:vMerge w:val="continue"/>
            <w:vAlign w:val="center"/>
          </w:tcPr>
          <w:p>
            <w:pPr>
              <w:pStyle w:val="11"/>
              <w:widowControl w:val="0"/>
              <w:overflowPunct w:val="0"/>
              <w:spacing w:line="240" w:lineRule="exact"/>
              <w:jc w:val="center"/>
              <w:rPr>
                <w:rFonts w:hint="eastAsia" w:ascii="方正黑体_GBK" w:hAnsi="方正黑体_GBK" w:eastAsia="方正黑体_GBK" w:cs="方正黑体_GBK"/>
                <w:color w:val="auto"/>
              </w:rPr>
            </w:pPr>
          </w:p>
        </w:tc>
        <w:tc>
          <w:tcPr>
            <w:tcW w:w="1419" w:type="dxa"/>
            <w:vMerge w:val="continue"/>
            <w:vAlign w:val="center"/>
          </w:tcPr>
          <w:p>
            <w:pPr>
              <w:pStyle w:val="11"/>
              <w:widowControl w:val="0"/>
              <w:overflowPunct w:val="0"/>
              <w:spacing w:line="240" w:lineRule="exact"/>
              <w:jc w:val="center"/>
              <w:rPr>
                <w:rFonts w:hint="eastAsia" w:ascii="方正黑体_GBK" w:hAnsi="方正黑体_GBK" w:eastAsia="方正黑体_GBK" w:cs="方正黑体_GBK"/>
                <w:color w:val="auto"/>
              </w:rPr>
            </w:pPr>
          </w:p>
        </w:tc>
        <w:tc>
          <w:tcPr>
            <w:tcW w:w="1172" w:type="dxa"/>
            <w:vMerge w:val="restart"/>
            <w:vAlign w:val="center"/>
          </w:tcPr>
          <w:p>
            <w:pPr>
              <w:pStyle w:val="11"/>
              <w:widowControl w:val="0"/>
              <w:overflowPunct w:val="0"/>
              <w:spacing w:line="240" w:lineRule="exact"/>
              <w:jc w:val="center"/>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rPr>
              <w:t>总面积</w:t>
            </w:r>
          </w:p>
        </w:tc>
        <w:tc>
          <w:tcPr>
            <w:tcW w:w="5628" w:type="dxa"/>
            <w:gridSpan w:val="4"/>
            <w:tcBorders>
              <w:bottom w:val="single" w:color="auto" w:sz="4" w:space="0"/>
            </w:tcBorders>
            <w:vAlign w:val="center"/>
          </w:tcPr>
          <w:p>
            <w:pPr>
              <w:pStyle w:val="11"/>
              <w:widowControl w:val="0"/>
              <w:overflowPunct w:val="0"/>
              <w:spacing w:line="240" w:lineRule="exact"/>
              <w:jc w:val="center"/>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rPr>
              <w:t>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jc w:val="center"/>
        </w:trPr>
        <w:tc>
          <w:tcPr>
            <w:tcW w:w="3899" w:type="dxa"/>
            <w:gridSpan w:val="3"/>
            <w:vMerge w:val="continue"/>
            <w:vAlign w:val="center"/>
          </w:tcPr>
          <w:p>
            <w:pPr>
              <w:pStyle w:val="11"/>
              <w:widowControl w:val="0"/>
              <w:overflowPunct w:val="0"/>
              <w:spacing w:line="240" w:lineRule="exact"/>
              <w:jc w:val="center"/>
              <w:rPr>
                <w:rFonts w:hint="eastAsia" w:ascii="方正黑体_GBK" w:hAnsi="方正黑体_GBK" w:eastAsia="方正黑体_GBK" w:cs="方正黑体_GBK"/>
                <w:color w:val="auto"/>
              </w:rPr>
            </w:pPr>
          </w:p>
        </w:tc>
        <w:tc>
          <w:tcPr>
            <w:tcW w:w="1229" w:type="dxa"/>
            <w:vMerge w:val="continue"/>
            <w:vAlign w:val="center"/>
          </w:tcPr>
          <w:p>
            <w:pPr>
              <w:pStyle w:val="11"/>
              <w:widowControl w:val="0"/>
              <w:overflowPunct w:val="0"/>
              <w:spacing w:line="240" w:lineRule="exact"/>
              <w:jc w:val="center"/>
              <w:rPr>
                <w:rFonts w:hint="eastAsia" w:ascii="方正黑体_GBK" w:hAnsi="方正黑体_GBK" w:eastAsia="方正黑体_GBK" w:cs="方正黑体_GBK"/>
                <w:color w:val="auto"/>
              </w:rPr>
            </w:pPr>
          </w:p>
        </w:tc>
        <w:tc>
          <w:tcPr>
            <w:tcW w:w="1419" w:type="dxa"/>
            <w:vMerge w:val="continue"/>
            <w:vAlign w:val="center"/>
          </w:tcPr>
          <w:p>
            <w:pPr>
              <w:pStyle w:val="11"/>
              <w:widowControl w:val="0"/>
              <w:overflowPunct w:val="0"/>
              <w:spacing w:line="240" w:lineRule="exact"/>
              <w:jc w:val="center"/>
              <w:rPr>
                <w:rFonts w:hint="eastAsia" w:ascii="方正黑体_GBK" w:hAnsi="方正黑体_GBK" w:eastAsia="方正黑体_GBK" w:cs="方正黑体_GBK"/>
                <w:color w:val="auto"/>
              </w:rPr>
            </w:pPr>
          </w:p>
        </w:tc>
        <w:tc>
          <w:tcPr>
            <w:tcW w:w="1172" w:type="dxa"/>
            <w:vMerge w:val="continue"/>
            <w:vAlign w:val="center"/>
          </w:tcPr>
          <w:p>
            <w:pPr>
              <w:pStyle w:val="11"/>
              <w:widowControl w:val="0"/>
              <w:overflowPunct w:val="0"/>
              <w:spacing w:line="240" w:lineRule="exact"/>
              <w:jc w:val="center"/>
              <w:rPr>
                <w:rFonts w:hint="eastAsia" w:ascii="方正黑体_GBK" w:hAnsi="方正黑体_GBK" w:eastAsia="方正黑体_GBK" w:cs="方正黑体_GBK"/>
                <w:color w:val="auto"/>
              </w:rPr>
            </w:pPr>
          </w:p>
        </w:tc>
        <w:tc>
          <w:tcPr>
            <w:tcW w:w="2946" w:type="dxa"/>
            <w:gridSpan w:val="2"/>
            <w:tcBorders>
              <w:bottom w:val="nil"/>
            </w:tcBorders>
            <w:vAlign w:val="center"/>
          </w:tcPr>
          <w:p>
            <w:pPr>
              <w:pStyle w:val="11"/>
              <w:widowControl w:val="0"/>
              <w:overflowPunct w:val="0"/>
              <w:spacing w:line="240" w:lineRule="exact"/>
              <w:jc w:val="center"/>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rPr>
              <w:t>农用地</w:t>
            </w:r>
          </w:p>
        </w:tc>
        <w:tc>
          <w:tcPr>
            <w:tcW w:w="1345" w:type="dxa"/>
            <w:vMerge w:val="restart"/>
            <w:vAlign w:val="center"/>
          </w:tcPr>
          <w:p>
            <w:pPr>
              <w:pStyle w:val="11"/>
              <w:widowControl w:val="0"/>
              <w:overflowPunct w:val="0"/>
              <w:spacing w:line="240" w:lineRule="exact"/>
              <w:jc w:val="center"/>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rPr>
              <w:t>建设</w:t>
            </w:r>
          </w:p>
          <w:p>
            <w:pPr>
              <w:pStyle w:val="11"/>
              <w:widowControl w:val="0"/>
              <w:overflowPunct w:val="0"/>
              <w:spacing w:line="240" w:lineRule="exact"/>
              <w:jc w:val="center"/>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rPr>
              <w:t>用地</w:t>
            </w:r>
          </w:p>
        </w:tc>
        <w:tc>
          <w:tcPr>
            <w:tcW w:w="1337" w:type="dxa"/>
            <w:vMerge w:val="restart"/>
            <w:vAlign w:val="center"/>
          </w:tcPr>
          <w:p>
            <w:pPr>
              <w:pStyle w:val="11"/>
              <w:widowControl w:val="0"/>
              <w:overflowPunct w:val="0"/>
              <w:spacing w:line="240" w:lineRule="exact"/>
              <w:jc w:val="center"/>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rPr>
              <w:t>未利</w:t>
            </w:r>
          </w:p>
          <w:p>
            <w:pPr>
              <w:pStyle w:val="11"/>
              <w:widowControl w:val="0"/>
              <w:overflowPunct w:val="0"/>
              <w:spacing w:line="240" w:lineRule="exact"/>
              <w:jc w:val="center"/>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rPr>
              <w:t>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3899" w:type="dxa"/>
            <w:gridSpan w:val="3"/>
            <w:vMerge w:val="continue"/>
            <w:vAlign w:val="center"/>
          </w:tcPr>
          <w:p>
            <w:pPr>
              <w:pStyle w:val="11"/>
              <w:widowControl w:val="0"/>
              <w:overflowPunct w:val="0"/>
              <w:spacing w:line="240" w:lineRule="exact"/>
              <w:jc w:val="center"/>
              <w:rPr>
                <w:rFonts w:ascii="Times New Roman" w:hAnsi="Times New Roman" w:cs="宋体"/>
                <w:b/>
                <w:bCs/>
                <w:color w:val="auto"/>
                <w:sz w:val="21"/>
                <w:szCs w:val="21"/>
              </w:rPr>
            </w:pPr>
          </w:p>
        </w:tc>
        <w:tc>
          <w:tcPr>
            <w:tcW w:w="1229" w:type="dxa"/>
            <w:vMerge w:val="continue"/>
            <w:vAlign w:val="center"/>
          </w:tcPr>
          <w:p>
            <w:pPr>
              <w:pStyle w:val="11"/>
              <w:widowControl w:val="0"/>
              <w:overflowPunct w:val="0"/>
              <w:spacing w:line="240" w:lineRule="exact"/>
              <w:jc w:val="center"/>
              <w:rPr>
                <w:rFonts w:ascii="Times New Roman" w:hAnsi="Times New Roman" w:cs="宋体"/>
                <w:b/>
                <w:bCs/>
                <w:color w:val="auto"/>
                <w:sz w:val="21"/>
                <w:szCs w:val="21"/>
              </w:rPr>
            </w:pPr>
          </w:p>
        </w:tc>
        <w:tc>
          <w:tcPr>
            <w:tcW w:w="1419" w:type="dxa"/>
            <w:vMerge w:val="continue"/>
            <w:vAlign w:val="center"/>
          </w:tcPr>
          <w:p>
            <w:pPr>
              <w:pStyle w:val="11"/>
              <w:widowControl w:val="0"/>
              <w:overflowPunct w:val="0"/>
              <w:spacing w:line="240" w:lineRule="exact"/>
              <w:jc w:val="center"/>
              <w:rPr>
                <w:rFonts w:ascii="Times New Roman" w:hAnsi="Times New Roman" w:cs="宋体"/>
                <w:b/>
                <w:bCs/>
                <w:color w:val="auto"/>
                <w:sz w:val="21"/>
                <w:szCs w:val="21"/>
              </w:rPr>
            </w:pPr>
          </w:p>
        </w:tc>
        <w:tc>
          <w:tcPr>
            <w:tcW w:w="1172" w:type="dxa"/>
            <w:vMerge w:val="continue"/>
            <w:vAlign w:val="center"/>
          </w:tcPr>
          <w:p>
            <w:pPr>
              <w:pStyle w:val="11"/>
              <w:widowControl w:val="0"/>
              <w:overflowPunct w:val="0"/>
              <w:spacing w:line="240" w:lineRule="exact"/>
              <w:jc w:val="center"/>
              <w:rPr>
                <w:rFonts w:ascii="Times New Roman" w:hAnsi="Times New Roman" w:cs="宋体"/>
                <w:b/>
                <w:bCs/>
                <w:color w:val="auto"/>
                <w:sz w:val="21"/>
                <w:szCs w:val="21"/>
              </w:rPr>
            </w:pPr>
          </w:p>
        </w:tc>
        <w:tc>
          <w:tcPr>
            <w:tcW w:w="1255" w:type="dxa"/>
            <w:tcBorders>
              <w:top w:val="nil"/>
            </w:tcBorders>
            <w:vAlign w:val="center"/>
          </w:tcPr>
          <w:p>
            <w:pPr>
              <w:pStyle w:val="11"/>
              <w:widowControl w:val="0"/>
              <w:overflowPunct w:val="0"/>
              <w:spacing w:line="240" w:lineRule="exact"/>
              <w:jc w:val="center"/>
              <w:rPr>
                <w:rFonts w:ascii="Times New Roman" w:hAnsi="Times New Roman" w:cs="宋体"/>
                <w:b/>
                <w:bCs/>
                <w:color w:val="auto"/>
                <w:sz w:val="21"/>
                <w:szCs w:val="21"/>
              </w:rPr>
            </w:pPr>
          </w:p>
        </w:tc>
        <w:tc>
          <w:tcPr>
            <w:tcW w:w="1691" w:type="dxa"/>
            <w:vAlign w:val="center"/>
          </w:tcPr>
          <w:p>
            <w:pPr>
              <w:pStyle w:val="11"/>
              <w:widowControl w:val="0"/>
              <w:overflowPunct w:val="0"/>
              <w:spacing w:line="240" w:lineRule="exact"/>
              <w:jc w:val="center"/>
              <w:rPr>
                <w:rFonts w:ascii="Times New Roman" w:hAnsi="Times New Roman" w:cs="宋体"/>
                <w:b/>
                <w:bCs/>
                <w:color w:val="auto"/>
                <w:sz w:val="21"/>
                <w:szCs w:val="21"/>
              </w:rPr>
            </w:pPr>
            <w:r>
              <w:rPr>
                <w:rFonts w:hint="eastAsia" w:ascii="方正黑体_GBK" w:hAnsi="方正黑体_GBK" w:eastAsia="方正黑体_GBK" w:cs="方正黑体_GBK"/>
                <w:color w:val="auto"/>
              </w:rPr>
              <w:t>其中：耕地</w:t>
            </w:r>
          </w:p>
        </w:tc>
        <w:tc>
          <w:tcPr>
            <w:tcW w:w="1345" w:type="dxa"/>
            <w:vMerge w:val="continue"/>
            <w:vAlign w:val="center"/>
          </w:tcPr>
          <w:p>
            <w:pPr>
              <w:pStyle w:val="11"/>
              <w:widowControl w:val="0"/>
              <w:overflowPunct w:val="0"/>
              <w:spacing w:line="240" w:lineRule="exact"/>
              <w:jc w:val="center"/>
              <w:rPr>
                <w:rFonts w:ascii="Times New Roman" w:hAnsi="Times New Roman" w:cs="宋体"/>
                <w:b/>
                <w:bCs/>
                <w:color w:val="auto"/>
                <w:sz w:val="21"/>
                <w:szCs w:val="21"/>
              </w:rPr>
            </w:pPr>
          </w:p>
        </w:tc>
        <w:tc>
          <w:tcPr>
            <w:tcW w:w="1337" w:type="dxa"/>
            <w:vMerge w:val="continue"/>
            <w:vAlign w:val="center"/>
          </w:tcPr>
          <w:p>
            <w:pPr>
              <w:pStyle w:val="11"/>
              <w:widowControl w:val="0"/>
              <w:overflowPunct w:val="0"/>
              <w:spacing w:line="240" w:lineRule="exact"/>
              <w:jc w:val="center"/>
              <w:rPr>
                <w:rFonts w:ascii="Times New Roman" w:hAnsi="Times New Roman"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4" w:type="dxa"/>
            <w:vMerge w:val="restart"/>
            <w:vAlign w:val="center"/>
          </w:tcPr>
          <w:p>
            <w:pPr>
              <w:pStyle w:val="11"/>
              <w:widowControl w:val="0"/>
              <w:overflowPunct w:val="0"/>
              <w:spacing w:line="240" w:lineRule="exact"/>
              <w:jc w:val="center"/>
              <w:rPr>
                <w:rFonts w:hint="default" w:ascii="Times New Roman" w:hAnsi="Times New Roman" w:eastAsia="方正仿宋_GBK" w:cs="Times New Roman"/>
                <w:color w:val="auto"/>
                <w:lang w:val="en-US" w:eastAsia="zh-CN"/>
              </w:rPr>
            </w:pPr>
            <w:r>
              <w:rPr>
                <w:rFonts w:hint="eastAsia" w:ascii="Times New Roman" w:hAnsi="Times New Roman" w:eastAsia="方正仿宋_GBK" w:cs="Times New Roman"/>
                <w:color w:val="auto"/>
                <w:lang w:val="en-US" w:eastAsia="zh-CN"/>
              </w:rPr>
              <w:t>赶水镇</w:t>
            </w:r>
          </w:p>
        </w:tc>
        <w:tc>
          <w:tcPr>
            <w:tcW w:w="1238" w:type="dxa"/>
            <w:vMerge w:val="restart"/>
            <w:vAlign w:val="center"/>
          </w:tcPr>
          <w:p>
            <w:pPr>
              <w:pStyle w:val="11"/>
              <w:widowControl w:val="0"/>
              <w:overflowPunct w:val="0"/>
              <w:spacing w:line="240" w:lineRule="exact"/>
              <w:jc w:val="center"/>
              <w:rPr>
                <w:rFonts w:hint="eastAsia"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马</w:t>
            </w:r>
          </w:p>
          <w:p>
            <w:pPr>
              <w:pStyle w:val="11"/>
              <w:widowControl w:val="0"/>
              <w:overflowPunct w:val="0"/>
              <w:spacing w:line="240" w:lineRule="exact"/>
              <w:jc w:val="center"/>
              <w:rPr>
                <w:rFonts w:hint="eastAsia"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龙</w:t>
            </w:r>
          </w:p>
          <w:p>
            <w:pPr>
              <w:pStyle w:val="11"/>
              <w:widowControl w:val="0"/>
              <w:overflowPunct w:val="0"/>
              <w:spacing w:line="240" w:lineRule="exact"/>
              <w:jc w:val="center"/>
              <w:rPr>
                <w:rFonts w:hint="default"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村</w:t>
            </w:r>
          </w:p>
        </w:tc>
        <w:tc>
          <w:tcPr>
            <w:tcW w:w="1897" w:type="dxa"/>
            <w:vAlign w:val="center"/>
          </w:tcPr>
          <w:p>
            <w:pPr>
              <w:pStyle w:val="11"/>
              <w:widowControl w:val="0"/>
              <w:overflowPunct w:val="0"/>
              <w:spacing w:line="240" w:lineRule="exact"/>
              <w:jc w:val="center"/>
              <w:rPr>
                <w:rFonts w:hint="default"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第四村民小组</w:t>
            </w:r>
          </w:p>
        </w:tc>
        <w:tc>
          <w:tcPr>
            <w:tcW w:w="1229" w:type="dxa"/>
            <w:vAlign w:val="center"/>
          </w:tcPr>
          <w:p>
            <w:pPr>
              <w:pStyle w:val="11"/>
              <w:widowControl w:val="0"/>
              <w:overflowPunct w:val="0"/>
              <w:spacing w:line="240" w:lineRule="exact"/>
              <w:jc w:val="center"/>
              <w:rPr>
                <w:rFonts w:hint="default"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140.7622</w:t>
            </w:r>
          </w:p>
        </w:tc>
        <w:tc>
          <w:tcPr>
            <w:tcW w:w="1419" w:type="dxa"/>
            <w:vAlign w:val="center"/>
          </w:tcPr>
          <w:p>
            <w:pPr>
              <w:pStyle w:val="11"/>
              <w:widowControl w:val="0"/>
              <w:overflowPunct w:val="0"/>
              <w:spacing w:line="240" w:lineRule="exact"/>
              <w:jc w:val="center"/>
              <w:rPr>
                <w:rFonts w:hint="default"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19.0651</w:t>
            </w:r>
          </w:p>
        </w:tc>
        <w:tc>
          <w:tcPr>
            <w:tcW w:w="1172" w:type="dxa"/>
            <w:vAlign w:val="center"/>
          </w:tcPr>
          <w:p>
            <w:pPr>
              <w:pStyle w:val="2"/>
              <w:ind w:left="0" w:leftChars="0" w:firstLine="0" w:firstLineChars="0"/>
              <w:jc w:val="center"/>
              <w:rPr>
                <w:rFonts w:hint="default" w:eastAsia="方正仿宋_GBK" w:cs="Times New Roman"/>
                <w:color w:val="auto"/>
                <w:kern w:val="0"/>
                <w:sz w:val="24"/>
                <w:szCs w:val="24"/>
                <w:highlight w:val="none"/>
                <w:lang w:val="en-US" w:eastAsia="zh-CN" w:bidi="ar-SA"/>
              </w:rPr>
            </w:pPr>
            <w:r>
              <w:rPr>
                <w:rFonts w:hint="eastAsia" w:eastAsia="方正仿宋_GBK" w:cs="Times New Roman"/>
                <w:color w:val="auto"/>
                <w:kern w:val="0"/>
                <w:sz w:val="24"/>
                <w:szCs w:val="24"/>
                <w:highlight w:val="none"/>
                <w:lang w:val="en-US" w:eastAsia="zh-CN" w:bidi="ar-SA"/>
              </w:rPr>
              <w:t>1.3401</w:t>
            </w:r>
          </w:p>
        </w:tc>
        <w:tc>
          <w:tcPr>
            <w:tcW w:w="1255" w:type="dxa"/>
            <w:vAlign w:val="center"/>
          </w:tcPr>
          <w:p>
            <w:pPr>
              <w:pStyle w:val="2"/>
              <w:ind w:left="0" w:leftChars="0" w:firstLine="0" w:firstLineChars="0"/>
              <w:jc w:val="center"/>
              <w:rPr>
                <w:rFonts w:hint="default" w:eastAsia="方正仿宋_GBK" w:cs="Times New Roman"/>
                <w:color w:val="auto"/>
                <w:kern w:val="0"/>
                <w:sz w:val="24"/>
                <w:szCs w:val="24"/>
                <w:highlight w:val="none"/>
                <w:lang w:val="en-US" w:eastAsia="zh-CN" w:bidi="ar-SA"/>
              </w:rPr>
            </w:pPr>
            <w:r>
              <w:rPr>
                <w:rFonts w:hint="eastAsia" w:eastAsia="方正仿宋_GBK" w:cs="Times New Roman"/>
                <w:color w:val="auto"/>
                <w:kern w:val="0"/>
                <w:sz w:val="24"/>
                <w:szCs w:val="24"/>
                <w:highlight w:val="none"/>
                <w:lang w:val="en-US" w:eastAsia="zh-CN" w:bidi="ar-SA"/>
              </w:rPr>
              <w:t>1.3401</w:t>
            </w:r>
          </w:p>
        </w:tc>
        <w:tc>
          <w:tcPr>
            <w:tcW w:w="1691" w:type="dxa"/>
            <w:vAlign w:val="center"/>
          </w:tcPr>
          <w:p>
            <w:pPr>
              <w:keepNext w:val="0"/>
              <w:keepLines w:val="0"/>
              <w:widowControl/>
              <w:suppressLineNumbers w:val="0"/>
              <w:jc w:val="center"/>
              <w:textAlignment w:val="center"/>
              <w:rPr>
                <w:rFonts w:hint="default" w:eastAsia="方正楷体_GBK" w:cs="Times New Roman"/>
                <w:i w:val="0"/>
                <w:iCs w:val="0"/>
                <w:color w:val="auto"/>
                <w:kern w:val="0"/>
                <w:sz w:val="24"/>
                <w:szCs w:val="24"/>
                <w:u w:val="none"/>
                <w:lang w:val="en-US" w:eastAsia="zh-CN" w:bidi="ar"/>
              </w:rPr>
            </w:pPr>
          </w:p>
        </w:tc>
        <w:tc>
          <w:tcPr>
            <w:tcW w:w="1345" w:type="dxa"/>
            <w:vAlign w:val="center"/>
          </w:tcPr>
          <w:p>
            <w:pPr>
              <w:widowControl/>
              <w:jc w:val="center"/>
              <w:textAlignment w:val="center"/>
              <w:rPr>
                <w:rFonts w:hint="eastAsia" w:eastAsia="方正仿宋_GBK" w:cs="Times New Roman"/>
                <w:color w:val="auto"/>
                <w:sz w:val="24"/>
                <w:highlight w:val="none"/>
                <w:lang w:val="en-US" w:eastAsia="zh-CN"/>
              </w:rPr>
            </w:pPr>
          </w:p>
        </w:tc>
        <w:tc>
          <w:tcPr>
            <w:tcW w:w="1337" w:type="dxa"/>
            <w:vAlign w:val="center"/>
          </w:tcPr>
          <w:p>
            <w:pPr>
              <w:pStyle w:val="11"/>
              <w:widowControl w:val="0"/>
              <w:overflowPunct w:val="0"/>
              <w:spacing w:line="240" w:lineRule="exact"/>
              <w:jc w:val="center"/>
              <w:rPr>
                <w:rFonts w:hint="default" w:ascii="Times New Roman" w:hAnsi="Times New Roman" w:eastAsia="方正仿宋_GBK"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64" w:type="dxa"/>
            <w:vMerge w:val="continue"/>
            <w:vAlign w:val="center"/>
          </w:tcPr>
          <w:p>
            <w:pPr>
              <w:pStyle w:val="11"/>
              <w:widowControl w:val="0"/>
              <w:overflowPunct w:val="0"/>
              <w:spacing w:line="240" w:lineRule="exact"/>
              <w:jc w:val="center"/>
              <w:rPr>
                <w:rFonts w:hint="default" w:ascii="Times New Roman" w:hAnsi="Times New Roman" w:eastAsia="方正仿宋_GBK" w:cs="Times New Roman"/>
                <w:color w:val="auto"/>
                <w:lang w:val="en-US" w:eastAsia="zh-CN"/>
              </w:rPr>
            </w:pPr>
          </w:p>
        </w:tc>
        <w:tc>
          <w:tcPr>
            <w:tcW w:w="1238" w:type="dxa"/>
            <w:vMerge w:val="continue"/>
            <w:vAlign w:val="center"/>
          </w:tcPr>
          <w:p>
            <w:pPr>
              <w:pStyle w:val="11"/>
              <w:widowControl w:val="0"/>
              <w:overflowPunct w:val="0"/>
              <w:spacing w:line="240" w:lineRule="exact"/>
              <w:jc w:val="center"/>
              <w:rPr>
                <w:rFonts w:hint="default" w:ascii="Times New Roman" w:hAnsi="Times New Roman" w:eastAsia="方正仿宋_GBK" w:cs="Times New Roman"/>
                <w:color w:val="auto"/>
                <w:highlight w:val="none"/>
                <w:lang w:val="en-US" w:eastAsia="zh-CN"/>
              </w:rPr>
            </w:pPr>
          </w:p>
        </w:tc>
        <w:tc>
          <w:tcPr>
            <w:tcW w:w="1897" w:type="dxa"/>
            <w:vAlign w:val="center"/>
          </w:tcPr>
          <w:p>
            <w:pPr>
              <w:pStyle w:val="11"/>
              <w:widowControl w:val="0"/>
              <w:overflowPunct w:val="0"/>
              <w:spacing w:line="240" w:lineRule="exact"/>
              <w:jc w:val="center"/>
              <w:rPr>
                <w:rFonts w:hint="default"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第六村民小组</w:t>
            </w:r>
          </w:p>
        </w:tc>
        <w:tc>
          <w:tcPr>
            <w:tcW w:w="1229" w:type="dxa"/>
            <w:vAlign w:val="center"/>
          </w:tcPr>
          <w:p>
            <w:pPr>
              <w:pStyle w:val="11"/>
              <w:widowControl w:val="0"/>
              <w:overflowPunct w:val="0"/>
              <w:spacing w:line="240" w:lineRule="exact"/>
              <w:jc w:val="center"/>
              <w:rPr>
                <w:rFonts w:hint="default"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49.268</w:t>
            </w:r>
          </w:p>
        </w:tc>
        <w:tc>
          <w:tcPr>
            <w:tcW w:w="1419" w:type="dxa"/>
            <w:vAlign w:val="center"/>
          </w:tcPr>
          <w:p>
            <w:pPr>
              <w:pStyle w:val="11"/>
              <w:widowControl w:val="0"/>
              <w:overflowPunct w:val="0"/>
              <w:spacing w:line="240" w:lineRule="exact"/>
              <w:jc w:val="center"/>
              <w:rPr>
                <w:rFonts w:hint="default"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24.22</w:t>
            </w:r>
          </w:p>
        </w:tc>
        <w:tc>
          <w:tcPr>
            <w:tcW w:w="1172" w:type="dxa"/>
            <w:vAlign w:val="center"/>
          </w:tcPr>
          <w:p>
            <w:pPr>
              <w:pStyle w:val="2"/>
              <w:ind w:left="0" w:leftChars="0" w:firstLine="0" w:firstLineChars="0"/>
              <w:jc w:val="center"/>
              <w:rPr>
                <w:rFonts w:hint="default" w:eastAsia="方正仿宋_GBK" w:cs="Times New Roman"/>
                <w:color w:val="auto"/>
                <w:kern w:val="0"/>
                <w:sz w:val="24"/>
                <w:szCs w:val="24"/>
                <w:highlight w:val="none"/>
                <w:lang w:val="en-US" w:eastAsia="zh-CN" w:bidi="ar-SA"/>
              </w:rPr>
            </w:pPr>
            <w:r>
              <w:rPr>
                <w:rFonts w:hint="eastAsia" w:eastAsia="方正仿宋_GBK" w:cs="Times New Roman"/>
                <w:color w:val="auto"/>
                <w:kern w:val="0"/>
                <w:sz w:val="24"/>
                <w:szCs w:val="24"/>
                <w:highlight w:val="none"/>
                <w:lang w:val="en-US" w:eastAsia="zh-CN" w:bidi="ar-SA"/>
              </w:rPr>
              <w:t>7.6529</w:t>
            </w:r>
          </w:p>
        </w:tc>
        <w:tc>
          <w:tcPr>
            <w:tcW w:w="1255" w:type="dxa"/>
            <w:vAlign w:val="center"/>
          </w:tcPr>
          <w:p>
            <w:pPr>
              <w:pStyle w:val="2"/>
              <w:ind w:left="0" w:leftChars="0" w:firstLine="0" w:firstLineChars="0"/>
              <w:jc w:val="center"/>
              <w:rPr>
                <w:rFonts w:hint="default" w:eastAsia="方正仿宋_GBK" w:cs="Times New Roman"/>
                <w:color w:val="auto"/>
                <w:kern w:val="0"/>
                <w:sz w:val="24"/>
                <w:szCs w:val="24"/>
                <w:highlight w:val="none"/>
                <w:lang w:val="en-US" w:eastAsia="zh-CN" w:bidi="ar-SA"/>
              </w:rPr>
            </w:pPr>
            <w:r>
              <w:rPr>
                <w:rFonts w:hint="eastAsia" w:eastAsia="方正仿宋_GBK" w:cs="Times New Roman"/>
                <w:color w:val="auto"/>
                <w:kern w:val="0"/>
                <w:sz w:val="24"/>
                <w:szCs w:val="24"/>
                <w:highlight w:val="none"/>
                <w:lang w:val="en-US" w:eastAsia="zh-CN" w:bidi="ar-SA"/>
              </w:rPr>
              <w:t>7.6529</w:t>
            </w:r>
          </w:p>
        </w:tc>
        <w:tc>
          <w:tcPr>
            <w:tcW w:w="1691" w:type="dxa"/>
            <w:vAlign w:val="center"/>
          </w:tcPr>
          <w:p>
            <w:pPr>
              <w:keepNext w:val="0"/>
              <w:keepLines w:val="0"/>
              <w:widowControl/>
              <w:suppressLineNumbers w:val="0"/>
              <w:jc w:val="center"/>
              <w:textAlignment w:val="center"/>
              <w:rPr>
                <w:rFonts w:hint="default" w:eastAsia="方正楷体_GBK" w:cs="Times New Roman"/>
                <w:i w:val="0"/>
                <w:iCs w:val="0"/>
                <w:color w:val="auto"/>
                <w:kern w:val="0"/>
                <w:sz w:val="24"/>
                <w:szCs w:val="24"/>
                <w:u w:val="none"/>
                <w:lang w:val="en-US" w:eastAsia="zh-CN" w:bidi="ar"/>
              </w:rPr>
            </w:pPr>
            <w:r>
              <w:rPr>
                <w:rFonts w:hint="eastAsia" w:eastAsia="方正楷体_GBK" w:cs="Times New Roman"/>
                <w:i w:val="0"/>
                <w:iCs w:val="0"/>
                <w:color w:val="auto"/>
                <w:kern w:val="0"/>
                <w:sz w:val="24"/>
                <w:szCs w:val="24"/>
                <w:u w:val="none"/>
                <w:lang w:val="en-US" w:eastAsia="zh-CN" w:bidi="ar"/>
              </w:rPr>
              <w:t>5.847</w:t>
            </w:r>
          </w:p>
        </w:tc>
        <w:tc>
          <w:tcPr>
            <w:tcW w:w="1345" w:type="dxa"/>
            <w:vAlign w:val="center"/>
          </w:tcPr>
          <w:p>
            <w:pPr>
              <w:widowControl/>
              <w:jc w:val="center"/>
              <w:textAlignment w:val="center"/>
              <w:rPr>
                <w:rFonts w:hint="default" w:eastAsia="方正仿宋_GBK" w:cs="Times New Roman"/>
                <w:color w:val="auto"/>
                <w:sz w:val="24"/>
                <w:highlight w:val="none"/>
                <w:lang w:val="en-US" w:eastAsia="zh-CN"/>
              </w:rPr>
            </w:pPr>
          </w:p>
        </w:tc>
        <w:tc>
          <w:tcPr>
            <w:tcW w:w="1337" w:type="dxa"/>
            <w:vAlign w:val="center"/>
          </w:tcPr>
          <w:p>
            <w:pPr>
              <w:pStyle w:val="11"/>
              <w:widowControl w:val="0"/>
              <w:overflowPunct w:val="0"/>
              <w:spacing w:line="240" w:lineRule="exact"/>
              <w:jc w:val="center"/>
              <w:rPr>
                <w:rFonts w:hint="default" w:ascii="Times New Roman" w:hAnsi="Times New Roman" w:eastAsia="方正仿宋_GBK"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899" w:type="dxa"/>
            <w:gridSpan w:val="3"/>
            <w:tcBorders>
              <w:left w:val="single" w:color="auto" w:sz="4" w:space="0"/>
              <w:bottom w:val="single" w:color="auto" w:sz="4" w:space="0"/>
            </w:tcBorders>
            <w:vAlign w:val="center"/>
          </w:tcPr>
          <w:p>
            <w:pPr>
              <w:pStyle w:val="11"/>
              <w:widowControl w:val="0"/>
              <w:overflowPunct w:val="0"/>
              <w:spacing w:line="240" w:lineRule="exact"/>
              <w:jc w:val="center"/>
              <w:rPr>
                <w:rFonts w:hint="default"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合计</w:t>
            </w:r>
          </w:p>
        </w:tc>
        <w:tc>
          <w:tcPr>
            <w:tcW w:w="1229" w:type="dxa"/>
            <w:vAlign w:val="center"/>
          </w:tcPr>
          <w:p>
            <w:pPr>
              <w:pStyle w:val="11"/>
              <w:widowControl w:val="0"/>
              <w:overflowPunct w:val="0"/>
              <w:spacing w:line="240" w:lineRule="exact"/>
              <w:jc w:val="center"/>
              <w:rPr>
                <w:rFonts w:hint="default" w:ascii="Times New Roman" w:hAnsi="Times New Roman" w:eastAsia="方正仿宋_GBK" w:cs="Times New Roman"/>
                <w:color w:val="auto"/>
                <w:highlight w:val="yellow"/>
              </w:rPr>
            </w:pPr>
          </w:p>
        </w:tc>
        <w:tc>
          <w:tcPr>
            <w:tcW w:w="1419" w:type="dxa"/>
            <w:vAlign w:val="center"/>
          </w:tcPr>
          <w:p>
            <w:pPr>
              <w:pStyle w:val="11"/>
              <w:widowControl w:val="0"/>
              <w:overflowPunct w:val="0"/>
              <w:spacing w:line="240" w:lineRule="exact"/>
              <w:jc w:val="center"/>
              <w:rPr>
                <w:rFonts w:hint="default" w:ascii="Times New Roman" w:hAnsi="Times New Roman" w:eastAsia="方正仿宋_GBK" w:cs="Times New Roman"/>
                <w:color w:val="auto"/>
                <w:highlight w:val="yellow"/>
              </w:rPr>
            </w:pPr>
          </w:p>
        </w:tc>
        <w:tc>
          <w:tcPr>
            <w:tcW w:w="1172" w:type="dxa"/>
            <w:vAlign w:val="center"/>
          </w:tcPr>
          <w:p>
            <w:pPr>
              <w:pStyle w:val="2"/>
              <w:ind w:left="0" w:leftChars="0" w:firstLine="0" w:firstLineChars="0"/>
              <w:jc w:val="center"/>
              <w:rPr>
                <w:rFonts w:hint="default" w:eastAsia="方正仿宋_GBK" w:cs="Times New Roman"/>
                <w:color w:val="auto"/>
                <w:kern w:val="0"/>
                <w:sz w:val="24"/>
                <w:szCs w:val="24"/>
                <w:highlight w:val="none"/>
                <w:lang w:val="en-US" w:eastAsia="zh-CN" w:bidi="ar-SA"/>
              </w:rPr>
            </w:pPr>
          </w:p>
        </w:tc>
        <w:tc>
          <w:tcPr>
            <w:tcW w:w="1255" w:type="dxa"/>
            <w:vAlign w:val="center"/>
          </w:tcPr>
          <w:p>
            <w:pPr>
              <w:pStyle w:val="2"/>
              <w:ind w:left="0" w:leftChars="0" w:firstLine="0" w:firstLineChars="0"/>
              <w:jc w:val="center"/>
              <w:rPr>
                <w:rFonts w:hint="default" w:eastAsia="方正仿宋_GBK" w:cs="Times New Roman"/>
                <w:i w:val="0"/>
                <w:iCs w:val="0"/>
                <w:color w:val="auto"/>
                <w:kern w:val="2"/>
                <w:sz w:val="24"/>
                <w:szCs w:val="24"/>
                <w:u w:val="none"/>
                <w:lang w:val="en-US" w:eastAsia="zh-CN" w:bidi="ar-SA"/>
              </w:rPr>
            </w:pPr>
          </w:p>
        </w:tc>
        <w:tc>
          <w:tcPr>
            <w:tcW w:w="1691" w:type="dxa"/>
            <w:vAlign w:val="center"/>
          </w:tcPr>
          <w:p>
            <w:pPr>
              <w:keepNext w:val="0"/>
              <w:keepLines w:val="0"/>
              <w:widowControl/>
              <w:suppressLineNumbers w:val="0"/>
              <w:jc w:val="center"/>
              <w:textAlignment w:val="center"/>
              <w:rPr>
                <w:rFonts w:hint="default" w:eastAsia="方正仿宋_GBK" w:cs="Times New Roman"/>
                <w:i w:val="0"/>
                <w:iCs w:val="0"/>
                <w:color w:val="auto"/>
                <w:kern w:val="2"/>
                <w:sz w:val="24"/>
                <w:szCs w:val="24"/>
                <w:u w:val="none"/>
                <w:lang w:val="en-US" w:eastAsia="zh-CN" w:bidi="ar-SA"/>
              </w:rPr>
            </w:pPr>
          </w:p>
        </w:tc>
        <w:tc>
          <w:tcPr>
            <w:tcW w:w="1345" w:type="dxa"/>
            <w:vAlign w:val="center"/>
          </w:tcPr>
          <w:p>
            <w:pPr>
              <w:widowControl/>
              <w:jc w:val="center"/>
              <w:textAlignment w:val="center"/>
              <w:rPr>
                <w:rFonts w:hint="default" w:ascii="Times New Roman" w:hAnsi="Times New Roman" w:eastAsia="方正仿宋_GBK" w:cs="Times New Roman"/>
                <w:i w:val="0"/>
                <w:iCs w:val="0"/>
                <w:color w:val="auto"/>
                <w:kern w:val="2"/>
                <w:sz w:val="24"/>
                <w:szCs w:val="24"/>
                <w:u w:val="none"/>
                <w:lang w:val="en-US" w:eastAsia="zh-CN" w:bidi="ar-SA"/>
              </w:rPr>
            </w:pPr>
          </w:p>
        </w:tc>
        <w:tc>
          <w:tcPr>
            <w:tcW w:w="1337" w:type="dxa"/>
            <w:vAlign w:val="center"/>
          </w:tcPr>
          <w:p>
            <w:pPr>
              <w:pStyle w:val="11"/>
              <w:widowControl w:val="0"/>
              <w:overflowPunct w:val="0"/>
              <w:spacing w:line="240" w:lineRule="exact"/>
              <w:jc w:val="center"/>
              <w:rPr>
                <w:rFonts w:hint="default" w:ascii="Times New Roman" w:hAnsi="Times New Roman" w:eastAsia="方正仿宋_GBK" w:cs="Times New Roman"/>
                <w:color w:val="auto"/>
                <w:highlight w:val="none"/>
                <w:lang w:val="en-US" w:eastAsia="zh-CN"/>
              </w:rPr>
            </w:pPr>
          </w:p>
        </w:tc>
      </w:tr>
    </w:tbl>
    <w:p>
      <w:pPr>
        <w:pStyle w:val="2"/>
        <w:ind w:firstLine="280"/>
        <w:rPr>
          <w:color w:val="auto"/>
          <w:lang w:eastAsia="zh-CN"/>
        </w:rPr>
      </w:pPr>
    </w:p>
    <w:p>
      <w:pPr>
        <w:jc w:val="left"/>
        <w:rPr>
          <w:rFonts w:hint="eastAsia" w:ascii="方正小标宋_GBK" w:hAnsi="方正小标宋_GBK" w:eastAsia="方正小标宋_GBK" w:cs="方正小标宋_GBK"/>
          <w:color w:val="auto"/>
          <w:sz w:val="32"/>
          <w:szCs w:val="32"/>
          <w:lang w:val="en-US" w:eastAsia="zh-CN"/>
        </w:rPr>
        <w:sectPr>
          <w:pgSz w:w="16838" w:h="11906" w:orient="landscape"/>
          <w:pgMar w:top="1587" w:right="2098" w:bottom="1474" w:left="1984" w:header="851" w:footer="992" w:gutter="0"/>
          <w:pgNumType w:fmt="decimal"/>
          <w:cols w:space="425" w:num="1"/>
          <w:docGrid w:type="lines" w:linePitch="312" w:charSpace="0"/>
        </w:sectPr>
      </w:pPr>
    </w:p>
    <w:p>
      <w:pPr>
        <w:pStyle w:val="2"/>
        <w:rPr>
          <w:rFonts w:hint="eastAsia"/>
          <w:lang w:val="en-US" w:eastAsia="zh-CN"/>
        </w:rPr>
      </w:pPr>
    </w:p>
    <w:p>
      <w:pPr>
        <w:jc w:val="center"/>
        <w:rPr>
          <w:rFonts w:ascii="方正小标宋_GBK" w:hAnsi="方正小标宋_GBK" w:eastAsia="方正小标宋_GBK" w:cs="方正小标宋_GBK"/>
          <w:color w:val="auto"/>
          <w:sz w:val="36"/>
          <w:szCs w:val="36"/>
          <w:lang w:eastAsia="zh-CN"/>
        </w:rPr>
      </w:pPr>
      <w:r>
        <w:rPr>
          <w:rFonts w:hint="eastAsia" w:ascii="方正小标宋_GBK" w:hAnsi="方正小标宋_GBK" w:eastAsia="方正小标宋_GBK" w:cs="方正小标宋_GBK"/>
          <w:color w:val="auto"/>
          <w:sz w:val="36"/>
          <w:szCs w:val="36"/>
          <w:lang w:eastAsia="zh-CN"/>
        </w:rPr>
        <w:t>土地补偿费安置补助费</w:t>
      </w:r>
      <w:r>
        <w:rPr>
          <w:rFonts w:hint="eastAsia" w:ascii="方正小标宋_GBK" w:hAnsi="方正小标宋_GBK" w:eastAsia="方正小标宋_GBK" w:cs="方正小标宋_GBK"/>
          <w:color w:val="auto"/>
          <w:sz w:val="36"/>
          <w:szCs w:val="36"/>
          <w:lang w:val="en-US" w:eastAsia="zh-CN"/>
        </w:rPr>
        <w:t>和安置人数</w:t>
      </w:r>
      <w:r>
        <w:rPr>
          <w:rFonts w:hint="eastAsia" w:ascii="方正小标宋_GBK" w:hAnsi="方正小标宋_GBK" w:eastAsia="方正小标宋_GBK" w:cs="方正小标宋_GBK"/>
          <w:color w:val="auto"/>
          <w:sz w:val="36"/>
          <w:szCs w:val="36"/>
          <w:lang w:eastAsia="zh-CN"/>
        </w:rPr>
        <w:t>明细表</w:t>
      </w:r>
    </w:p>
    <w:p>
      <w:pPr>
        <w:overflowPunct w:val="0"/>
        <w:snapToGrid w:val="0"/>
        <w:ind w:firstLine="480" w:firstLineChars="200"/>
        <w:jc w:val="center"/>
        <w:rPr>
          <w:rFonts w:hint="eastAsia" w:ascii="方正仿宋_GBK" w:hAnsi="方正仿宋_GBK" w:eastAsia="方正仿宋_GBK" w:cs="方正仿宋_GBK"/>
          <w:color w:val="auto"/>
          <w:sz w:val="24"/>
        </w:rPr>
      </w:pPr>
    </w:p>
    <w:p>
      <w:pPr>
        <w:overflowPunct w:val="0"/>
        <w:snapToGrid w:val="0"/>
        <w:ind w:firstLine="480" w:firstLineChars="200"/>
        <w:jc w:val="right"/>
        <w:rPr>
          <w:rFonts w:hint="default" w:ascii="方正仿宋_GBK" w:hAnsi="方正仿宋_GBK" w:eastAsia="方正仿宋_GBK" w:cs="方正仿宋_GBK"/>
          <w:color w:val="auto"/>
          <w:sz w:val="24"/>
          <w:lang w:val="en-US"/>
        </w:rPr>
      </w:pPr>
      <w:r>
        <w:rPr>
          <w:rFonts w:hint="eastAsia" w:ascii="方正仿宋_GBK" w:hAnsi="方正仿宋_GBK" w:eastAsia="方正仿宋_GBK" w:cs="方正仿宋_GBK"/>
          <w:color w:val="auto"/>
          <w:sz w:val="24"/>
        </w:rPr>
        <w:t>单位：公顷、万元</w:t>
      </w:r>
      <w:r>
        <w:rPr>
          <w:rFonts w:hint="eastAsia" w:ascii="方正仿宋_GBK" w:hAnsi="方正仿宋_GBK" w:eastAsia="方正仿宋_GBK" w:cs="方正仿宋_GBK"/>
          <w:color w:val="auto"/>
          <w:sz w:val="24"/>
          <w:lang w:eastAsia="zh-CN"/>
        </w:rPr>
        <w:t>、</w:t>
      </w:r>
      <w:r>
        <w:rPr>
          <w:rFonts w:hint="eastAsia" w:ascii="方正仿宋_GBK" w:hAnsi="方正仿宋_GBK" w:eastAsia="方正仿宋_GBK" w:cs="方正仿宋_GBK"/>
          <w:color w:val="auto"/>
          <w:sz w:val="24"/>
          <w:lang w:val="en-US" w:eastAsia="zh-CN"/>
        </w:rPr>
        <w:t>万元/亩、人</w:t>
      </w:r>
    </w:p>
    <w:tbl>
      <w:tblPr>
        <w:tblStyle w:val="8"/>
        <w:tblW w:w="102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996"/>
        <w:gridCol w:w="1936"/>
        <w:gridCol w:w="1200"/>
        <w:gridCol w:w="1220"/>
        <w:gridCol w:w="1421"/>
        <w:gridCol w:w="1486"/>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13" w:type="dxa"/>
            <w:gridSpan w:val="3"/>
            <w:vAlign w:val="center"/>
          </w:tcPr>
          <w:p>
            <w:pPr>
              <w:pStyle w:val="2"/>
              <w:keepNext w:val="0"/>
              <w:keepLines w:val="0"/>
              <w:pageBreakBefore w:val="0"/>
              <w:kinsoku/>
              <w:wordWrap/>
              <w:topLinePunct w:val="0"/>
              <w:bidi w:val="0"/>
              <w:snapToGrid/>
              <w:spacing w:line="400" w:lineRule="exact"/>
              <w:ind w:left="0" w:firstLine="0" w:firstLineChars="0"/>
              <w:jc w:val="center"/>
              <w:rPr>
                <w:rFonts w:hint="eastAsia" w:ascii="方正黑体_GBK" w:hAnsi="方正黑体_GBK" w:eastAsia="方正黑体_GBK" w:cs="方正黑体_GBK"/>
                <w:color w:val="auto"/>
                <w:sz w:val="24"/>
                <w:lang w:eastAsia="zh-CN"/>
              </w:rPr>
            </w:pPr>
            <w:r>
              <w:rPr>
                <w:rFonts w:hint="eastAsia" w:ascii="方正黑体_GBK" w:hAnsi="方正黑体_GBK" w:eastAsia="方正黑体_GBK" w:cs="方正黑体_GBK"/>
                <w:color w:val="auto"/>
                <w:sz w:val="24"/>
                <w:lang w:eastAsia="zh-CN"/>
              </w:rPr>
              <w:t>被征土地</w:t>
            </w:r>
          </w:p>
          <w:p>
            <w:pPr>
              <w:pStyle w:val="2"/>
              <w:keepNext w:val="0"/>
              <w:keepLines w:val="0"/>
              <w:pageBreakBefore w:val="0"/>
              <w:kinsoku/>
              <w:wordWrap/>
              <w:topLinePunct w:val="0"/>
              <w:bidi w:val="0"/>
              <w:snapToGrid/>
              <w:spacing w:line="400" w:lineRule="exact"/>
              <w:ind w:left="0" w:firstLine="0" w:firstLineChars="0"/>
              <w:jc w:val="center"/>
              <w:rPr>
                <w:rFonts w:hint="eastAsia" w:ascii="方正黑体_GBK" w:hAnsi="方正黑体_GBK" w:eastAsia="方正黑体_GBK" w:cs="方正黑体_GBK"/>
                <w:color w:val="auto"/>
                <w:sz w:val="24"/>
                <w:lang w:eastAsia="zh-CN"/>
              </w:rPr>
            </w:pPr>
            <w:r>
              <w:rPr>
                <w:rFonts w:hint="eastAsia" w:ascii="方正黑体_GBK" w:hAnsi="方正黑体_GBK" w:eastAsia="方正黑体_GBK" w:cs="方正黑体_GBK"/>
                <w:color w:val="auto"/>
                <w:sz w:val="24"/>
                <w:lang w:eastAsia="zh-CN"/>
              </w:rPr>
              <w:t>所有权人</w:t>
            </w:r>
          </w:p>
        </w:tc>
        <w:tc>
          <w:tcPr>
            <w:tcW w:w="1200" w:type="dxa"/>
            <w:vAlign w:val="center"/>
          </w:tcPr>
          <w:p>
            <w:pPr>
              <w:pStyle w:val="2"/>
              <w:keepNext w:val="0"/>
              <w:keepLines w:val="0"/>
              <w:pageBreakBefore w:val="0"/>
              <w:kinsoku/>
              <w:wordWrap/>
              <w:topLinePunct w:val="0"/>
              <w:bidi w:val="0"/>
              <w:snapToGrid/>
              <w:spacing w:line="400" w:lineRule="exact"/>
              <w:ind w:left="0" w:firstLine="0" w:firstLineChars="0"/>
              <w:jc w:val="center"/>
              <w:rPr>
                <w:rFonts w:hint="eastAsia" w:ascii="方正黑体_GBK" w:hAnsi="方正黑体_GBK" w:eastAsia="方正黑体_GBK" w:cs="方正黑体_GBK"/>
                <w:color w:val="auto"/>
                <w:sz w:val="24"/>
                <w:lang w:eastAsia="zh-CN"/>
              </w:rPr>
            </w:pPr>
            <w:r>
              <w:rPr>
                <w:rFonts w:hint="eastAsia" w:ascii="方正黑体_GBK" w:hAnsi="方正黑体_GBK" w:eastAsia="方正黑体_GBK" w:cs="方正黑体_GBK"/>
                <w:color w:val="auto"/>
                <w:sz w:val="24"/>
                <w:lang w:eastAsia="zh-CN"/>
              </w:rPr>
              <w:t>征地面积</w:t>
            </w:r>
          </w:p>
        </w:tc>
        <w:tc>
          <w:tcPr>
            <w:tcW w:w="1220" w:type="dxa"/>
            <w:vAlign w:val="center"/>
          </w:tcPr>
          <w:p>
            <w:pPr>
              <w:pStyle w:val="2"/>
              <w:keepNext w:val="0"/>
              <w:keepLines w:val="0"/>
              <w:pageBreakBefore w:val="0"/>
              <w:kinsoku/>
              <w:wordWrap/>
              <w:topLinePunct w:val="0"/>
              <w:bidi w:val="0"/>
              <w:snapToGrid/>
              <w:spacing w:line="400" w:lineRule="exact"/>
              <w:ind w:left="0" w:firstLine="0" w:firstLineChars="0"/>
              <w:jc w:val="center"/>
              <w:rPr>
                <w:rFonts w:hint="eastAsia" w:ascii="方正黑体_GBK" w:hAnsi="方正黑体_GBK" w:eastAsia="方正黑体_GBK" w:cs="方正黑体_GBK"/>
                <w:color w:val="auto"/>
                <w:sz w:val="24"/>
                <w:lang w:eastAsia="zh-CN"/>
              </w:rPr>
            </w:pPr>
            <w:r>
              <w:rPr>
                <w:rFonts w:hint="eastAsia" w:ascii="方正黑体_GBK" w:hAnsi="方正黑体_GBK" w:eastAsia="方正黑体_GBK" w:cs="方正黑体_GBK"/>
                <w:color w:val="auto"/>
                <w:sz w:val="24"/>
                <w:lang w:eastAsia="zh-CN"/>
              </w:rPr>
              <w:t>区片综合地价标准</w:t>
            </w:r>
          </w:p>
        </w:tc>
        <w:tc>
          <w:tcPr>
            <w:tcW w:w="1421" w:type="dxa"/>
            <w:vAlign w:val="center"/>
          </w:tcPr>
          <w:p>
            <w:pPr>
              <w:pStyle w:val="2"/>
              <w:keepNext w:val="0"/>
              <w:keepLines w:val="0"/>
              <w:pageBreakBefore w:val="0"/>
              <w:kinsoku/>
              <w:wordWrap/>
              <w:topLinePunct w:val="0"/>
              <w:bidi w:val="0"/>
              <w:snapToGrid/>
              <w:spacing w:line="400" w:lineRule="exact"/>
              <w:ind w:left="0" w:firstLine="0" w:firstLineChars="0"/>
              <w:jc w:val="center"/>
              <w:rPr>
                <w:rFonts w:hint="eastAsia" w:ascii="方正黑体_GBK" w:hAnsi="方正黑体_GBK" w:eastAsia="方正黑体_GBK" w:cs="方正黑体_GBK"/>
                <w:color w:val="auto"/>
                <w:sz w:val="24"/>
                <w:lang w:eastAsia="zh-CN"/>
              </w:rPr>
            </w:pPr>
            <w:r>
              <w:rPr>
                <w:rFonts w:hint="eastAsia" w:ascii="方正黑体_GBK" w:hAnsi="方正黑体_GBK" w:eastAsia="方正黑体_GBK" w:cs="方正黑体_GBK"/>
                <w:color w:val="auto"/>
                <w:sz w:val="24"/>
                <w:lang w:eastAsia="zh-CN"/>
              </w:rPr>
              <w:t>土地补偿费</w:t>
            </w:r>
          </w:p>
        </w:tc>
        <w:tc>
          <w:tcPr>
            <w:tcW w:w="1486" w:type="dxa"/>
            <w:vAlign w:val="center"/>
          </w:tcPr>
          <w:p>
            <w:pPr>
              <w:pStyle w:val="2"/>
              <w:keepNext w:val="0"/>
              <w:keepLines w:val="0"/>
              <w:pageBreakBefore w:val="0"/>
              <w:kinsoku/>
              <w:wordWrap/>
              <w:topLinePunct w:val="0"/>
              <w:bidi w:val="0"/>
              <w:snapToGrid/>
              <w:spacing w:line="400" w:lineRule="exact"/>
              <w:ind w:left="0" w:firstLine="0" w:firstLineChars="0"/>
              <w:jc w:val="center"/>
              <w:rPr>
                <w:rFonts w:hint="eastAsia" w:ascii="方正黑体_GBK" w:hAnsi="方正黑体_GBK" w:eastAsia="方正黑体_GBK" w:cs="方正黑体_GBK"/>
                <w:color w:val="auto"/>
                <w:sz w:val="24"/>
                <w:lang w:eastAsia="zh-CN"/>
              </w:rPr>
            </w:pPr>
            <w:r>
              <w:rPr>
                <w:rFonts w:hint="eastAsia" w:ascii="方正黑体_GBK" w:hAnsi="方正黑体_GBK" w:eastAsia="方正黑体_GBK" w:cs="方正黑体_GBK"/>
                <w:color w:val="auto"/>
                <w:sz w:val="24"/>
                <w:lang w:eastAsia="zh-CN"/>
              </w:rPr>
              <w:t>安置补助费</w:t>
            </w:r>
          </w:p>
        </w:tc>
        <w:tc>
          <w:tcPr>
            <w:tcW w:w="1241" w:type="dxa"/>
            <w:vAlign w:val="center"/>
          </w:tcPr>
          <w:p>
            <w:pPr>
              <w:pStyle w:val="2"/>
              <w:keepNext w:val="0"/>
              <w:keepLines w:val="0"/>
              <w:pageBreakBefore w:val="0"/>
              <w:kinsoku/>
              <w:wordWrap/>
              <w:topLinePunct w:val="0"/>
              <w:bidi w:val="0"/>
              <w:snapToGrid/>
              <w:spacing w:line="400" w:lineRule="exact"/>
              <w:ind w:left="0" w:firstLine="0" w:firstLineChars="0"/>
              <w:jc w:val="center"/>
              <w:rPr>
                <w:rFonts w:hint="eastAsia" w:ascii="方正黑体_GBK" w:hAnsi="方正黑体_GBK" w:eastAsia="方正黑体_GBK" w:cs="方正黑体_GBK"/>
                <w:color w:val="auto"/>
                <w:sz w:val="24"/>
                <w:lang w:val="en-US" w:eastAsia="zh-CN"/>
              </w:rPr>
            </w:pPr>
            <w:r>
              <w:rPr>
                <w:rFonts w:hint="eastAsia" w:ascii="方正黑体_GBK" w:hAnsi="方正黑体_GBK" w:eastAsia="方正黑体_GBK" w:cs="方正黑体_GBK"/>
                <w:color w:val="auto"/>
                <w:sz w:val="24"/>
                <w:lang w:val="en-US" w:eastAsia="zh-CN"/>
              </w:rPr>
              <w:t>安置人数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81" w:type="dxa"/>
            <w:vMerge w:val="restart"/>
            <w:vAlign w:val="center"/>
          </w:tcPr>
          <w:p>
            <w:pPr>
              <w:pStyle w:val="11"/>
              <w:keepNext w:val="0"/>
              <w:keepLines w:val="0"/>
              <w:pageBreakBefore w:val="0"/>
              <w:widowControl w:val="0"/>
              <w:kinsoku/>
              <w:wordWrap/>
              <w:overflowPunct w:val="0"/>
              <w:topLinePunct w:val="0"/>
              <w:bidi w:val="0"/>
              <w:adjustRightInd w:val="0"/>
              <w:snapToGrid/>
              <w:spacing w:line="320" w:lineRule="exact"/>
              <w:jc w:val="center"/>
              <w:textAlignment w:val="auto"/>
              <w:rPr>
                <w:rFonts w:hint="eastAsia"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赶水镇</w:t>
            </w:r>
          </w:p>
        </w:tc>
        <w:tc>
          <w:tcPr>
            <w:tcW w:w="996" w:type="dxa"/>
            <w:vMerge w:val="restart"/>
            <w:vAlign w:val="center"/>
          </w:tcPr>
          <w:p>
            <w:pPr>
              <w:pStyle w:val="11"/>
              <w:keepNext w:val="0"/>
              <w:keepLines w:val="0"/>
              <w:pageBreakBefore w:val="0"/>
              <w:widowControl w:val="0"/>
              <w:kinsoku/>
              <w:wordWrap/>
              <w:overflowPunct w:val="0"/>
              <w:topLinePunct w:val="0"/>
              <w:bidi w:val="0"/>
              <w:adjustRightInd w:val="0"/>
              <w:snapToGrid/>
              <w:spacing w:line="320" w:lineRule="exact"/>
              <w:jc w:val="center"/>
              <w:textAlignment w:val="auto"/>
              <w:rPr>
                <w:rFonts w:hint="eastAsia"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马龙村</w:t>
            </w:r>
          </w:p>
        </w:tc>
        <w:tc>
          <w:tcPr>
            <w:tcW w:w="1936" w:type="dxa"/>
            <w:vAlign w:val="center"/>
          </w:tcPr>
          <w:p>
            <w:pPr>
              <w:pStyle w:val="11"/>
              <w:widowControl w:val="0"/>
              <w:overflowPunct w:val="0"/>
              <w:spacing w:line="240" w:lineRule="exact"/>
              <w:jc w:val="center"/>
              <w:rPr>
                <w:rFonts w:hint="default"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第四村民小组</w:t>
            </w:r>
          </w:p>
        </w:tc>
        <w:tc>
          <w:tcPr>
            <w:tcW w:w="1200" w:type="dxa"/>
            <w:vAlign w:val="center"/>
          </w:tcPr>
          <w:p>
            <w:pPr>
              <w:pStyle w:val="2"/>
              <w:ind w:left="0" w:leftChars="0" w:firstLine="0" w:firstLineChars="0"/>
              <w:jc w:val="center"/>
              <w:rPr>
                <w:rFonts w:hint="default" w:eastAsia="方正仿宋_GBK" w:cs="Times New Roman"/>
                <w:color w:val="auto"/>
                <w:kern w:val="0"/>
                <w:sz w:val="24"/>
                <w:szCs w:val="24"/>
                <w:highlight w:val="none"/>
                <w:lang w:val="en-US" w:eastAsia="zh-CN" w:bidi="ar-SA"/>
              </w:rPr>
            </w:pPr>
            <w:r>
              <w:rPr>
                <w:rFonts w:hint="eastAsia" w:eastAsia="方正仿宋_GBK" w:cs="Times New Roman"/>
                <w:color w:val="auto"/>
                <w:kern w:val="0"/>
                <w:sz w:val="24"/>
                <w:szCs w:val="24"/>
                <w:highlight w:val="none"/>
                <w:lang w:val="en-US" w:eastAsia="zh-CN" w:bidi="ar-SA"/>
              </w:rPr>
              <w:t>1.3401</w:t>
            </w:r>
          </w:p>
        </w:tc>
        <w:tc>
          <w:tcPr>
            <w:tcW w:w="1220" w:type="dxa"/>
            <w:vMerge w:val="restart"/>
            <w:vAlign w:val="center"/>
          </w:tcPr>
          <w:p>
            <w:pPr>
              <w:pStyle w:val="2"/>
              <w:keepNext w:val="0"/>
              <w:keepLines w:val="0"/>
              <w:pageBreakBefore w:val="0"/>
              <w:kinsoku/>
              <w:wordWrap/>
              <w:topLinePunct w:val="0"/>
              <w:bidi w:val="0"/>
              <w:snapToGrid/>
              <w:spacing w:line="400" w:lineRule="exact"/>
              <w:ind w:left="0" w:leftChars="0" w:firstLine="0" w:firstLineChars="0"/>
              <w:jc w:val="center"/>
              <w:rPr>
                <w:rFonts w:hint="default" w:eastAsia="方正仿宋_GBK" w:cs="Times New Roman"/>
                <w:color w:val="auto"/>
                <w:sz w:val="24"/>
                <w:highlight w:val="none"/>
                <w:lang w:val="en-US" w:eastAsia="zh-CN"/>
              </w:rPr>
            </w:pPr>
            <w:r>
              <w:rPr>
                <w:rFonts w:hint="eastAsia" w:eastAsia="方正仿宋_GBK" w:cs="Times New Roman"/>
                <w:color w:val="auto"/>
                <w:sz w:val="24"/>
                <w:highlight w:val="none"/>
                <w:lang w:val="en-US" w:eastAsia="zh-CN"/>
              </w:rPr>
              <w:t>5.25</w:t>
            </w:r>
          </w:p>
        </w:tc>
        <w:tc>
          <w:tcPr>
            <w:tcW w:w="1421" w:type="dxa"/>
            <w:vAlign w:val="center"/>
          </w:tcPr>
          <w:p>
            <w:pPr>
              <w:keepNext w:val="0"/>
              <w:keepLines w:val="0"/>
              <w:pageBreakBefore w:val="0"/>
              <w:widowControl/>
              <w:suppressLineNumbers w:val="0"/>
              <w:kinsoku/>
              <w:wordWrap/>
              <w:topLinePunct w:val="0"/>
              <w:bidi w:val="0"/>
              <w:snapToGrid/>
              <w:spacing w:line="400" w:lineRule="exact"/>
              <w:jc w:val="center"/>
              <w:textAlignment w:val="center"/>
              <w:rPr>
                <w:rFonts w:hint="default" w:eastAsia="方正仿宋_GBK" w:cs="Times New Roman"/>
                <w:i w:val="0"/>
                <w:iCs w:val="0"/>
                <w:color w:val="auto"/>
                <w:kern w:val="0"/>
                <w:sz w:val="24"/>
                <w:szCs w:val="24"/>
                <w:highlight w:val="none"/>
                <w:u w:val="none"/>
                <w:lang w:val="en-US" w:eastAsia="zh-CN" w:bidi="ar"/>
              </w:rPr>
            </w:pPr>
            <w:r>
              <w:rPr>
                <w:rFonts w:hint="eastAsia" w:eastAsia="方正仿宋_GBK" w:cs="Times New Roman"/>
                <w:i w:val="0"/>
                <w:iCs w:val="0"/>
                <w:color w:val="auto"/>
                <w:kern w:val="0"/>
                <w:sz w:val="24"/>
                <w:szCs w:val="24"/>
                <w:highlight w:val="none"/>
                <w:u w:val="none"/>
                <w:lang w:val="en-US" w:eastAsia="zh-CN" w:bidi="ar"/>
              </w:rPr>
              <w:t>31.6598</w:t>
            </w:r>
          </w:p>
        </w:tc>
        <w:tc>
          <w:tcPr>
            <w:tcW w:w="1486" w:type="dxa"/>
            <w:vAlign w:val="center"/>
          </w:tcPr>
          <w:p>
            <w:pPr>
              <w:keepNext w:val="0"/>
              <w:keepLines w:val="0"/>
              <w:pageBreakBefore w:val="0"/>
              <w:widowControl/>
              <w:suppressLineNumbers w:val="0"/>
              <w:kinsoku/>
              <w:wordWrap/>
              <w:topLinePunct w:val="0"/>
              <w:bidi w:val="0"/>
              <w:snapToGrid/>
              <w:spacing w:line="400" w:lineRule="exact"/>
              <w:jc w:val="center"/>
              <w:textAlignment w:val="center"/>
              <w:rPr>
                <w:rFonts w:hint="default" w:eastAsia="方正仿宋_GBK" w:cs="Times New Roman"/>
                <w:i w:val="0"/>
                <w:iCs w:val="0"/>
                <w:color w:val="auto"/>
                <w:kern w:val="0"/>
                <w:sz w:val="24"/>
                <w:szCs w:val="24"/>
                <w:highlight w:val="none"/>
                <w:u w:val="none"/>
                <w:lang w:val="en-US" w:eastAsia="zh-CN" w:bidi="ar"/>
              </w:rPr>
            </w:pPr>
            <w:r>
              <w:rPr>
                <w:rFonts w:hint="eastAsia" w:eastAsia="方正仿宋_GBK" w:cs="Times New Roman"/>
                <w:i w:val="0"/>
                <w:iCs w:val="0"/>
                <w:color w:val="auto"/>
                <w:kern w:val="0"/>
                <w:sz w:val="24"/>
                <w:szCs w:val="24"/>
                <w:highlight w:val="none"/>
                <w:u w:val="none"/>
                <w:lang w:val="en-US" w:eastAsia="zh-CN" w:bidi="ar"/>
              </w:rPr>
              <w:t>73.873</w:t>
            </w:r>
          </w:p>
        </w:tc>
        <w:tc>
          <w:tcPr>
            <w:tcW w:w="1241" w:type="dxa"/>
            <w:vAlign w:val="center"/>
          </w:tcPr>
          <w:p>
            <w:pPr>
              <w:keepNext w:val="0"/>
              <w:keepLines w:val="0"/>
              <w:pageBreakBefore w:val="0"/>
              <w:widowControl/>
              <w:suppressLineNumbers w:val="0"/>
              <w:kinsoku/>
              <w:wordWrap/>
              <w:topLinePunct w:val="0"/>
              <w:bidi w:val="0"/>
              <w:snapToGrid/>
              <w:spacing w:line="400" w:lineRule="exact"/>
              <w:jc w:val="center"/>
              <w:textAlignment w:val="center"/>
              <w:rPr>
                <w:rFonts w:hint="default" w:eastAsia="方正仿宋_GBK" w:cs="Times New Roman"/>
                <w:i w:val="0"/>
                <w:iCs w:val="0"/>
                <w:color w:val="auto"/>
                <w:kern w:val="0"/>
                <w:sz w:val="24"/>
                <w:szCs w:val="24"/>
                <w:highlight w:val="none"/>
                <w:u w:val="none"/>
                <w:lang w:val="en-US" w:eastAsia="zh-CN" w:bidi="ar"/>
              </w:rPr>
            </w:pPr>
            <w:r>
              <w:rPr>
                <w:rFonts w:hint="eastAsia" w:eastAsia="方正仿宋_GBK" w:cs="Times New Roman"/>
                <w:i w:val="0"/>
                <w:iCs w:val="0"/>
                <w:color w:val="auto"/>
                <w:kern w:val="0"/>
                <w:sz w:val="24"/>
                <w:szCs w:val="24"/>
                <w:highlight w:val="none"/>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81" w:type="dxa"/>
            <w:vMerge w:val="continue"/>
            <w:vAlign w:val="center"/>
          </w:tcPr>
          <w:p>
            <w:pPr>
              <w:pStyle w:val="11"/>
              <w:keepNext w:val="0"/>
              <w:keepLines w:val="0"/>
              <w:pageBreakBefore w:val="0"/>
              <w:widowControl w:val="0"/>
              <w:kinsoku/>
              <w:wordWrap/>
              <w:overflowPunct w:val="0"/>
              <w:topLinePunct w:val="0"/>
              <w:bidi w:val="0"/>
              <w:adjustRightInd w:val="0"/>
              <w:snapToGrid/>
              <w:spacing w:line="320" w:lineRule="exact"/>
              <w:jc w:val="center"/>
              <w:textAlignment w:val="auto"/>
              <w:rPr>
                <w:rFonts w:hint="eastAsia" w:ascii="Times New Roman" w:hAnsi="Times New Roman" w:eastAsia="方正仿宋_GBK" w:cs="Times New Roman"/>
                <w:color w:val="auto"/>
                <w:highlight w:val="none"/>
                <w:lang w:val="en-US" w:eastAsia="zh-CN"/>
              </w:rPr>
            </w:pPr>
          </w:p>
        </w:tc>
        <w:tc>
          <w:tcPr>
            <w:tcW w:w="996" w:type="dxa"/>
            <w:vMerge w:val="continue"/>
            <w:vAlign w:val="center"/>
          </w:tcPr>
          <w:p>
            <w:pPr>
              <w:pStyle w:val="11"/>
              <w:keepNext w:val="0"/>
              <w:keepLines w:val="0"/>
              <w:pageBreakBefore w:val="0"/>
              <w:widowControl w:val="0"/>
              <w:kinsoku/>
              <w:wordWrap/>
              <w:overflowPunct w:val="0"/>
              <w:topLinePunct w:val="0"/>
              <w:bidi w:val="0"/>
              <w:adjustRightInd w:val="0"/>
              <w:snapToGrid/>
              <w:spacing w:line="320" w:lineRule="exact"/>
              <w:jc w:val="center"/>
              <w:textAlignment w:val="auto"/>
              <w:rPr>
                <w:rFonts w:hint="eastAsia" w:ascii="Times New Roman" w:hAnsi="Times New Roman" w:eastAsia="方正仿宋_GBK" w:cs="Times New Roman"/>
                <w:color w:val="auto"/>
                <w:highlight w:val="none"/>
                <w:lang w:val="en-US" w:eastAsia="zh-CN"/>
              </w:rPr>
            </w:pPr>
          </w:p>
        </w:tc>
        <w:tc>
          <w:tcPr>
            <w:tcW w:w="1936" w:type="dxa"/>
            <w:vAlign w:val="center"/>
          </w:tcPr>
          <w:p>
            <w:pPr>
              <w:pStyle w:val="11"/>
              <w:widowControl w:val="0"/>
              <w:overflowPunct w:val="0"/>
              <w:spacing w:line="240" w:lineRule="exact"/>
              <w:jc w:val="center"/>
              <w:rPr>
                <w:rFonts w:hint="default"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第六村民小组</w:t>
            </w:r>
          </w:p>
        </w:tc>
        <w:tc>
          <w:tcPr>
            <w:tcW w:w="1200" w:type="dxa"/>
            <w:vAlign w:val="center"/>
          </w:tcPr>
          <w:p>
            <w:pPr>
              <w:pStyle w:val="2"/>
              <w:ind w:left="0" w:leftChars="0" w:firstLine="0" w:firstLineChars="0"/>
              <w:jc w:val="center"/>
              <w:rPr>
                <w:rFonts w:hint="default" w:eastAsia="方正仿宋_GBK" w:cs="Times New Roman"/>
                <w:color w:val="auto"/>
                <w:kern w:val="0"/>
                <w:sz w:val="24"/>
                <w:szCs w:val="24"/>
                <w:highlight w:val="none"/>
                <w:lang w:val="en-US" w:eastAsia="zh-CN" w:bidi="ar-SA"/>
              </w:rPr>
            </w:pPr>
            <w:r>
              <w:rPr>
                <w:rFonts w:hint="eastAsia" w:eastAsia="方正仿宋_GBK" w:cs="Times New Roman"/>
                <w:color w:val="auto"/>
                <w:kern w:val="0"/>
                <w:sz w:val="24"/>
                <w:szCs w:val="24"/>
                <w:highlight w:val="none"/>
                <w:lang w:val="en-US" w:eastAsia="zh-CN" w:bidi="ar-SA"/>
              </w:rPr>
              <w:t>7.6529</w:t>
            </w:r>
          </w:p>
        </w:tc>
        <w:tc>
          <w:tcPr>
            <w:tcW w:w="1220" w:type="dxa"/>
            <w:vMerge w:val="continue"/>
            <w:vAlign w:val="center"/>
          </w:tcPr>
          <w:p>
            <w:pPr>
              <w:pStyle w:val="2"/>
              <w:keepNext w:val="0"/>
              <w:keepLines w:val="0"/>
              <w:pageBreakBefore w:val="0"/>
              <w:kinsoku/>
              <w:wordWrap/>
              <w:topLinePunct w:val="0"/>
              <w:bidi w:val="0"/>
              <w:snapToGrid/>
              <w:spacing w:line="400" w:lineRule="exact"/>
              <w:ind w:left="0" w:leftChars="0" w:firstLine="0" w:firstLineChars="0"/>
              <w:jc w:val="center"/>
              <w:rPr>
                <w:rFonts w:hint="eastAsia" w:eastAsia="方正仿宋_GBK" w:cs="Times New Roman"/>
                <w:color w:val="auto"/>
                <w:sz w:val="24"/>
                <w:highlight w:val="none"/>
                <w:lang w:val="en-US" w:eastAsia="zh-CN"/>
              </w:rPr>
            </w:pPr>
          </w:p>
        </w:tc>
        <w:tc>
          <w:tcPr>
            <w:tcW w:w="1421" w:type="dxa"/>
            <w:vAlign w:val="center"/>
          </w:tcPr>
          <w:p>
            <w:pPr>
              <w:keepNext w:val="0"/>
              <w:keepLines w:val="0"/>
              <w:pageBreakBefore w:val="0"/>
              <w:widowControl/>
              <w:suppressLineNumbers w:val="0"/>
              <w:kinsoku/>
              <w:wordWrap/>
              <w:topLinePunct w:val="0"/>
              <w:bidi w:val="0"/>
              <w:snapToGrid/>
              <w:spacing w:line="400" w:lineRule="exact"/>
              <w:jc w:val="center"/>
              <w:textAlignment w:val="center"/>
              <w:rPr>
                <w:rFonts w:hint="default" w:eastAsia="方正仿宋_GBK" w:cs="Times New Roman"/>
                <w:i w:val="0"/>
                <w:iCs w:val="0"/>
                <w:color w:val="auto"/>
                <w:kern w:val="0"/>
                <w:sz w:val="24"/>
                <w:szCs w:val="24"/>
                <w:highlight w:val="none"/>
                <w:u w:val="none"/>
                <w:lang w:val="en-US" w:eastAsia="zh-CN" w:bidi="ar"/>
              </w:rPr>
            </w:pPr>
            <w:r>
              <w:rPr>
                <w:rFonts w:hint="eastAsia" w:eastAsia="方正仿宋_GBK" w:cs="Times New Roman"/>
                <w:i w:val="0"/>
                <w:iCs w:val="0"/>
                <w:color w:val="auto"/>
                <w:kern w:val="0"/>
                <w:sz w:val="24"/>
                <w:szCs w:val="24"/>
                <w:highlight w:val="none"/>
                <w:u w:val="none"/>
                <w:lang w:val="en-US" w:eastAsia="zh-CN" w:bidi="ar"/>
              </w:rPr>
              <w:t>180.799</w:t>
            </w:r>
          </w:p>
        </w:tc>
        <w:tc>
          <w:tcPr>
            <w:tcW w:w="1486" w:type="dxa"/>
            <w:vAlign w:val="center"/>
          </w:tcPr>
          <w:p>
            <w:pPr>
              <w:keepNext w:val="0"/>
              <w:keepLines w:val="0"/>
              <w:pageBreakBefore w:val="0"/>
              <w:widowControl/>
              <w:suppressLineNumbers w:val="0"/>
              <w:kinsoku/>
              <w:wordWrap/>
              <w:topLinePunct w:val="0"/>
              <w:bidi w:val="0"/>
              <w:snapToGrid/>
              <w:spacing w:line="400" w:lineRule="exact"/>
              <w:jc w:val="center"/>
              <w:textAlignment w:val="center"/>
              <w:rPr>
                <w:rFonts w:hint="default" w:eastAsia="方正仿宋_GBK" w:cs="Times New Roman"/>
                <w:i w:val="0"/>
                <w:iCs w:val="0"/>
                <w:color w:val="auto"/>
                <w:kern w:val="0"/>
                <w:sz w:val="24"/>
                <w:szCs w:val="24"/>
                <w:highlight w:val="none"/>
                <w:u w:val="none"/>
                <w:lang w:val="en-US" w:eastAsia="zh-CN" w:bidi="ar"/>
              </w:rPr>
            </w:pPr>
            <w:r>
              <w:rPr>
                <w:rFonts w:hint="eastAsia" w:eastAsia="方正仿宋_GBK" w:cs="Times New Roman"/>
                <w:i w:val="0"/>
                <w:iCs w:val="0"/>
                <w:color w:val="auto"/>
                <w:kern w:val="0"/>
                <w:sz w:val="24"/>
                <w:szCs w:val="24"/>
                <w:highlight w:val="none"/>
                <w:u w:val="none"/>
                <w:lang w:val="en-US" w:eastAsia="zh-CN" w:bidi="ar"/>
              </w:rPr>
              <w:t>421.886</w:t>
            </w:r>
          </w:p>
        </w:tc>
        <w:tc>
          <w:tcPr>
            <w:tcW w:w="1241" w:type="dxa"/>
            <w:vAlign w:val="center"/>
          </w:tcPr>
          <w:p>
            <w:pPr>
              <w:keepNext w:val="0"/>
              <w:keepLines w:val="0"/>
              <w:pageBreakBefore w:val="0"/>
              <w:widowControl/>
              <w:suppressLineNumbers w:val="0"/>
              <w:kinsoku/>
              <w:wordWrap/>
              <w:topLinePunct w:val="0"/>
              <w:bidi w:val="0"/>
              <w:snapToGrid/>
              <w:spacing w:line="400" w:lineRule="exact"/>
              <w:jc w:val="center"/>
              <w:textAlignment w:val="center"/>
              <w:rPr>
                <w:rFonts w:hint="default" w:eastAsia="方正仿宋_GBK" w:cs="Times New Roman"/>
                <w:i w:val="0"/>
                <w:iCs w:val="0"/>
                <w:color w:val="auto"/>
                <w:kern w:val="0"/>
                <w:sz w:val="24"/>
                <w:szCs w:val="24"/>
                <w:highlight w:val="none"/>
                <w:u w:val="none"/>
                <w:lang w:val="en-US" w:eastAsia="zh-CN" w:bidi="ar"/>
              </w:rPr>
            </w:pPr>
            <w:r>
              <w:rPr>
                <w:rFonts w:hint="eastAsia" w:eastAsia="方正仿宋_GBK" w:cs="Times New Roman"/>
                <w:i w:val="0"/>
                <w:iCs w:val="0"/>
                <w:color w:val="auto"/>
                <w:kern w:val="0"/>
                <w:sz w:val="24"/>
                <w:szCs w:val="24"/>
                <w:highlight w:val="none"/>
                <w:u w:val="none"/>
                <w:lang w:val="en-US" w:eastAsia="zh-CN" w:bidi="ar"/>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3713" w:type="dxa"/>
            <w:gridSpan w:val="3"/>
            <w:vAlign w:val="center"/>
          </w:tcPr>
          <w:p>
            <w:pPr>
              <w:pStyle w:val="11"/>
              <w:keepNext w:val="0"/>
              <w:keepLines w:val="0"/>
              <w:pageBreakBefore w:val="0"/>
              <w:widowControl w:val="0"/>
              <w:kinsoku/>
              <w:wordWrap/>
              <w:overflowPunct w:val="0"/>
              <w:topLinePunct w:val="0"/>
              <w:bidi w:val="0"/>
              <w:adjustRightInd w:val="0"/>
              <w:snapToGrid/>
              <w:spacing w:line="340" w:lineRule="exact"/>
              <w:jc w:val="center"/>
              <w:textAlignment w:val="auto"/>
              <w:rPr>
                <w:rFonts w:hint="default"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highlight w:val="none"/>
                <w:lang w:val="en-US" w:eastAsia="zh-CN"/>
              </w:rPr>
              <w:t>合计</w:t>
            </w:r>
          </w:p>
        </w:tc>
        <w:tc>
          <w:tcPr>
            <w:tcW w:w="1200" w:type="dxa"/>
            <w:vAlign w:val="center"/>
          </w:tcPr>
          <w:p>
            <w:pPr>
              <w:pStyle w:val="2"/>
              <w:ind w:left="0" w:leftChars="0" w:firstLine="0" w:firstLineChars="0"/>
              <w:jc w:val="center"/>
              <w:rPr>
                <w:rFonts w:hint="default" w:eastAsia="方正仿宋_GBK" w:cs="Times New Roman"/>
                <w:color w:val="auto"/>
                <w:kern w:val="0"/>
                <w:sz w:val="24"/>
                <w:szCs w:val="24"/>
                <w:highlight w:val="none"/>
                <w:lang w:val="en-US" w:eastAsia="zh-CN" w:bidi="ar-SA"/>
              </w:rPr>
            </w:pPr>
          </w:p>
        </w:tc>
        <w:tc>
          <w:tcPr>
            <w:tcW w:w="1220" w:type="dxa"/>
            <w:vAlign w:val="center"/>
          </w:tcPr>
          <w:p>
            <w:pPr>
              <w:pStyle w:val="2"/>
              <w:keepNext w:val="0"/>
              <w:keepLines w:val="0"/>
              <w:pageBreakBefore w:val="0"/>
              <w:kinsoku/>
              <w:wordWrap/>
              <w:topLinePunct w:val="0"/>
              <w:bidi w:val="0"/>
              <w:snapToGrid/>
              <w:spacing w:line="380" w:lineRule="exact"/>
              <w:ind w:left="0" w:leftChars="0" w:firstLine="0" w:firstLineChars="0"/>
              <w:jc w:val="center"/>
              <w:rPr>
                <w:rFonts w:hint="default" w:ascii="Times New Roman" w:hAnsi="Times New Roman" w:eastAsia="方正仿宋_GBK" w:cs="Times New Roman"/>
                <w:color w:val="auto"/>
                <w:sz w:val="24"/>
                <w:highlight w:val="none"/>
                <w:lang w:val="en-US" w:eastAsia="zh-CN"/>
              </w:rPr>
            </w:pPr>
          </w:p>
        </w:tc>
        <w:tc>
          <w:tcPr>
            <w:tcW w:w="1421" w:type="dxa"/>
            <w:vAlign w:val="center"/>
          </w:tcPr>
          <w:p>
            <w:pPr>
              <w:keepNext w:val="0"/>
              <w:keepLines w:val="0"/>
              <w:pageBreakBefore w:val="0"/>
              <w:widowControl/>
              <w:suppressLineNumbers w:val="0"/>
              <w:kinsoku/>
              <w:wordWrap/>
              <w:topLinePunct w:val="0"/>
              <w:bidi w:val="0"/>
              <w:snapToGrid/>
              <w:spacing w:line="380" w:lineRule="exact"/>
              <w:jc w:val="center"/>
              <w:textAlignment w:val="center"/>
              <w:rPr>
                <w:rFonts w:hint="default" w:eastAsia="方正仿宋_GBK" w:cs="Times New Roman"/>
                <w:color w:val="auto"/>
                <w:kern w:val="0"/>
                <w:sz w:val="24"/>
                <w:highlight w:val="none"/>
                <w:lang w:val="en-US" w:eastAsia="zh-CN"/>
              </w:rPr>
            </w:pPr>
          </w:p>
        </w:tc>
        <w:tc>
          <w:tcPr>
            <w:tcW w:w="1486" w:type="dxa"/>
            <w:vAlign w:val="center"/>
          </w:tcPr>
          <w:p>
            <w:pPr>
              <w:keepNext w:val="0"/>
              <w:keepLines w:val="0"/>
              <w:pageBreakBefore w:val="0"/>
              <w:widowControl/>
              <w:suppressLineNumbers w:val="0"/>
              <w:kinsoku/>
              <w:wordWrap/>
              <w:topLinePunct w:val="0"/>
              <w:bidi w:val="0"/>
              <w:snapToGrid/>
              <w:spacing w:line="380" w:lineRule="exact"/>
              <w:jc w:val="center"/>
              <w:textAlignment w:val="center"/>
              <w:rPr>
                <w:rFonts w:hint="default" w:eastAsia="方正仿宋_GBK" w:cs="Times New Roman"/>
                <w:color w:val="auto"/>
                <w:kern w:val="0"/>
                <w:sz w:val="24"/>
                <w:highlight w:val="none"/>
                <w:lang w:val="en-US" w:eastAsia="zh-CN"/>
              </w:rPr>
            </w:pPr>
          </w:p>
        </w:tc>
        <w:tc>
          <w:tcPr>
            <w:tcW w:w="1241" w:type="dxa"/>
            <w:vAlign w:val="center"/>
          </w:tcPr>
          <w:p>
            <w:pPr>
              <w:keepNext w:val="0"/>
              <w:keepLines w:val="0"/>
              <w:pageBreakBefore w:val="0"/>
              <w:widowControl/>
              <w:suppressLineNumbers w:val="0"/>
              <w:kinsoku/>
              <w:wordWrap/>
              <w:topLinePunct w:val="0"/>
              <w:bidi w:val="0"/>
              <w:snapToGrid/>
              <w:spacing w:line="380" w:lineRule="exact"/>
              <w:jc w:val="center"/>
              <w:textAlignment w:val="center"/>
              <w:rPr>
                <w:rFonts w:hint="default" w:ascii="Times New Roman" w:hAnsi="Times New Roman" w:eastAsia="方正仿宋_GBK" w:cs="Times New Roman"/>
                <w:color w:val="auto"/>
                <w:kern w:val="0"/>
                <w:sz w:val="24"/>
                <w:highlight w:val="none"/>
                <w:lang w:val="en-US" w:eastAsia="zh-CN"/>
              </w:rPr>
            </w:pPr>
          </w:p>
        </w:tc>
      </w:tr>
    </w:tbl>
    <w:p>
      <w:pPr>
        <w:spacing w:line="576" w:lineRule="exact"/>
        <w:jc w:val="left"/>
        <w:rPr>
          <w:rFonts w:hint="eastAsia" w:ascii="方正黑体_GBK" w:hAnsi="方正黑体_GBK" w:eastAsia="方正黑体_GBK" w:cs="方正黑体_GBK"/>
          <w:color w:val="auto"/>
          <w:sz w:val="32"/>
          <w:szCs w:val="32"/>
          <w:lang w:eastAsia="zh-CN"/>
        </w:rPr>
      </w:pPr>
    </w:p>
    <w:p>
      <w:pPr>
        <w:spacing w:line="576" w:lineRule="exact"/>
        <w:jc w:val="left"/>
        <w:rPr>
          <w:rFonts w:hint="eastAsia" w:ascii="方正黑体_GBK" w:hAnsi="方正黑体_GBK" w:eastAsia="方正黑体_GBK" w:cs="方正黑体_GBK"/>
          <w:color w:val="auto"/>
          <w:sz w:val="32"/>
          <w:szCs w:val="32"/>
          <w:lang w:eastAsia="zh-CN"/>
        </w:rPr>
      </w:pPr>
    </w:p>
    <w:p>
      <w:pPr>
        <w:spacing w:line="576" w:lineRule="exact"/>
        <w:jc w:val="left"/>
        <w:rPr>
          <w:rFonts w:hint="eastAsia" w:ascii="方正黑体_GBK" w:hAnsi="方正黑体_GBK" w:eastAsia="方正黑体_GBK" w:cs="方正黑体_GBK"/>
          <w:color w:val="auto"/>
          <w:sz w:val="32"/>
          <w:szCs w:val="32"/>
          <w:lang w:eastAsia="zh-CN"/>
        </w:rPr>
      </w:pPr>
    </w:p>
    <w:p>
      <w:pPr>
        <w:pStyle w:val="2"/>
        <w:rPr>
          <w:rFonts w:hint="eastAsia" w:ascii="方正黑体_GBK" w:hAnsi="方正黑体_GBK" w:eastAsia="方正黑体_GBK" w:cs="方正黑体_GBK"/>
          <w:color w:val="auto"/>
          <w:sz w:val="32"/>
          <w:szCs w:val="32"/>
          <w:lang w:eastAsia="zh-CN"/>
        </w:rPr>
      </w:pPr>
    </w:p>
    <w:p>
      <w:pPr>
        <w:pStyle w:val="2"/>
        <w:rPr>
          <w:rFonts w:hint="eastAsia" w:ascii="方正黑体_GBK" w:hAnsi="方正黑体_GBK" w:eastAsia="方正黑体_GBK" w:cs="方正黑体_GBK"/>
          <w:color w:val="auto"/>
          <w:sz w:val="32"/>
          <w:szCs w:val="32"/>
          <w:lang w:eastAsia="zh-CN"/>
        </w:rPr>
      </w:pPr>
    </w:p>
    <w:p>
      <w:pPr>
        <w:pStyle w:val="2"/>
        <w:rPr>
          <w:rFonts w:hint="eastAsia" w:ascii="方正黑体_GBK" w:hAnsi="方正黑体_GBK" w:eastAsia="方正黑体_GBK" w:cs="方正黑体_GBK"/>
          <w:color w:val="auto"/>
          <w:sz w:val="32"/>
          <w:szCs w:val="32"/>
          <w:lang w:eastAsia="zh-CN"/>
        </w:rPr>
      </w:pPr>
    </w:p>
    <w:p>
      <w:pPr>
        <w:pStyle w:val="2"/>
        <w:rPr>
          <w:rFonts w:hint="eastAsia" w:ascii="方正黑体_GBK" w:hAnsi="方正黑体_GBK" w:eastAsia="方正黑体_GBK" w:cs="方正黑体_GBK"/>
          <w:color w:val="auto"/>
          <w:sz w:val="32"/>
          <w:szCs w:val="32"/>
          <w:lang w:eastAsia="zh-CN"/>
        </w:rPr>
      </w:pPr>
    </w:p>
    <w:p>
      <w:pPr>
        <w:pStyle w:val="2"/>
        <w:rPr>
          <w:rFonts w:hint="eastAsia" w:ascii="方正黑体_GBK" w:hAnsi="方正黑体_GBK" w:eastAsia="方正黑体_GBK" w:cs="方正黑体_GBK"/>
          <w:color w:val="auto"/>
          <w:sz w:val="32"/>
          <w:szCs w:val="32"/>
          <w:lang w:eastAsia="zh-CN"/>
        </w:rPr>
      </w:pPr>
    </w:p>
    <w:p>
      <w:pPr>
        <w:pStyle w:val="2"/>
        <w:rPr>
          <w:rFonts w:hint="eastAsia" w:ascii="方正黑体_GBK" w:hAnsi="方正黑体_GBK" w:eastAsia="方正黑体_GBK" w:cs="方正黑体_GBK"/>
          <w:color w:val="auto"/>
          <w:sz w:val="32"/>
          <w:szCs w:val="32"/>
          <w:lang w:eastAsia="zh-CN"/>
        </w:rPr>
      </w:pPr>
    </w:p>
    <w:p>
      <w:pPr>
        <w:spacing w:line="576" w:lineRule="exact"/>
        <w:jc w:val="left"/>
        <w:rPr>
          <w:rFonts w:hint="eastAsia" w:ascii="方正黑体_GBK" w:hAnsi="方正黑体_GBK" w:eastAsia="方正黑体_GBK" w:cs="方正黑体_GBK"/>
          <w:color w:val="auto"/>
          <w:sz w:val="32"/>
          <w:szCs w:val="32"/>
          <w:lang w:eastAsia="zh-CN"/>
        </w:rPr>
      </w:pPr>
    </w:p>
    <w:p>
      <w:pPr>
        <w:spacing w:line="576" w:lineRule="exact"/>
        <w:jc w:val="left"/>
        <w:rPr>
          <w:rFonts w:hint="eastAsia" w:ascii="方正黑体_GBK" w:hAnsi="方正黑体_GBK" w:eastAsia="方正黑体_GBK" w:cs="方正黑体_GBK"/>
          <w:color w:val="auto"/>
          <w:sz w:val="32"/>
          <w:szCs w:val="32"/>
          <w:lang w:eastAsia="zh-CN"/>
        </w:rPr>
      </w:pPr>
    </w:p>
    <w:p>
      <w:pPr>
        <w:spacing w:line="576" w:lineRule="exact"/>
        <w:jc w:val="left"/>
        <w:rPr>
          <w:rFonts w:hint="eastAsia" w:ascii="方正黑体_GBK" w:hAnsi="方正黑体_GBK" w:eastAsia="方正黑体_GBK" w:cs="方正黑体_GBK"/>
          <w:color w:val="auto"/>
          <w:sz w:val="32"/>
          <w:szCs w:val="32"/>
          <w:lang w:eastAsia="zh-CN"/>
        </w:rPr>
      </w:pPr>
    </w:p>
    <w:p>
      <w:pPr>
        <w:spacing w:line="576" w:lineRule="exact"/>
        <w:jc w:val="left"/>
        <w:rPr>
          <w:rFonts w:hint="default" w:ascii="方正黑体_GBK" w:hAnsi="方正黑体_GBK" w:eastAsia="方正黑体_GBK" w:cs="方正黑体_GBK"/>
          <w:color w:val="auto"/>
          <w:sz w:val="32"/>
          <w:szCs w:val="32"/>
          <w:lang w:val="en-US" w:eastAsia="zh-CN"/>
        </w:rPr>
      </w:pPr>
    </w:p>
    <w:p>
      <w:pPr>
        <w:pStyle w:val="2"/>
        <w:rPr>
          <w:rFonts w:hint="eastAsia"/>
          <w:color w:val="auto"/>
          <w:lang w:val="en-US" w:eastAsia="zh-CN"/>
        </w:rPr>
      </w:pPr>
    </w:p>
    <w:p>
      <w:pPr>
        <w:spacing w:line="576" w:lineRule="exact"/>
        <w:jc w:val="center"/>
        <w:rPr>
          <w:rFonts w:hint="eastAsia" w:ascii="方正小标宋_GBK" w:eastAsia="方正小标宋_GBK"/>
          <w:color w:val="auto"/>
          <w:sz w:val="44"/>
          <w:szCs w:val="44"/>
        </w:rPr>
      </w:pPr>
    </w:p>
    <w:p>
      <w:pPr>
        <w:spacing w:line="576" w:lineRule="exact"/>
        <w:jc w:val="center"/>
        <w:rPr>
          <w:rFonts w:hint="eastAsia" w:ascii="方正小标宋_GBK" w:eastAsia="方正小标宋_GBK"/>
          <w:color w:val="auto"/>
          <w:sz w:val="36"/>
          <w:szCs w:val="36"/>
        </w:rPr>
      </w:pPr>
      <w:r>
        <w:rPr>
          <w:rFonts w:hint="eastAsia" w:ascii="方正小标宋_GBK" w:eastAsia="方正小标宋_GBK"/>
          <w:color w:val="auto"/>
          <w:sz w:val="36"/>
          <w:szCs w:val="36"/>
        </w:rPr>
        <w:t>房屋附属物</w:t>
      </w:r>
      <w:r>
        <w:rPr>
          <w:rFonts w:hint="eastAsia" w:ascii="方正小标宋_GBK" w:eastAsia="方正小标宋_GBK"/>
          <w:color w:val="auto"/>
          <w:sz w:val="36"/>
          <w:szCs w:val="36"/>
          <w:lang w:eastAsia="zh-CN"/>
        </w:rPr>
        <w:t>及</w:t>
      </w:r>
      <w:r>
        <w:rPr>
          <w:rFonts w:hint="eastAsia" w:ascii="方正小标宋_GBK" w:eastAsia="方正小标宋_GBK"/>
          <w:color w:val="auto"/>
          <w:sz w:val="36"/>
          <w:szCs w:val="36"/>
        </w:rPr>
        <w:t>附属设施补偿标准</w:t>
      </w:r>
    </w:p>
    <w:p>
      <w:pPr>
        <w:pStyle w:val="2"/>
        <w:rPr>
          <w:rFonts w:hint="eastAsia"/>
          <w:color w:val="auto"/>
        </w:rPr>
      </w:pPr>
    </w:p>
    <w:p>
      <w:pPr>
        <w:spacing w:line="44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Cs w:val="32"/>
          <w:lang w:val="en-US" w:eastAsia="zh-CN"/>
        </w:rPr>
        <w:t xml:space="preserve">                                                                   </w:t>
      </w:r>
      <w:r>
        <w:rPr>
          <w:rFonts w:hint="eastAsia" w:ascii="方正仿宋_GBK" w:hAnsi="方正仿宋_GBK" w:eastAsia="方正仿宋_GBK" w:cs="方正仿宋_GBK"/>
          <w:color w:val="auto"/>
          <w:sz w:val="24"/>
          <w:szCs w:val="24"/>
          <w:lang w:val="en-US" w:eastAsia="zh-CN"/>
        </w:rPr>
        <w:t>单位：元</w:t>
      </w:r>
    </w:p>
    <w:tbl>
      <w:tblPr>
        <w:tblStyle w:val="7"/>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323"/>
        <w:gridCol w:w="1042"/>
        <w:gridCol w:w="1206"/>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 w:hRule="atLeast"/>
          <w:tblHeader/>
        </w:trPr>
        <w:tc>
          <w:tcPr>
            <w:tcW w:w="831" w:type="dxa"/>
            <w:noWrap w:val="0"/>
            <w:vAlign w:val="center"/>
          </w:tcPr>
          <w:p>
            <w:pPr>
              <w:spacing w:line="440" w:lineRule="exact"/>
              <w:jc w:val="center"/>
              <w:rPr>
                <w:rFonts w:hint="eastAsia" w:ascii="方正黑体_GBK" w:eastAsia="方正黑体_GBK"/>
                <w:color w:val="auto"/>
                <w:sz w:val="24"/>
              </w:rPr>
            </w:pPr>
            <w:r>
              <w:rPr>
                <w:rFonts w:hint="eastAsia" w:ascii="方正黑体_GBK" w:eastAsia="方正黑体_GBK"/>
                <w:color w:val="auto"/>
                <w:sz w:val="24"/>
              </w:rPr>
              <w:t>序号</w:t>
            </w:r>
          </w:p>
        </w:tc>
        <w:tc>
          <w:tcPr>
            <w:tcW w:w="2323" w:type="dxa"/>
            <w:noWrap w:val="0"/>
            <w:vAlign w:val="center"/>
          </w:tcPr>
          <w:p>
            <w:pPr>
              <w:spacing w:line="440" w:lineRule="exact"/>
              <w:jc w:val="center"/>
              <w:rPr>
                <w:rFonts w:hint="eastAsia" w:ascii="方正黑体_GBK" w:eastAsia="方正黑体_GBK"/>
                <w:color w:val="auto"/>
                <w:sz w:val="24"/>
              </w:rPr>
            </w:pPr>
            <w:r>
              <w:rPr>
                <w:rFonts w:hint="eastAsia" w:ascii="方正黑体_GBK" w:eastAsia="方正黑体_GBK"/>
                <w:color w:val="auto"/>
                <w:sz w:val="24"/>
              </w:rPr>
              <w:t>项目名称</w:t>
            </w:r>
          </w:p>
        </w:tc>
        <w:tc>
          <w:tcPr>
            <w:tcW w:w="1042" w:type="dxa"/>
            <w:noWrap w:val="0"/>
            <w:vAlign w:val="center"/>
          </w:tcPr>
          <w:p>
            <w:pPr>
              <w:spacing w:line="440" w:lineRule="exact"/>
              <w:jc w:val="center"/>
              <w:rPr>
                <w:rFonts w:hint="eastAsia" w:ascii="方正黑体_GBK" w:eastAsia="方正黑体_GBK"/>
                <w:color w:val="auto"/>
                <w:sz w:val="24"/>
              </w:rPr>
            </w:pPr>
            <w:r>
              <w:rPr>
                <w:rFonts w:hint="eastAsia" w:ascii="方正黑体_GBK" w:eastAsia="方正黑体_GBK"/>
                <w:color w:val="auto"/>
                <w:sz w:val="24"/>
              </w:rPr>
              <w:t>单  位</w:t>
            </w:r>
          </w:p>
        </w:tc>
        <w:tc>
          <w:tcPr>
            <w:tcW w:w="1206" w:type="dxa"/>
            <w:noWrap w:val="0"/>
            <w:vAlign w:val="center"/>
          </w:tcPr>
          <w:p>
            <w:pPr>
              <w:spacing w:line="440" w:lineRule="exact"/>
              <w:jc w:val="center"/>
              <w:rPr>
                <w:rFonts w:hint="eastAsia" w:ascii="方正黑体_GBK" w:eastAsia="方正黑体_GBK"/>
                <w:color w:val="auto"/>
                <w:sz w:val="24"/>
              </w:rPr>
            </w:pPr>
            <w:r>
              <w:rPr>
                <w:rFonts w:hint="eastAsia" w:ascii="方正黑体_GBK" w:eastAsia="方正黑体_GBK"/>
                <w:color w:val="auto"/>
                <w:sz w:val="24"/>
              </w:rPr>
              <w:t>价  格</w:t>
            </w:r>
          </w:p>
        </w:tc>
        <w:tc>
          <w:tcPr>
            <w:tcW w:w="3385" w:type="dxa"/>
            <w:noWrap w:val="0"/>
            <w:vAlign w:val="center"/>
          </w:tcPr>
          <w:p>
            <w:pPr>
              <w:spacing w:line="440" w:lineRule="exact"/>
              <w:jc w:val="center"/>
              <w:rPr>
                <w:rFonts w:hint="eastAsia" w:ascii="方正黑体_GBK" w:eastAsia="方正黑体_GBK"/>
                <w:color w:val="auto"/>
                <w:sz w:val="24"/>
              </w:rPr>
            </w:pPr>
            <w:r>
              <w:rPr>
                <w:rFonts w:hint="eastAsia" w:ascii="方正黑体_GBK" w:eastAsia="方正黑体_GBK"/>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 w:hRule="atLeast"/>
        </w:trPr>
        <w:tc>
          <w:tcPr>
            <w:tcW w:w="831" w:type="dxa"/>
            <w:noWrap w:val="0"/>
            <w:vAlign w:val="center"/>
          </w:tcPr>
          <w:p>
            <w:pPr>
              <w:spacing w:line="440" w:lineRule="exact"/>
              <w:jc w:val="center"/>
              <w:rPr>
                <w:rFonts w:hint="eastAsia" w:eastAsia="方正仿宋_GBK"/>
                <w:color w:val="auto"/>
                <w:sz w:val="24"/>
                <w:lang w:eastAsia="zh-CN"/>
              </w:rPr>
            </w:pPr>
            <w:r>
              <w:rPr>
                <w:rFonts w:hint="eastAsia" w:eastAsia="方正仿宋_GBK"/>
                <w:color w:val="auto"/>
                <w:sz w:val="24"/>
                <w:lang w:val="en-US" w:eastAsia="zh-CN"/>
              </w:rPr>
              <w:t>1</w:t>
            </w:r>
          </w:p>
        </w:tc>
        <w:tc>
          <w:tcPr>
            <w:tcW w:w="2323" w:type="dxa"/>
            <w:noWrap w:val="0"/>
            <w:vAlign w:val="center"/>
          </w:tcPr>
          <w:p>
            <w:pPr>
              <w:spacing w:line="440" w:lineRule="exact"/>
              <w:rPr>
                <w:rFonts w:eastAsia="方正仿宋_GBK"/>
                <w:color w:val="auto"/>
                <w:sz w:val="24"/>
              </w:rPr>
            </w:pPr>
            <w:r>
              <w:rPr>
                <w:rFonts w:eastAsia="方正仿宋_GBK"/>
                <w:color w:val="auto"/>
                <w:sz w:val="24"/>
              </w:rPr>
              <w:t>三相电户头</w:t>
            </w:r>
          </w:p>
        </w:tc>
        <w:tc>
          <w:tcPr>
            <w:tcW w:w="1042" w:type="dxa"/>
            <w:noWrap w:val="0"/>
            <w:vAlign w:val="center"/>
          </w:tcPr>
          <w:p>
            <w:pPr>
              <w:spacing w:line="440" w:lineRule="exact"/>
              <w:jc w:val="center"/>
              <w:rPr>
                <w:rFonts w:eastAsia="方正仿宋_GBK"/>
                <w:color w:val="auto"/>
                <w:sz w:val="24"/>
              </w:rPr>
            </w:pPr>
            <w:r>
              <w:rPr>
                <w:rFonts w:eastAsia="方正仿宋_GBK"/>
                <w:color w:val="auto"/>
                <w:sz w:val="24"/>
              </w:rPr>
              <w:t>户</w:t>
            </w:r>
          </w:p>
        </w:tc>
        <w:tc>
          <w:tcPr>
            <w:tcW w:w="1206" w:type="dxa"/>
            <w:noWrap w:val="0"/>
            <w:vAlign w:val="center"/>
          </w:tcPr>
          <w:p>
            <w:pPr>
              <w:spacing w:line="440" w:lineRule="exact"/>
              <w:jc w:val="center"/>
              <w:rPr>
                <w:rFonts w:eastAsia="方正仿宋_GBK"/>
                <w:color w:val="auto"/>
                <w:spacing w:val="-6"/>
                <w:sz w:val="24"/>
              </w:rPr>
            </w:pPr>
            <w:r>
              <w:rPr>
                <w:rFonts w:eastAsia="方正仿宋_GBK"/>
                <w:color w:val="auto"/>
                <w:spacing w:val="-6"/>
                <w:sz w:val="24"/>
              </w:rPr>
              <w:t>1850</w:t>
            </w:r>
          </w:p>
        </w:tc>
        <w:tc>
          <w:tcPr>
            <w:tcW w:w="3385" w:type="dxa"/>
            <w:noWrap w:val="0"/>
            <w:vAlign w:val="center"/>
          </w:tcPr>
          <w:p>
            <w:pPr>
              <w:spacing w:line="440" w:lineRule="exact"/>
              <w:rPr>
                <w:rFonts w:eastAsia="方正仿宋_GBK"/>
                <w:color w:val="auto"/>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31" w:type="dxa"/>
            <w:noWrap w:val="0"/>
            <w:vAlign w:val="center"/>
          </w:tcPr>
          <w:p>
            <w:pPr>
              <w:spacing w:line="440" w:lineRule="exact"/>
              <w:jc w:val="center"/>
              <w:rPr>
                <w:rFonts w:hint="eastAsia" w:eastAsia="方正仿宋_GBK"/>
                <w:color w:val="auto"/>
                <w:sz w:val="24"/>
                <w:lang w:eastAsia="zh-CN"/>
              </w:rPr>
            </w:pPr>
            <w:r>
              <w:rPr>
                <w:rFonts w:hint="eastAsia" w:eastAsia="方正仿宋_GBK"/>
                <w:color w:val="auto"/>
                <w:sz w:val="24"/>
                <w:lang w:val="en-US" w:eastAsia="zh-CN"/>
              </w:rPr>
              <w:t>2</w:t>
            </w:r>
          </w:p>
        </w:tc>
        <w:tc>
          <w:tcPr>
            <w:tcW w:w="2323" w:type="dxa"/>
            <w:noWrap w:val="0"/>
            <w:vAlign w:val="center"/>
          </w:tcPr>
          <w:p>
            <w:pPr>
              <w:spacing w:line="440" w:lineRule="exact"/>
              <w:rPr>
                <w:rFonts w:eastAsia="方正仿宋_GBK"/>
                <w:color w:val="auto"/>
                <w:sz w:val="24"/>
              </w:rPr>
            </w:pPr>
            <w:r>
              <w:rPr>
                <w:rFonts w:eastAsia="方正仿宋_GBK"/>
                <w:color w:val="auto"/>
                <w:sz w:val="24"/>
              </w:rPr>
              <w:t>热水器</w:t>
            </w:r>
          </w:p>
        </w:tc>
        <w:tc>
          <w:tcPr>
            <w:tcW w:w="1042" w:type="dxa"/>
            <w:noWrap w:val="0"/>
            <w:vAlign w:val="center"/>
          </w:tcPr>
          <w:p>
            <w:pPr>
              <w:spacing w:line="440" w:lineRule="exact"/>
              <w:jc w:val="center"/>
              <w:rPr>
                <w:rFonts w:eastAsia="方正仿宋_GBK"/>
                <w:color w:val="auto"/>
                <w:sz w:val="24"/>
              </w:rPr>
            </w:pPr>
            <w:r>
              <w:rPr>
                <w:rFonts w:eastAsia="方正仿宋_GBK"/>
                <w:color w:val="auto"/>
                <w:sz w:val="24"/>
              </w:rPr>
              <w:t>台</w:t>
            </w:r>
          </w:p>
        </w:tc>
        <w:tc>
          <w:tcPr>
            <w:tcW w:w="1206" w:type="dxa"/>
            <w:noWrap w:val="0"/>
            <w:vAlign w:val="center"/>
          </w:tcPr>
          <w:p>
            <w:pPr>
              <w:spacing w:line="440" w:lineRule="exact"/>
              <w:jc w:val="center"/>
              <w:rPr>
                <w:rFonts w:eastAsia="方正仿宋_GBK"/>
                <w:color w:val="auto"/>
                <w:sz w:val="24"/>
              </w:rPr>
            </w:pPr>
            <w:r>
              <w:rPr>
                <w:rFonts w:eastAsia="方正仿宋_GBK"/>
                <w:color w:val="auto"/>
                <w:sz w:val="24"/>
              </w:rPr>
              <w:t>50</w:t>
            </w:r>
          </w:p>
        </w:tc>
        <w:tc>
          <w:tcPr>
            <w:tcW w:w="3385" w:type="dxa"/>
            <w:noWrap w:val="0"/>
            <w:vAlign w:val="center"/>
          </w:tcPr>
          <w:p>
            <w:pPr>
              <w:spacing w:line="440" w:lineRule="exact"/>
              <w:rPr>
                <w:rFonts w:eastAsia="方正仿宋_GBK"/>
                <w:color w:val="auto"/>
                <w:sz w:val="24"/>
              </w:rPr>
            </w:pPr>
            <w:r>
              <w:rPr>
                <w:rFonts w:eastAsia="方正仿宋_GBK"/>
                <w:color w:val="auto"/>
                <w:sz w:val="24"/>
              </w:rPr>
              <w:t>拆装费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31" w:type="dxa"/>
            <w:noWrap w:val="0"/>
            <w:vAlign w:val="center"/>
          </w:tcPr>
          <w:p>
            <w:pPr>
              <w:spacing w:line="440" w:lineRule="exact"/>
              <w:jc w:val="center"/>
              <w:rPr>
                <w:rFonts w:hint="eastAsia" w:eastAsia="方正仿宋_GBK"/>
                <w:color w:val="auto"/>
                <w:sz w:val="24"/>
                <w:lang w:eastAsia="zh-CN"/>
              </w:rPr>
            </w:pPr>
            <w:r>
              <w:rPr>
                <w:rFonts w:hint="eastAsia" w:eastAsia="方正仿宋_GBK"/>
                <w:color w:val="auto"/>
                <w:sz w:val="24"/>
                <w:lang w:val="en-US" w:eastAsia="zh-CN"/>
              </w:rPr>
              <w:t>3</w:t>
            </w:r>
          </w:p>
        </w:tc>
        <w:tc>
          <w:tcPr>
            <w:tcW w:w="2323" w:type="dxa"/>
            <w:noWrap w:val="0"/>
            <w:vAlign w:val="center"/>
          </w:tcPr>
          <w:p>
            <w:pPr>
              <w:spacing w:line="440" w:lineRule="exact"/>
              <w:rPr>
                <w:rFonts w:eastAsia="方正仿宋_GBK"/>
                <w:color w:val="auto"/>
                <w:sz w:val="24"/>
              </w:rPr>
            </w:pPr>
            <w:r>
              <w:rPr>
                <w:rFonts w:eastAsia="方正仿宋_GBK"/>
                <w:color w:val="auto"/>
                <w:sz w:val="24"/>
              </w:rPr>
              <w:t>太阳能热水器</w:t>
            </w:r>
          </w:p>
        </w:tc>
        <w:tc>
          <w:tcPr>
            <w:tcW w:w="1042" w:type="dxa"/>
            <w:noWrap w:val="0"/>
            <w:vAlign w:val="center"/>
          </w:tcPr>
          <w:p>
            <w:pPr>
              <w:spacing w:line="440" w:lineRule="exact"/>
              <w:jc w:val="center"/>
              <w:rPr>
                <w:rFonts w:eastAsia="方正仿宋_GBK"/>
                <w:color w:val="auto"/>
                <w:sz w:val="24"/>
              </w:rPr>
            </w:pPr>
            <w:r>
              <w:rPr>
                <w:rFonts w:eastAsia="方正仿宋_GBK"/>
                <w:color w:val="auto"/>
                <w:sz w:val="24"/>
              </w:rPr>
              <w:t>台</w:t>
            </w:r>
          </w:p>
        </w:tc>
        <w:tc>
          <w:tcPr>
            <w:tcW w:w="1206" w:type="dxa"/>
            <w:noWrap w:val="0"/>
            <w:vAlign w:val="center"/>
          </w:tcPr>
          <w:p>
            <w:pPr>
              <w:spacing w:line="440" w:lineRule="exact"/>
              <w:jc w:val="center"/>
              <w:rPr>
                <w:rFonts w:eastAsia="方正仿宋_GBK"/>
                <w:color w:val="auto"/>
                <w:sz w:val="24"/>
              </w:rPr>
            </w:pPr>
            <w:r>
              <w:rPr>
                <w:rFonts w:eastAsia="方正仿宋_GBK"/>
                <w:color w:val="auto"/>
                <w:sz w:val="24"/>
              </w:rPr>
              <w:t>1500</w:t>
            </w:r>
          </w:p>
        </w:tc>
        <w:tc>
          <w:tcPr>
            <w:tcW w:w="3385" w:type="dxa"/>
            <w:noWrap w:val="0"/>
            <w:vAlign w:val="center"/>
          </w:tcPr>
          <w:p>
            <w:pPr>
              <w:spacing w:line="440" w:lineRule="exact"/>
              <w:rPr>
                <w:rFonts w:eastAsia="方正仿宋_GBK"/>
                <w:color w:val="auto"/>
                <w:sz w:val="24"/>
              </w:rPr>
            </w:pPr>
            <w:r>
              <w:rPr>
                <w:rFonts w:eastAsia="方正仿宋_GBK"/>
                <w:color w:val="auto"/>
                <w:sz w:val="24"/>
              </w:rPr>
              <w:t>拆装费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31" w:type="dxa"/>
            <w:noWrap w:val="0"/>
            <w:vAlign w:val="center"/>
          </w:tcPr>
          <w:p>
            <w:pPr>
              <w:spacing w:line="440" w:lineRule="exact"/>
              <w:jc w:val="center"/>
              <w:rPr>
                <w:rFonts w:hint="default" w:eastAsia="方正仿宋_GBK"/>
                <w:color w:val="auto"/>
                <w:sz w:val="24"/>
                <w:lang w:val="en-US" w:eastAsia="zh-CN"/>
              </w:rPr>
            </w:pPr>
            <w:r>
              <w:rPr>
                <w:rFonts w:hint="eastAsia" w:eastAsia="方正仿宋_GBK"/>
                <w:color w:val="auto"/>
                <w:sz w:val="24"/>
                <w:lang w:val="en-US" w:eastAsia="zh-CN"/>
              </w:rPr>
              <w:t>4</w:t>
            </w:r>
          </w:p>
        </w:tc>
        <w:tc>
          <w:tcPr>
            <w:tcW w:w="2323" w:type="dxa"/>
            <w:noWrap w:val="0"/>
            <w:vAlign w:val="center"/>
          </w:tcPr>
          <w:p>
            <w:pPr>
              <w:spacing w:line="440" w:lineRule="exact"/>
              <w:rPr>
                <w:rFonts w:hint="eastAsia" w:eastAsia="方正仿宋_GBK"/>
                <w:color w:val="auto"/>
                <w:sz w:val="24"/>
                <w:lang w:eastAsia="zh-CN"/>
              </w:rPr>
            </w:pPr>
            <w:r>
              <w:rPr>
                <w:rFonts w:hint="eastAsia" w:eastAsia="方正仿宋_GBK"/>
                <w:color w:val="auto"/>
                <w:sz w:val="24"/>
                <w:lang w:eastAsia="zh-CN"/>
              </w:rPr>
              <w:t>电视卫星接收器</w:t>
            </w:r>
          </w:p>
        </w:tc>
        <w:tc>
          <w:tcPr>
            <w:tcW w:w="1042" w:type="dxa"/>
            <w:noWrap w:val="0"/>
            <w:vAlign w:val="center"/>
          </w:tcPr>
          <w:p>
            <w:pPr>
              <w:spacing w:line="440" w:lineRule="exact"/>
              <w:jc w:val="center"/>
              <w:rPr>
                <w:rFonts w:hint="eastAsia" w:eastAsia="方正仿宋_GBK"/>
                <w:color w:val="auto"/>
                <w:sz w:val="24"/>
                <w:lang w:eastAsia="zh-CN"/>
              </w:rPr>
            </w:pPr>
            <w:r>
              <w:rPr>
                <w:rFonts w:hint="eastAsia" w:eastAsia="方正仿宋_GBK"/>
                <w:color w:val="auto"/>
                <w:sz w:val="24"/>
                <w:lang w:eastAsia="zh-CN"/>
              </w:rPr>
              <w:t>台</w:t>
            </w:r>
          </w:p>
        </w:tc>
        <w:tc>
          <w:tcPr>
            <w:tcW w:w="1206" w:type="dxa"/>
            <w:noWrap w:val="0"/>
            <w:vAlign w:val="center"/>
          </w:tcPr>
          <w:p>
            <w:pPr>
              <w:spacing w:line="440" w:lineRule="exact"/>
              <w:jc w:val="center"/>
              <w:rPr>
                <w:rFonts w:hint="default" w:eastAsia="方正仿宋_GBK"/>
                <w:color w:val="auto"/>
                <w:sz w:val="24"/>
                <w:lang w:val="en-US" w:eastAsia="zh-CN"/>
              </w:rPr>
            </w:pPr>
            <w:r>
              <w:rPr>
                <w:rFonts w:hint="eastAsia" w:eastAsia="方正仿宋_GBK"/>
                <w:color w:val="auto"/>
                <w:sz w:val="24"/>
                <w:lang w:val="en-US" w:eastAsia="zh-CN"/>
              </w:rPr>
              <w:t>300</w:t>
            </w:r>
          </w:p>
        </w:tc>
        <w:tc>
          <w:tcPr>
            <w:tcW w:w="3385" w:type="dxa"/>
            <w:noWrap w:val="0"/>
            <w:vAlign w:val="center"/>
          </w:tcPr>
          <w:p>
            <w:pPr>
              <w:spacing w:line="440" w:lineRule="exact"/>
              <w:rPr>
                <w:rFonts w:eastAsia="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31" w:type="dxa"/>
            <w:noWrap w:val="0"/>
            <w:vAlign w:val="center"/>
          </w:tcPr>
          <w:p>
            <w:pPr>
              <w:spacing w:line="440" w:lineRule="exact"/>
              <w:jc w:val="center"/>
              <w:rPr>
                <w:rFonts w:hint="eastAsia" w:eastAsia="方正仿宋_GBK"/>
                <w:color w:val="auto"/>
                <w:sz w:val="24"/>
                <w:lang w:eastAsia="zh-CN"/>
              </w:rPr>
            </w:pPr>
            <w:r>
              <w:rPr>
                <w:rFonts w:hint="eastAsia" w:eastAsia="方正仿宋_GBK"/>
                <w:color w:val="auto"/>
                <w:sz w:val="24"/>
                <w:lang w:val="en-US" w:eastAsia="zh-CN"/>
              </w:rPr>
              <w:t>5</w:t>
            </w:r>
          </w:p>
        </w:tc>
        <w:tc>
          <w:tcPr>
            <w:tcW w:w="2323" w:type="dxa"/>
            <w:noWrap w:val="0"/>
            <w:vAlign w:val="center"/>
          </w:tcPr>
          <w:p>
            <w:pPr>
              <w:spacing w:line="440" w:lineRule="exact"/>
              <w:rPr>
                <w:rFonts w:eastAsia="方正仿宋_GBK"/>
                <w:color w:val="auto"/>
                <w:sz w:val="24"/>
              </w:rPr>
            </w:pPr>
            <w:r>
              <w:rPr>
                <w:rFonts w:eastAsia="方正仿宋_GBK"/>
                <w:color w:val="auto"/>
                <w:sz w:val="24"/>
              </w:rPr>
              <w:t>柜式空调</w:t>
            </w:r>
          </w:p>
        </w:tc>
        <w:tc>
          <w:tcPr>
            <w:tcW w:w="1042" w:type="dxa"/>
            <w:noWrap w:val="0"/>
            <w:vAlign w:val="center"/>
          </w:tcPr>
          <w:p>
            <w:pPr>
              <w:spacing w:line="440" w:lineRule="exact"/>
              <w:jc w:val="center"/>
              <w:rPr>
                <w:rFonts w:eastAsia="方正仿宋_GBK"/>
                <w:color w:val="auto"/>
                <w:sz w:val="24"/>
              </w:rPr>
            </w:pPr>
            <w:r>
              <w:rPr>
                <w:rFonts w:eastAsia="方正仿宋_GBK"/>
                <w:color w:val="auto"/>
                <w:sz w:val="24"/>
              </w:rPr>
              <w:t>台</w:t>
            </w:r>
          </w:p>
        </w:tc>
        <w:tc>
          <w:tcPr>
            <w:tcW w:w="1206" w:type="dxa"/>
            <w:noWrap w:val="0"/>
            <w:vAlign w:val="center"/>
          </w:tcPr>
          <w:p>
            <w:pPr>
              <w:spacing w:line="440" w:lineRule="exact"/>
              <w:jc w:val="center"/>
              <w:rPr>
                <w:rFonts w:eastAsia="方正仿宋_GBK"/>
                <w:color w:val="auto"/>
                <w:sz w:val="24"/>
              </w:rPr>
            </w:pPr>
            <w:r>
              <w:rPr>
                <w:rFonts w:eastAsia="方正仿宋_GBK"/>
                <w:color w:val="auto"/>
                <w:sz w:val="24"/>
              </w:rPr>
              <w:t>150</w:t>
            </w:r>
          </w:p>
        </w:tc>
        <w:tc>
          <w:tcPr>
            <w:tcW w:w="3385" w:type="dxa"/>
            <w:noWrap w:val="0"/>
            <w:vAlign w:val="center"/>
          </w:tcPr>
          <w:p>
            <w:pPr>
              <w:spacing w:line="440" w:lineRule="exact"/>
              <w:rPr>
                <w:rFonts w:eastAsia="方正仿宋_GBK"/>
                <w:color w:val="auto"/>
                <w:sz w:val="24"/>
              </w:rPr>
            </w:pPr>
            <w:r>
              <w:rPr>
                <w:rFonts w:eastAsia="方正仿宋_GBK"/>
                <w:color w:val="auto"/>
                <w:sz w:val="24"/>
              </w:rPr>
              <w:t>拆装费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31" w:type="dxa"/>
            <w:noWrap w:val="0"/>
            <w:vAlign w:val="center"/>
          </w:tcPr>
          <w:p>
            <w:pPr>
              <w:spacing w:line="440" w:lineRule="exact"/>
              <w:jc w:val="center"/>
              <w:rPr>
                <w:rFonts w:hint="eastAsia" w:eastAsia="方正仿宋_GBK"/>
                <w:color w:val="auto"/>
                <w:sz w:val="24"/>
                <w:lang w:eastAsia="zh-CN"/>
              </w:rPr>
            </w:pPr>
            <w:r>
              <w:rPr>
                <w:rFonts w:hint="eastAsia" w:eastAsia="方正仿宋_GBK"/>
                <w:color w:val="auto"/>
                <w:sz w:val="24"/>
                <w:lang w:val="en-US" w:eastAsia="zh-CN"/>
              </w:rPr>
              <w:t>6</w:t>
            </w:r>
          </w:p>
        </w:tc>
        <w:tc>
          <w:tcPr>
            <w:tcW w:w="2323" w:type="dxa"/>
            <w:noWrap w:val="0"/>
            <w:vAlign w:val="center"/>
          </w:tcPr>
          <w:p>
            <w:pPr>
              <w:spacing w:line="440" w:lineRule="exact"/>
              <w:rPr>
                <w:rFonts w:eastAsia="方正仿宋_GBK"/>
                <w:color w:val="auto"/>
                <w:sz w:val="24"/>
              </w:rPr>
            </w:pPr>
            <w:r>
              <w:rPr>
                <w:rFonts w:eastAsia="方正仿宋_GBK"/>
                <w:color w:val="auto"/>
                <w:sz w:val="24"/>
              </w:rPr>
              <w:t>挂式空调</w:t>
            </w:r>
          </w:p>
        </w:tc>
        <w:tc>
          <w:tcPr>
            <w:tcW w:w="1042" w:type="dxa"/>
            <w:noWrap w:val="0"/>
            <w:vAlign w:val="center"/>
          </w:tcPr>
          <w:p>
            <w:pPr>
              <w:spacing w:line="440" w:lineRule="exact"/>
              <w:jc w:val="center"/>
              <w:rPr>
                <w:rFonts w:eastAsia="方正仿宋_GBK"/>
                <w:color w:val="auto"/>
                <w:sz w:val="24"/>
              </w:rPr>
            </w:pPr>
            <w:r>
              <w:rPr>
                <w:rFonts w:eastAsia="方正仿宋_GBK"/>
                <w:color w:val="auto"/>
                <w:sz w:val="24"/>
              </w:rPr>
              <w:t>台</w:t>
            </w:r>
          </w:p>
        </w:tc>
        <w:tc>
          <w:tcPr>
            <w:tcW w:w="1206" w:type="dxa"/>
            <w:noWrap w:val="0"/>
            <w:vAlign w:val="center"/>
          </w:tcPr>
          <w:p>
            <w:pPr>
              <w:spacing w:line="440" w:lineRule="exact"/>
              <w:jc w:val="center"/>
              <w:rPr>
                <w:rFonts w:eastAsia="方正仿宋_GBK"/>
                <w:color w:val="auto"/>
                <w:sz w:val="24"/>
              </w:rPr>
            </w:pPr>
            <w:r>
              <w:rPr>
                <w:rFonts w:eastAsia="方正仿宋_GBK"/>
                <w:color w:val="auto"/>
                <w:sz w:val="24"/>
              </w:rPr>
              <w:t>150</w:t>
            </w:r>
          </w:p>
        </w:tc>
        <w:tc>
          <w:tcPr>
            <w:tcW w:w="3385" w:type="dxa"/>
            <w:noWrap w:val="0"/>
            <w:vAlign w:val="center"/>
          </w:tcPr>
          <w:p>
            <w:pPr>
              <w:spacing w:line="440" w:lineRule="exact"/>
              <w:rPr>
                <w:rFonts w:eastAsia="方正仿宋_GBK"/>
                <w:color w:val="auto"/>
                <w:sz w:val="24"/>
              </w:rPr>
            </w:pPr>
            <w:r>
              <w:rPr>
                <w:rFonts w:eastAsia="方正仿宋_GBK"/>
                <w:color w:val="auto"/>
                <w:sz w:val="24"/>
              </w:rPr>
              <w:t>拆装费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31" w:type="dxa"/>
            <w:noWrap w:val="0"/>
            <w:vAlign w:val="center"/>
          </w:tcPr>
          <w:p>
            <w:pPr>
              <w:spacing w:line="440" w:lineRule="exact"/>
              <w:jc w:val="center"/>
              <w:rPr>
                <w:rFonts w:hint="eastAsia" w:eastAsia="方正仿宋_GBK"/>
                <w:color w:val="auto"/>
                <w:sz w:val="24"/>
                <w:lang w:eastAsia="zh-CN"/>
              </w:rPr>
            </w:pPr>
            <w:r>
              <w:rPr>
                <w:rFonts w:hint="eastAsia" w:eastAsia="方正仿宋_GBK"/>
                <w:color w:val="auto"/>
                <w:sz w:val="24"/>
                <w:lang w:val="en-US" w:eastAsia="zh-CN"/>
              </w:rPr>
              <w:t>7</w:t>
            </w:r>
          </w:p>
        </w:tc>
        <w:tc>
          <w:tcPr>
            <w:tcW w:w="2323" w:type="dxa"/>
            <w:noWrap w:val="0"/>
            <w:vAlign w:val="center"/>
          </w:tcPr>
          <w:p>
            <w:pPr>
              <w:spacing w:line="440" w:lineRule="exact"/>
              <w:rPr>
                <w:rFonts w:eastAsia="方正仿宋_GBK"/>
                <w:color w:val="auto"/>
                <w:sz w:val="24"/>
              </w:rPr>
            </w:pPr>
            <w:r>
              <w:rPr>
                <w:rFonts w:eastAsia="方正仿宋_GBK"/>
                <w:color w:val="auto"/>
                <w:sz w:val="24"/>
              </w:rPr>
              <w:t>窗式空调</w:t>
            </w:r>
          </w:p>
        </w:tc>
        <w:tc>
          <w:tcPr>
            <w:tcW w:w="1042" w:type="dxa"/>
            <w:noWrap w:val="0"/>
            <w:vAlign w:val="center"/>
          </w:tcPr>
          <w:p>
            <w:pPr>
              <w:spacing w:line="440" w:lineRule="exact"/>
              <w:jc w:val="center"/>
              <w:rPr>
                <w:rFonts w:eastAsia="方正仿宋_GBK"/>
                <w:color w:val="auto"/>
                <w:sz w:val="24"/>
              </w:rPr>
            </w:pPr>
            <w:r>
              <w:rPr>
                <w:rFonts w:eastAsia="方正仿宋_GBK"/>
                <w:color w:val="auto"/>
                <w:sz w:val="24"/>
              </w:rPr>
              <w:t>台</w:t>
            </w:r>
          </w:p>
        </w:tc>
        <w:tc>
          <w:tcPr>
            <w:tcW w:w="1206" w:type="dxa"/>
            <w:noWrap w:val="0"/>
            <w:vAlign w:val="center"/>
          </w:tcPr>
          <w:p>
            <w:pPr>
              <w:spacing w:line="440" w:lineRule="exact"/>
              <w:jc w:val="center"/>
              <w:rPr>
                <w:rFonts w:eastAsia="方正仿宋_GBK"/>
                <w:color w:val="auto"/>
                <w:sz w:val="24"/>
              </w:rPr>
            </w:pPr>
            <w:r>
              <w:rPr>
                <w:rFonts w:eastAsia="方正仿宋_GBK"/>
                <w:color w:val="auto"/>
                <w:sz w:val="24"/>
              </w:rPr>
              <w:t>60</w:t>
            </w:r>
          </w:p>
        </w:tc>
        <w:tc>
          <w:tcPr>
            <w:tcW w:w="3385" w:type="dxa"/>
            <w:noWrap w:val="0"/>
            <w:vAlign w:val="center"/>
          </w:tcPr>
          <w:p>
            <w:pPr>
              <w:spacing w:line="440" w:lineRule="exact"/>
              <w:rPr>
                <w:rFonts w:eastAsia="方正仿宋_GBK"/>
                <w:color w:val="auto"/>
                <w:sz w:val="24"/>
              </w:rPr>
            </w:pPr>
            <w:r>
              <w:rPr>
                <w:rFonts w:eastAsia="方正仿宋_GBK"/>
                <w:color w:val="auto"/>
                <w:sz w:val="24"/>
              </w:rPr>
              <w:t>拆装费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31" w:type="dxa"/>
            <w:noWrap w:val="0"/>
            <w:vAlign w:val="center"/>
          </w:tcPr>
          <w:p>
            <w:pPr>
              <w:spacing w:line="440" w:lineRule="exact"/>
              <w:jc w:val="center"/>
              <w:rPr>
                <w:rFonts w:hint="eastAsia" w:eastAsia="方正仿宋_GBK"/>
                <w:color w:val="auto"/>
                <w:sz w:val="24"/>
                <w:lang w:eastAsia="zh-CN"/>
              </w:rPr>
            </w:pPr>
            <w:r>
              <w:rPr>
                <w:rFonts w:hint="eastAsia" w:eastAsia="方正仿宋_GBK"/>
                <w:color w:val="auto"/>
                <w:sz w:val="24"/>
                <w:lang w:val="en-US" w:eastAsia="zh-CN"/>
              </w:rPr>
              <w:t>8</w:t>
            </w:r>
          </w:p>
        </w:tc>
        <w:tc>
          <w:tcPr>
            <w:tcW w:w="2323" w:type="dxa"/>
            <w:noWrap w:val="0"/>
            <w:vAlign w:val="center"/>
          </w:tcPr>
          <w:p>
            <w:pPr>
              <w:spacing w:line="440" w:lineRule="exact"/>
              <w:rPr>
                <w:rFonts w:hint="eastAsia" w:eastAsia="方正仿宋_GBK"/>
                <w:color w:val="auto"/>
                <w:sz w:val="24"/>
              </w:rPr>
            </w:pPr>
            <w:r>
              <w:rPr>
                <w:rFonts w:hint="eastAsia" w:eastAsia="方正仿宋_GBK"/>
                <w:color w:val="auto"/>
                <w:sz w:val="24"/>
              </w:rPr>
              <w:t>混凝土挡土墙</w:t>
            </w:r>
          </w:p>
        </w:tc>
        <w:tc>
          <w:tcPr>
            <w:tcW w:w="1042" w:type="dxa"/>
            <w:noWrap w:val="0"/>
            <w:vAlign w:val="center"/>
          </w:tcPr>
          <w:p>
            <w:pPr>
              <w:spacing w:line="440" w:lineRule="exact"/>
              <w:jc w:val="center"/>
              <w:rPr>
                <w:rFonts w:eastAsia="方正仿宋_GBK"/>
                <w:color w:val="auto"/>
                <w:sz w:val="24"/>
              </w:rPr>
            </w:pPr>
            <w:r>
              <w:rPr>
                <w:rFonts w:hint="eastAsia" w:eastAsia="方正仿宋_GBK"/>
                <w:color w:val="auto"/>
                <w:sz w:val="24"/>
              </w:rPr>
              <w:t>M</w:t>
            </w:r>
          </w:p>
        </w:tc>
        <w:tc>
          <w:tcPr>
            <w:tcW w:w="1206" w:type="dxa"/>
            <w:noWrap w:val="0"/>
            <w:vAlign w:val="center"/>
          </w:tcPr>
          <w:p>
            <w:pPr>
              <w:spacing w:line="440" w:lineRule="exact"/>
              <w:jc w:val="center"/>
              <w:rPr>
                <w:rFonts w:eastAsia="方正仿宋_GBK"/>
                <w:color w:val="auto"/>
                <w:sz w:val="24"/>
              </w:rPr>
            </w:pPr>
            <w:r>
              <w:rPr>
                <w:rFonts w:hint="eastAsia" w:eastAsia="方正仿宋_GBK"/>
                <w:color w:val="auto"/>
                <w:sz w:val="24"/>
              </w:rPr>
              <w:t>330—380</w:t>
            </w:r>
          </w:p>
        </w:tc>
        <w:tc>
          <w:tcPr>
            <w:tcW w:w="3385" w:type="dxa"/>
            <w:noWrap w:val="0"/>
            <w:vAlign w:val="center"/>
          </w:tcPr>
          <w:p>
            <w:pPr>
              <w:spacing w:line="440" w:lineRule="exact"/>
              <w:rPr>
                <w:rFonts w:hint="eastAsia" w:eastAsia="方正仿宋_GBK"/>
                <w:color w:val="auto"/>
                <w:sz w:val="24"/>
              </w:rPr>
            </w:pPr>
            <w:r>
              <w:rPr>
                <w:rFonts w:hint="eastAsia" w:eastAsia="方正仿宋_GBK"/>
                <w:color w:val="auto"/>
                <w:sz w:val="24"/>
              </w:rPr>
              <w:t>在综合定额补偿费中列支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trPr>
        <w:tc>
          <w:tcPr>
            <w:tcW w:w="831" w:type="dxa"/>
            <w:noWrap w:val="0"/>
            <w:vAlign w:val="center"/>
          </w:tcPr>
          <w:p>
            <w:pPr>
              <w:spacing w:line="440" w:lineRule="exact"/>
              <w:jc w:val="center"/>
              <w:rPr>
                <w:rFonts w:hint="eastAsia" w:eastAsia="方正仿宋_GBK"/>
                <w:color w:val="auto"/>
                <w:sz w:val="24"/>
                <w:lang w:eastAsia="zh-CN"/>
              </w:rPr>
            </w:pPr>
            <w:r>
              <w:rPr>
                <w:rFonts w:hint="eastAsia" w:eastAsia="方正仿宋_GBK"/>
                <w:color w:val="auto"/>
                <w:sz w:val="24"/>
                <w:lang w:val="en-US" w:eastAsia="zh-CN"/>
              </w:rPr>
              <w:t>9</w:t>
            </w:r>
          </w:p>
        </w:tc>
        <w:tc>
          <w:tcPr>
            <w:tcW w:w="2323" w:type="dxa"/>
            <w:noWrap w:val="0"/>
            <w:vAlign w:val="center"/>
          </w:tcPr>
          <w:p>
            <w:pPr>
              <w:spacing w:line="440" w:lineRule="exact"/>
              <w:rPr>
                <w:rFonts w:hint="eastAsia" w:eastAsia="方正仿宋_GBK"/>
                <w:color w:val="auto"/>
                <w:sz w:val="24"/>
              </w:rPr>
            </w:pPr>
            <w:r>
              <w:rPr>
                <w:rFonts w:hint="eastAsia" w:eastAsia="方正仿宋_GBK"/>
                <w:color w:val="auto"/>
                <w:sz w:val="24"/>
              </w:rPr>
              <w:t>钢筋混凝土挡土墙</w:t>
            </w:r>
          </w:p>
        </w:tc>
        <w:tc>
          <w:tcPr>
            <w:tcW w:w="1042" w:type="dxa"/>
            <w:noWrap w:val="0"/>
            <w:vAlign w:val="center"/>
          </w:tcPr>
          <w:p>
            <w:pPr>
              <w:spacing w:line="440" w:lineRule="exact"/>
              <w:jc w:val="center"/>
              <w:rPr>
                <w:rFonts w:eastAsia="方正仿宋_GBK"/>
                <w:color w:val="auto"/>
                <w:sz w:val="24"/>
              </w:rPr>
            </w:pPr>
            <w:r>
              <w:rPr>
                <w:rFonts w:hint="eastAsia" w:eastAsia="方正仿宋_GBK"/>
                <w:color w:val="auto"/>
                <w:sz w:val="24"/>
              </w:rPr>
              <w:t>M</w:t>
            </w:r>
          </w:p>
        </w:tc>
        <w:tc>
          <w:tcPr>
            <w:tcW w:w="1206" w:type="dxa"/>
            <w:noWrap w:val="0"/>
            <w:vAlign w:val="center"/>
          </w:tcPr>
          <w:p>
            <w:pPr>
              <w:spacing w:line="440" w:lineRule="exact"/>
              <w:jc w:val="center"/>
              <w:rPr>
                <w:rFonts w:eastAsia="方正仿宋_GBK"/>
                <w:color w:val="auto"/>
                <w:sz w:val="24"/>
              </w:rPr>
            </w:pPr>
            <w:r>
              <w:rPr>
                <w:rFonts w:hint="eastAsia" w:eastAsia="方正仿宋_GBK"/>
                <w:color w:val="auto"/>
                <w:sz w:val="24"/>
              </w:rPr>
              <w:t>400—450</w:t>
            </w:r>
          </w:p>
        </w:tc>
        <w:tc>
          <w:tcPr>
            <w:tcW w:w="3385" w:type="dxa"/>
            <w:noWrap w:val="0"/>
            <w:vAlign w:val="center"/>
          </w:tcPr>
          <w:p>
            <w:pPr>
              <w:spacing w:line="440" w:lineRule="exact"/>
              <w:rPr>
                <w:rFonts w:eastAsia="方正仿宋_GBK"/>
                <w:color w:val="auto"/>
                <w:sz w:val="24"/>
              </w:rPr>
            </w:pPr>
            <w:r>
              <w:rPr>
                <w:rFonts w:hint="eastAsia" w:eastAsia="方正仿宋_GBK"/>
                <w:color w:val="auto"/>
                <w:sz w:val="24"/>
              </w:rPr>
              <w:t>在综合定额补偿费中列支</w:t>
            </w:r>
          </w:p>
        </w:tc>
      </w:tr>
    </w:tbl>
    <w:p>
      <w:pPr>
        <w:spacing w:line="440" w:lineRule="exact"/>
        <w:rPr>
          <w:rFonts w:hint="eastAsia" w:ascii="方正仿宋_GBK" w:hAnsi="方正仿宋_GBK" w:eastAsia="方正仿宋_GBK" w:cs="方正仿宋_GBK"/>
          <w:b w:val="0"/>
          <w:bCs w:val="0"/>
          <w:color w:val="auto"/>
          <w:sz w:val="24"/>
        </w:rPr>
      </w:pPr>
      <w:r>
        <w:rPr>
          <w:rFonts w:hint="eastAsia" w:ascii="方正仿宋_GBK" w:hAnsi="方正仿宋_GBK" w:eastAsia="方正仿宋_GBK" w:cs="方正仿宋_GBK"/>
          <w:b w:val="0"/>
          <w:bCs w:val="0"/>
          <w:color w:val="auto"/>
          <w:sz w:val="24"/>
        </w:rPr>
        <w:t>说明：室内构筑物一律不另作补偿。</w:t>
      </w:r>
    </w:p>
    <w:p>
      <w:pPr>
        <w:pStyle w:val="2"/>
        <w:ind w:firstLine="280"/>
        <w:rPr>
          <w:color w:val="auto"/>
          <w:lang w:eastAsia="zh-CN"/>
        </w:rPr>
      </w:pPr>
    </w:p>
    <w:p>
      <w:pPr>
        <w:pStyle w:val="2"/>
        <w:ind w:firstLine="280"/>
        <w:rPr>
          <w:color w:val="auto"/>
          <w:lang w:eastAsia="zh-CN"/>
        </w:rPr>
      </w:pPr>
    </w:p>
    <w:p/>
    <w:sectPr>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w:t>
                          </w: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- 1 -</w:t>
                          </w:r>
                          <w:r>
                            <w:rPr>
                              <w:rFonts w:hint="default" w:ascii="Times New Roman" w:hAnsi="Times New Roman" w:cs="Times New Roman" w:eastAsiaTheme="minorEastAsia"/>
                              <w:sz w:val="28"/>
                              <w:szCs w:val="28"/>
                            </w:rPr>
                            <w:fldChar w:fldCharType="end"/>
                          </w:r>
                          <w:r>
                            <w:rPr>
                              <w:rFonts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SVju&#10;0AAAAAUBAAAPAAAAAAAAAAEAIAAAACIAAABkcnMvZG93bnJldi54bWxQSwECFAAUAAAACACHTuJA&#10;b+vBR7cBAABUAwAADgAAAAAAAAABACAAAAAfAQAAZHJzL2Uyb0RvYy54bWxQSwUGAAAAAAYABgBZ&#10;AQAASAUAAAAA&#10;">
              <v:fill on="f" focussize="0,0"/>
              <v:stroke on="f" weight="0.5pt"/>
              <v:imagedata o:title=""/>
              <o:lock v:ext="edit" aspectratio="f"/>
              <v:textbox inset="0mm,0mm,0mm,0mm" style="mso-fit-shape-to-text:t;">
                <w:txbxContent>
                  <w:p>
                    <w:pPr>
                      <w:pStyle w:val="4"/>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w:t>
                    </w:r>
                    <w:r>
                      <w:rPr>
                        <w:rFonts w:hint="default" w:ascii="Times New Roman" w:hAnsi="Times New Roman" w:cs="Times New Roman" w:eastAsia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- 1 -</w:t>
                    </w:r>
                    <w:r>
                      <w:rPr>
                        <w:rFonts w:hint="default" w:ascii="Times New Roman" w:hAnsi="Times New Roman" w:cs="Times New Roman" w:eastAsiaTheme="minorEastAsia"/>
                        <w:sz w:val="28"/>
                        <w:szCs w:val="28"/>
                      </w:rPr>
                      <w:fldChar w:fldCharType="end"/>
                    </w:r>
                    <w:r>
                      <w:rPr>
                        <w:rFonts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文本框 2" o:spid="_x0000_s4097"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path/>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val="en-US" w:eastAsia="zh-CN"/>
                  </w:rPr>
                </w:pP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Times New Roman" w:hAnsi="Times New Roman" w:eastAsia="宋体" w:cs="Times New Roman"/>
                    <w:sz w:val="28"/>
                    <w:szCs w:val="28"/>
                    <w:lang w:val="en-US" w:eastAsia="zh-CN"/>
                  </w:rPr>
                  <w:t xml:space="preserve"> —</w:t>
                </w:r>
              </w:p>
            </w:txbxContent>
          </v:textbox>
        </v:shape>
      </w:pic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方宏胜">
    <w15:presenceInfo w15:providerId="None" w15:userId="方宏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75F12B2"/>
    <w:rsid w:val="221D69B8"/>
    <w:rsid w:val="33FE1486"/>
    <w:rsid w:val="375F12B2"/>
    <w:rsid w:val="5BF7E9C9"/>
    <w:rsid w:val="75D75640"/>
    <w:rsid w:val="77F7EEA3"/>
    <w:rsid w:val="7D2ED24F"/>
    <w:rsid w:val="7EECE848"/>
    <w:rsid w:val="7FB5228D"/>
    <w:rsid w:val="7FBF5E4B"/>
    <w:rsid w:val="7FF8B49E"/>
    <w:rsid w:val="7FFFD155"/>
    <w:rsid w:val="A7BE94D0"/>
    <w:rsid w:val="BFDA08B5"/>
    <w:rsid w:val="CF5FD94B"/>
    <w:rsid w:val="CFC7B8CA"/>
    <w:rsid w:val="D7DB5EB9"/>
    <w:rsid w:val="E925AF1F"/>
    <w:rsid w:val="FBD5C5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szCs w:val="24"/>
    </w:rPr>
  </w:style>
  <w:style w:type="paragraph" w:styleId="3">
    <w:name w:val="Body Text"/>
    <w:basedOn w:val="1"/>
    <w:next w:val="1"/>
    <w:qFormat/>
    <w:uiPriority w:val="1"/>
    <w:pPr>
      <w:ind w:left="100" w:firstLine="559"/>
      <w:jc w:val="left"/>
    </w:pPr>
    <w:rPr>
      <w:rFonts w:ascii="宋体" w:hAnsi="宋体" w:eastAsia="宋体"/>
      <w:kern w:val="0"/>
      <w:sz w:val="28"/>
      <w:szCs w:val="28"/>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rPr>
  </w:style>
  <w:style w:type="paragraph" w:styleId="6">
    <w:name w:val="Normal (Web)"/>
    <w:basedOn w:val="1"/>
    <w:qFormat/>
    <w:uiPriority w:val="0"/>
    <w:pPr>
      <w:spacing w:beforeAutospacing="1" w:afterAutospacing="1"/>
      <w:jc w:val="left"/>
    </w:pPr>
    <w:rPr>
      <w:rFonts w:ascii="Times New Roman" w:hAnsi="Times New Roman" w:eastAsia="宋体"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page number"/>
    <w:basedOn w:val="9"/>
    <w:qFormat/>
    <w:uiPriority w:val="0"/>
    <w:rPr>
      <w:rFonts w:ascii="Times New Roman" w:hAnsi="Times New Roman" w:eastAsia="宋体" w:cs="Times New Roman"/>
    </w:rPr>
  </w:style>
  <w:style w:type="paragraph" w:customStyle="1" w:styleId="11">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12">
    <w:name w:val="_Style 6"/>
    <w:basedOn w:val="1"/>
    <w:qFormat/>
    <w:uiPriority w:val="0"/>
    <w:rPr>
      <w:rFonts w:ascii="Arial" w:hAnsi="Arial" w:eastAsia="仿宋_GB2312" w:cs="Arial"/>
      <w:sz w:val="20"/>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7480</Words>
  <Characters>7753</Characters>
  <Lines>27</Lines>
  <Paragraphs>7</Paragraphs>
  <TotalTime>10</TotalTime>
  <ScaleCrop>false</ScaleCrop>
  <LinksUpToDate>false</LinksUpToDate>
  <CharactersWithSpaces>7796</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Administrator</cp:lastModifiedBy>
  <cp:lastPrinted>2025-03-18T00:21:00Z</cp:lastPrinted>
  <dcterms:modified xsi:type="dcterms:W3CDTF">2025-08-26T09:53:22Z</dcterms:modified>
  <dc:title>重庆市綦江区人民政府</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B7956CDEE6AD4B63B5E648C0E4CFA5B5_13</vt:lpwstr>
  </property>
  <property fmtid="{D5CDD505-2E9C-101B-9397-08002B2CF9AE}" pid="4" name="KSOTemplateDocerSaveRecord">
    <vt:lpwstr>eyJoZGlkIjoiMGZhNGRkN2Q1YTVmMmYwODU2NmE1Mjg5YWIzYmMwMzUifQ==</vt:lpwstr>
  </property>
</Properties>
</file>