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81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76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OLE_LINK1"/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eastAsia="zh-CN"/>
          <w14:textFill>
            <w14:solidFill>
              <w14:schemeClr w14:val="tx1"/>
            </w14:solidFill>
          </w14:textFill>
        </w:rPr>
        <w:t>綦江区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2024年前三季度经济运行情况</w:t>
      </w:r>
    </w:p>
    <w:bookmarkEnd w:id="0"/>
    <w:p w14:paraId="01F04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初步核算，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前三季度地区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生产总值按不变价格计算，同比增长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3.2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%。分产业看，第一产业增加值增长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1.4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%；第二产业增加值增长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4.0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%；第三产业增加值增长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3.1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%。</w:t>
      </w:r>
    </w:p>
    <w:p w14:paraId="620F1E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Times New Roman" w:hAnsi="Times New Roman" w:eastAsia="方正仿宋_GBK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方正仿宋_GBK"/>
          <w:b/>
          <w:bCs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农业生产保持稳定。</w:t>
      </w:r>
      <w:r>
        <w:rPr>
          <w:rFonts w:hint="eastAsia" w:ascii="Times New Roman" w:hAnsi="Times New Roman" w:eastAsia="方正仿宋_GBK" w:cs="方正仿宋_GBK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农林牧渔业总产值</w:t>
      </w:r>
      <w:bookmarkStart w:id="1" w:name="_GoBack"/>
      <w:bookmarkEnd w:id="1"/>
      <w:r>
        <w:rPr>
          <w:rFonts w:hint="eastAsia" w:ascii="Times New Roman" w:hAnsi="Times New Roman" w:eastAsia="方正仿宋_GBK" w:cs="方正仿宋_GBK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增长</w:t>
      </w:r>
      <w:r>
        <w:rPr>
          <w:rFonts w:hint="eastAsia" w:ascii="Times New Roman" w:hAnsi="Times New Roman" w:eastAsia="方正仿宋_GBK" w:cs="方正仿宋_GBK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1.1%。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蔬菜面积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24.28万亩，增长0.2%；蔬菜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产量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42.05万吨，增长2.3%。</w:t>
      </w:r>
      <w:r>
        <w:rPr>
          <w:rFonts w:hint="eastAsia" w:ascii="Times New Roman" w:hAnsi="Times New Roman" w:eastAsia="方正仿宋_GBK" w:cs="方正仿宋_GBK"/>
          <w:b/>
          <w:bCs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工业生产较为平稳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。工业增加值增长5.4%，规模以上工业增加值增长6.2%。规模以上工业总产值增长6.3%，从支柱产业看，铝及铝精深加工增长9.3%；装配式建筑下降13.3%；汽摩整车及零部件下降3.1%。</w:t>
      </w:r>
      <w:r>
        <w:rPr>
          <w:rFonts w:hint="eastAsia" w:ascii="Times New Roman" w:hAnsi="Times New Roman" w:eastAsia="方正仿宋_GBK" w:cs="方正仿宋_GBK"/>
          <w:b/>
          <w:bCs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固定资产投资增势良好。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固定资产投资增长14.4%；工业投资增长16.8%。</w:t>
      </w:r>
      <w:r>
        <w:rPr>
          <w:rFonts w:hint="eastAsia" w:ascii="Times New Roman" w:hAnsi="Times New Roman" w:eastAsia="方正仿宋_GBK" w:cs="方正仿宋_GBK"/>
          <w:b/>
          <w:bCs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市场消费继续恢复。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社会零售总额增长5.2%；批发业商品销售额下降8.3%；零售业商品销售额增长9.1%；住宿业营业额增长7.4%；餐饮业营业额增长11.8%。</w:t>
      </w:r>
      <w:r>
        <w:rPr>
          <w:rFonts w:hint="eastAsia" w:ascii="Times New Roman" w:hAnsi="Times New Roman" w:eastAsia="方正仿宋_GBK" w:cs="方正仿宋_GBK"/>
          <w:b/>
          <w:bCs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居民收入稳步提高。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全体居民人均可支配收入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>27868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元，同比增长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>3.5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%。按常住地分，城镇居民人均可支配收入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>33378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元，同比增长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>3.0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%；农村居民人均可支配收入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>16927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元，同比增长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>3.3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%。城乡居民人均收入比值1.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>97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，比上年同期缩小</w:t>
      </w:r>
      <w:r>
        <w:rPr>
          <w:rFonts w:ascii="Times New Roman" w:hAnsi="Times New Roman" w:eastAsia="方正仿宋_GBK"/>
          <w:sz w:val="32"/>
          <w:szCs w:val="32"/>
          <w:highlight w:val="none"/>
        </w:rPr>
        <w:t>0.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>01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。</w:t>
      </w:r>
    </w:p>
    <w:p w14:paraId="402E98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总的来看，前三季度全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经济运行平稳，高质量发展扎实推进。但也要看到，当前外部环境复杂多变，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不稳定不确定因素依然较多，经济持续恢复向好基础仍需稳固。下阶段，要继续坚持以习近平新时代中国特色社会主义思想为指导，坚持稳中求进工作总基调，完整、准确、全面贯彻新发展理念，加快构建新发展格局，着力推动高质量发展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33EAF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zZjU2M2YzZDBkZWVlMDA5OGMxNTVkNmM3OGY1ZmIifQ=="/>
  </w:docVars>
  <w:rsids>
    <w:rsidRoot w:val="00000000"/>
    <w:rsid w:val="0351227B"/>
    <w:rsid w:val="045126D0"/>
    <w:rsid w:val="125272AF"/>
    <w:rsid w:val="12751C80"/>
    <w:rsid w:val="178321B2"/>
    <w:rsid w:val="212754A4"/>
    <w:rsid w:val="2FD27CBF"/>
    <w:rsid w:val="36EB5A54"/>
    <w:rsid w:val="3C9E6B6C"/>
    <w:rsid w:val="4C8E39C9"/>
    <w:rsid w:val="5ECF180C"/>
    <w:rsid w:val="6E0F335F"/>
    <w:rsid w:val="777F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414</Words>
  <Characters>512</Characters>
  <Lines>0</Lines>
  <Paragraphs>0</Paragraphs>
  <TotalTime>10</TotalTime>
  <ScaleCrop>false</ScaleCrop>
  <LinksUpToDate>false</LinksUpToDate>
  <CharactersWithSpaces>512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2024-04-17T06:08:00Z</dcterms:created>
  <dc:creator>Administrator</dc:creator>
  <cp:lastModifiedBy>Administrator</cp:lastModifiedBy>
  <cp:lastPrinted>2024-10-22T01:51:46Z</cp:lastPrinted>
  <dcterms:modified xsi:type="dcterms:W3CDTF">2024-10-22T02:01:25Z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5EE2EB867E5E402A953B29F178D10A64_12</vt:lpwstr>
  </property>
</Properties>
</file>