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重庆市綦江区人民政府办公室（本级）</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jc w:val="center"/>
        <w:textAlignment w:val="auto"/>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3" w:firstLineChars="200"/>
        <w:textAlignment w:val="auto"/>
        <w:rPr>
          <w:rStyle w:val="10"/>
          <w:rFonts w:hint="eastAsia" w:ascii="方正黑体_GBK" w:hAnsi="方正黑体_GBK" w:eastAsia="方正黑体_GBK" w:cs="方正黑体_GBK"/>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一、</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基本情况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（一）职能职责</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按照《重庆市綦江区机构编制委员会关于调整重庆市綦江区人民政府办公室机构编制方案的通知》（綦编〔2012〕225号）和《关于调整〈重庆市綦江区人民政府办公室职能配置、内设机构和人员编制规定〉的通知》（綦江委办发〔2019〕12号）精神，区政府办公室主要职能职责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 xml:space="preserve">1．贯彻执行党和国家的方针、政策和法律、法规，在区政府领导下，草拟区政府年度或阶段工作安排意见，提交区政府常务会或区长办公会审定，并协助组织实施。 </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2．协助区政府领导组织起草或审核以区政府、区政府办公室名义制发的文件。</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3．负责区政府会议的准备工作，协助区政府领导组织实施会议决定事项。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4．研究各镇人民政府和各街道办事处、区政府各部门向区政府请示报告的事项，提出审核处理意见，报区政府领导审批；协助区政府领导处理各镇政府和各街道办事处、区政府各部门向区政府反映的重要问题。</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5．负责组织实施对区政府重大政策、重要文件、重大工作部署的调查研究，为领导提供决策参考。</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6．负责向区政府提供反映政府工作以及全区经济、社会发展中的重要情况，为区政府领导把握全局、科学决策提供及时、准确、全面的政务信息服务。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7．督促检查区政府各部门、各街道办事处、镇人民政府对国务院、市政府和区政府文件、会议决定事项及区政府领导批示的落实情况，及时向市政府及区政府领导报告。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8．负责组织办理区政府政务值班、公开信箱工作，及时向区政府相关领导报告重要情况。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9．组织办理区政府工作范围内的人大议案及人大代表建议、政协提案。</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10．组织、指导、督促全区政府信息公开等政务公开工作，推进政务服务。</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11．负责全区外事工作的统筹、规划、协调和管理。</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12．负责组织、协调区政府组织的全区性重大活动。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13．负责区政府效能督察和目标考核工作。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14．负责全区机关事业单位办公用房管理、公务用车管理和公共机构节约能源资源监督管理工作。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15．负责区政府电子政务工作。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16．承办区政府和上级相关部门交办的其他事项。</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（二）机构设置</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根据《关于调整〈重庆市綦江区人民政府办公室职能配置、内设机构和人员编制规定〉的通知》（綦江委办发〔2019〕12号）精神。重庆市綦江区人民政府办公室加挂区政府外事办公室牌子。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根据职责及内设机构调整，重庆市綦江区人民政府办公室（重庆市綦江区政府外事办公室）设区政府效能办（区政府马上办）、区政府值班室、秘书一科、秘书二科、综合科（议案提案科、外事科）、调研科、信息科、党群科、机要科、行政科、机关事务管理科等11个内设机构。</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sz w:val="32"/>
          <w:szCs w:val="32"/>
        </w:rPr>
      </w:pPr>
      <w:r>
        <w:rPr>
          <w:rFonts w:hint="eastAsia" w:ascii="方正楷体_GBK" w:hAnsi="方正楷体_GBK" w:eastAsia="方正楷体_GBK" w:cs="方正楷体_GBK"/>
          <w:b w:val="0"/>
          <w:bCs/>
          <w:sz w:val="32"/>
          <w:szCs w:val="32"/>
        </w:rPr>
        <w:t>（三）单位构成</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从预算单位构成看，重庆市綦江区人民政府办公室（本级）无下级预算单位。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二、</w:t>
      </w:r>
      <w:r>
        <w:rPr>
          <w:rStyle w:val="10"/>
          <w:rFonts w:hint="eastAsia" w:ascii="方正黑体_GBK" w:hAnsi="方正黑体_GBK" w:eastAsia="方正黑体_GBK" w:cs="方正黑体_GBK"/>
          <w:b w:val="0"/>
          <w:bCs/>
          <w:sz w:val="32"/>
          <w:szCs w:val="32"/>
          <w:shd w:val="clear" w:color="auto" w:fill="FFFFFF"/>
          <w:lang w:eastAsia="zh-CN"/>
        </w:rPr>
        <w:t>部门</w:t>
      </w:r>
      <w:r>
        <w:rPr>
          <w:rStyle w:val="10"/>
          <w:rFonts w:hint="eastAsia" w:ascii="方正黑体_GBK" w:hAnsi="方正黑体_GBK" w:eastAsia="方正黑体_GBK" w:cs="方正黑体_GBK"/>
          <w:b w:val="0"/>
          <w:bCs/>
          <w:sz w:val="32"/>
          <w:szCs w:val="32"/>
          <w:shd w:val="clear" w:color="auto" w:fill="FFFFFF"/>
        </w:rPr>
        <w:t>决算</w:t>
      </w:r>
      <w:r>
        <w:rPr>
          <w:rStyle w:val="10"/>
          <w:rFonts w:hint="eastAsia" w:ascii="方正黑体_GBK" w:hAnsi="方正黑体_GBK" w:eastAsia="方正黑体_GBK" w:cs="方正黑体_GBK"/>
          <w:b w:val="0"/>
          <w:bCs/>
          <w:sz w:val="32"/>
          <w:szCs w:val="32"/>
          <w:shd w:val="clear" w:color="auto" w:fill="FFFFFF"/>
          <w:lang w:eastAsia="zh-CN"/>
        </w:rPr>
        <w:t>收支</w:t>
      </w:r>
      <w:r>
        <w:rPr>
          <w:rStyle w:val="10"/>
          <w:rFonts w:hint="eastAsia" w:ascii="方正黑体_GBK" w:hAnsi="方正黑体_GBK" w:eastAsia="方正黑体_GBK" w:cs="方正黑体_GBK"/>
          <w:b w:val="0"/>
          <w:bCs/>
          <w:sz w:val="32"/>
          <w:szCs w:val="32"/>
          <w:shd w:val="clear" w:color="auto" w:fill="FFFFFF"/>
        </w:rPr>
        <w:t>情况说明</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（一）收入支出决算总体情况说明</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w:t>
      </w:r>
      <w:r>
        <w:rPr>
          <w:rFonts w:hint="eastAsia" w:ascii="方正仿宋_GBK" w:hAnsi="方正仿宋_GBK" w:eastAsia="方正仿宋_GBK" w:cs="方正仿宋_GBK"/>
          <w:b w:val="0"/>
          <w:bCs/>
          <w:sz w:val="32"/>
          <w:szCs w:val="32"/>
          <w:shd w:val="clear" w:color="auto" w:fill="FFFFFF"/>
          <w:lang w:eastAsia="zh-CN"/>
        </w:rPr>
        <w:t>、支</w:t>
      </w:r>
      <w:r>
        <w:rPr>
          <w:rFonts w:ascii="方正仿宋_GBK" w:hAnsi="方正仿宋_GBK" w:eastAsia="方正仿宋_GBK" w:cs="方正仿宋_GBK"/>
          <w:b w:val="0"/>
          <w:bCs/>
          <w:sz w:val="32"/>
          <w:szCs w:val="32"/>
          <w:shd w:val="clear" w:color="auto" w:fill="FFFFFF"/>
        </w:rPr>
        <w:t>总计</w:t>
      </w:r>
      <w:r>
        <w:rPr>
          <w:rFonts w:hint="eastAsia" w:ascii="方正仿宋_GBK" w:hAnsi="方正仿宋_GBK" w:eastAsia="方正仿宋_GBK" w:cs="方正仿宋_GBK"/>
          <w:b w:val="0"/>
          <w:bCs/>
          <w:sz w:val="32"/>
          <w:szCs w:val="32"/>
          <w:shd w:val="clear" w:color="auto" w:fill="FFFFFF"/>
          <w:lang w:eastAsia="zh-CN"/>
        </w:rPr>
        <w:t>均为</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收、支与2023年度相比，增加22.91万元，增长1.6%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因机构改革增加职能职责，招商引资、政务公开项目支出增加。</w:t>
      </w:r>
    </w:p>
    <w:p>
      <w:pPr>
        <w:pStyle w:val="6"/>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lang w:val="en-US" w:eastAsia="zh-CN"/>
        </w:rPr>
        <w:t>1</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年度收入合计</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与2023年度相比，增加22.91万元，增长1.6%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因机构改革增加职能职责，招商引资、政务公开项目支出增加。其中：财政拨款收入</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；事业收入</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万元，经营收入</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万元，其他收入</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万元。此外，</w:t>
      </w:r>
      <w:r>
        <w:rPr>
          <w:rFonts w:hint="eastAsia" w:ascii="方正仿宋_GBK" w:hAnsi="方正仿宋_GBK" w:eastAsia="方正仿宋_GBK" w:cs="方正仿宋_GBK"/>
          <w:b w:val="0"/>
          <w:bCs/>
          <w:sz w:val="32"/>
          <w:szCs w:val="32"/>
          <w:shd w:val="clear" w:color="auto" w:fill="FFFFFF"/>
        </w:rPr>
        <w:t>使用非财政拨款结余（含专用结余）</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万元，年初结转和结余</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rPr>
      </w:pPr>
      <w:r>
        <w:rPr>
          <w:rStyle w:val="10"/>
          <w:rFonts w:hint="eastAsia" w:ascii="Times New Roman" w:hAnsi="Times New Roman" w:eastAsia="方正仿宋_GBK"/>
          <w:b w:val="0"/>
          <w:bCs/>
          <w:sz w:val="32"/>
          <w:szCs w:val="32"/>
          <w:shd w:val="clear" w:color="auto" w:fill="FFFFFF"/>
          <w:lang w:val="en-US" w:eastAsia="zh-CN"/>
        </w:rPr>
        <w:t>2</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年度支出合计</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与2023年度相比，增加22.91万元，增长1.6%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因机构改革增加职能职责，招商引资、政务公开项目支出增加。其中：基本支出</w:t>
      </w:r>
      <w:r>
        <w:rPr>
          <w:rFonts w:hint="default" w:ascii="Times New Roman" w:hAnsi="Times New Roman" w:eastAsia="方正仿宋_GBK"/>
          <w:b w:val="0"/>
          <w:bCs/>
          <w:sz w:val="32"/>
          <w:szCs w:val="32"/>
          <w:shd w:val="clear" w:color="auto" w:fill="FFFFFF"/>
        </w:rPr>
        <w:t>1040.31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73.3%</w:t>
      </w:r>
      <w:r>
        <w:rPr>
          <w:rFonts w:ascii="方正仿宋_GBK" w:hAnsi="方正仿宋_GBK" w:eastAsia="方正仿宋_GBK" w:cs="方正仿宋_GBK"/>
          <w:b w:val="0"/>
          <w:bCs/>
          <w:sz w:val="32"/>
          <w:szCs w:val="32"/>
          <w:shd w:val="clear" w:color="auto" w:fill="FFFFFF"/>
        </w:rPr>
        <w:t>；项目支出</w:t>
      </w:r>
      <w:r>
        <w:rPr>
          <w:rFonts w:hint="default" w:ascii="Times New Roman" w:hAnsi="Times New Roman" w:eastAsia="方正仿宋_GBK"/>
          <w:b w:val="0"/>
          <w:bCs/>
          <w:sz w:val="32"/>
          <w:szCs w:val="32"/>
          <w:shd w:val="clear" w:color="auto" w:fill="FFFFFF"/>
        </w:rPr>
        <w:t>379.83</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26.8%</w:t>
      </w:r>
      <w:r>
        <w:rPr>
          <w:rFonts w:ascii="方正仿宋_GBK" w:hAnsi="方正仿宋_GBK" w:eastAsia="方正仿宋_GBK" w:cs="方正仿宋_GBK"/>
          <w:b w:val="0"/>
          <w:bCs/>
          <w:sz w:val="32"/>
          <w:szCs w:val="32"/>
          <w:shd w:val="clear" w:color="auto" w:fill="FFFFFF"/>
        </w:rPr>
        <w:t>；经营支出</w:t>
      </w:r>
      <w:r>
        <w:rPr>
          <w:rFonts w:hint="default" w:ascii="Times New Roman" w:hAnsi="Times New Roman" w:eastAsia="方正仿宋_GBK"/>
          <w:b w:val="0"/>
          <w:bCs/>
          <w:sz w:val="32"/>
          <w:szCs w:val="32"/>
        </w:rPr>
        <w:t>0</w:t>
      </w:r>
      <w:r>
        <w:rPr>
          <w:rFonts w:ascii="方正仿宋_GBK" w:hAnsi="方正仿宋_GBK" w:eastAsia="方正仿宋_GBK" w:cs="方正仿宋_GBK"/>
          <w:b w:val="0"/>
          <w:bCs/>
          <w:sz w:val="32"/>
          <w:szCs w:val="32"/>
          <w:shd w:val="clear" w:color="auto" w:fill="FFFFFF"/>
        </w:rPr>
        <w:t>万元。此外，结余分配</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sz w:val="32"/>
          <w:szCs w:val="32"/>
          <w:lang w:eastAsia="zh-CN"/>
        </w:rPr>
      </w:pPr>
      <w:r>
        <w:rPr>
          <w:rStyle w:val="10"/>
          <w:rFonts w:hint="eastAsia" w:ascii="Times New Roman" w:hAnsi="Times New Roman" w:eastAsia="方正仿宋_GBK"/>
          <w:b w:val="0"/>
          <w:bCs/>
          <w:sz w:val="32"/>
          <w:szCs w:val="32"/>
          <w:shd w:val="clear" w:color="auto" w:fill="FFFFFF"/>
          <w:lang w:val="en-US" w:eastAsia="zh-CN"/>
        </w:rPr>
        <w:t>3</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年度年末结转和结余</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（二）财政拨款收入支出决算总体情况说明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年度财政拨款收、支总计均为</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万元。与</w:t>
      </w:r>
      <w:r>
        <w:rPr>
          <w:rFonts w:hint="default" w:ascii="Times New Roman" w:hAnsi="Times New Roman" w:eastAsia="方正仿宋_GBK"/>
          <w:b w:val="0"/>
          <w:bCs/>
          <w:sz w:val="32"/>
          <w:szCs w:val="32"/>
          <w:shd w:val="clear" w:color="auto" w:fill="FFFFFF"/>
        </w:rPr>
        <w:t>2023</w:t>
      </w:r>
      <w:r>
        <w:rPr>
          <w:rFonts w:ascii="方正仿宋_GBK" w:hAnsi="方正仿宋_GBK" w:eastAsia="方正仿宋_GBK" w:cs="方正仿宋_GBK"/>
          <w:b w:val="0"/>
          <w:bCs/>
          <w:sz w:val="32"/>
          <w:szCs w:val="32"/>
          <w:shd w:val="clear" w:color="auto" w:fill="FFFFFF"/>
        </w:rPr>
        <w:t>年</w:t>
      </w:r>
      <w:r>
        <w:rPr>
          <w:rFonts w:hint="eastAsia" w:ascii="方正仿宋_GBK" w:hAnsi="方正仿宋_GBK" w:eastAsia="方正仿宋_GBK" w:cs="方正仿宋_GBK"/>
          <w:b w:val="0"/>
          <w:bCs/>
          <w:sz w:val="32"/>
          <w:szCs w:val="32"/>
          <w:shd w:val="clear" w:color="auto" w:fill="FFFFFF"/>
          <w:lang w:eastAsia="zh-CN"/>
        </w:rPr>
        <w:t>度</w:t>
      </w:r>
      <w:r>
        <w:rPr>
          <w:rFonts w:ascii="方正仿宋_GBK" w:hAnsi="方正仿宋_GBK" w:eastAsia="方正仿宋_GBK" w:cs="方正仿宋_GBK"/>
          <w:b w:val="0"/>
          <w:bCs/>
          <w:sz w:val="32"/>
          <w:szCs w:val="32"/>
          <w:shd w:val="clear" w:color="auto" w:fill="FFFFFF"/>
        </w:rPr>
        <w:t>相比，</w:t>
      </w:r>
      <w:r>
        <w:rPr>
          <w:rFonts w:hint="default" w:ascii="Times New Roman" w:hAnsi="Times New Roman" w:eastAsia="方正仿宋_GBK"/>
          <w:b w:val="0"/>
          <w:bCs/>
          <w:sz w:val="32"/>
          <w:szCs w:val="32"/>
          <w:shd w:val="clear" w:color="auto" w:fill="FFFFFF"/>
        </w:rPr>
        <w:t>财政拨款收、支总计各增加22.91万元，增长1.6%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因机构改革增加职能职责，招商引资、政务公开项目支出增加。</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（三）一般公共预算财政拨款收入支出决算情况说明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Style w:val="10"/>
          <w:rFonts w:hint="default" w:ascii="Times New Roman" w:hAnsi="Times New Roman" w:eastAsia="方正仿宋_GBK"/>
          <w:b w:val="0"/>
          <w:bCs/>
          <w:sz w:val="32"/>
          <w:szCs w:val="32"/>
          <w:shd w:val="clear" w:color="auto" w:fill="FFFFFF"/>
        </w:rPr>
        <w:t>1</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ascii="方正仿宋_GBK" w:hAnsi="方正仿宋_GBK" w:eastAsia="方正仿宋_GBK" w:cs="方正仿宋_GBK"/>
          <w:b w:val="0"/>
          <w:bCs/>
          <w:sz w:val="32"/>
          <w:szCs w:val="32"/>
          <w:shd w:val="clear" w:color="auto" w:fill="FFFFFF"/>
        </w:rPr>
        <w:t>收入情况。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年度一般公共预算财政拨款收入</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与2023年度相比，增加22.91万元，增长1.6%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因机构改革增加职能职责，招商引资、政务公开项目支出增加。</w:t>
      </w:r>
      <w:r>
        <w:rPr>
          <w:rFonts w:hint="default" w:ascii="Times New Roman" w:hAnsi="Times New Roman" w:eastAsia="方正仿宋_GBK"/>
          <w:b w:val="0"/>
          <w:bCs/>
          <w:sz w:val="32"/>
          <w:szCs w:val="32"/>
          <w:shd w:val="clear" w:color="auto" w:fill="FFFFFF"/>
        </w:rPr>
        <w:t>较年初预算数减少171.40万元，下降10.8%</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：一</w:t>
      </w:r>
      <w:r>
        <w:rPr>
          <w:rFonts w:ascii="方正仿宋_GBK" w:hAnsi="方正仿宋_GBK" w:eastAsia="方正仿宋_GBK" w:cs="方正仿宋_GBK"/>
          <w:b w:val="0"/>
          <w:bCs/>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eastAsia="zh-CN"/>
        </w:rPr>
        <w:t>基本支出减少，</w:t>
      </w:r>
      <w:r>
        <w:rPr>
          <w:rFonts w:hint="default" w:ascii="Times New Roman" w:hAnsi="Times New Roman" w:eastAsia="方正仿宋_GBK" w:cs="Times New Roman"/>
          <w:b w:val="0"/>
          <w:bCs/>
          <w:color w:val="auto"/>
          <w:sz w:val="32"/>
          <w:szCs w:val="32"/>
          <w:shd w:val="clear" w:color="auto" w:fill="FFFFFF"/>
          <w:lang w:val="en-US" w:eastAsia="zh-CN"/>
        </w:rPr>
        <w:t>2023年底退休3</w:t>
      </w:r>
      <w:r>
        <w:rPr>
          <w:rFonts w:hint="eastAsia" w:ascii="方正仿宋_GBK" w:hAnsi="方正仿宋_GBK" w:eastAsia="方正仿宋_GBK" w:cs="方正仿宋_GBK"/>
          <w:b w:val="0"/>
          <w:bCs/>
          <w:color w:val="auto"/>
          <w:sz w:val="32"/>
          <w:szCs w:val="32"/>
          <w:shd w:val="clear" w:color="auto" w:fill="FFFFFF"/>
          <w:lang w:val="en-US" w:eastAsia="zh-CN"/>
        </w:rPr>
        <w:t>人，新进人员工资相对较低，人员支出减少，</w:t>
      </w:r>
      <w:r>
        <w:rPr>
          <w:rFonts w:hint="eastAsia" w:ascii="Times New Roman" w:hAnsi="Times New Roman" w:eastAsia="方正仿宋_GBK" w:cs="Times New Roman"/>
          <w:b w:val="0"/>
          <w:bCs/>
          <w:sz w:val="32"/>
          <w:szCs w:val="32"/>
          <w:lang w:val="en-US" w:eastAsia="zh-CN"/>
        </w:rPr>
        <w:t>二是区财政收回2024年</w:t>
      </w:r>
      <w:r>
        <w:rPr>
          <w:rFonts w:hint="eastAsia" w:ascii="Times New Roman" w:hAnsi="Times New Roman" w:eastAsia="方正仿宋_GBK" w:cs="Times New Roman"/>
          <w:b w:val="0"/>
          <w:bCs/>
          <w:spacing w:val="-6"/>
          <w:sz w:val="32"/>
          <w:szCs w:val="32"/>
          <w:lang w:val="en-US" w:eastAsia="zh-CN"/>
        </w:rPr>
        <w:t>度项目预算指标60.28万元。</w:t>
      </w:r>
      <w:r>
        <w:rPr>
          <w:rFonts w:ascii="方正仿宋_GBK" w:hAnsi="方正仿宋_GBK" w:eastAsia="方正仿宋_GBK" w:cs="方正仿宋_GBK"/>
          <w:b w:val="0"/>
          <w:bCs/>
          <w:sz w:val="32"/>
          <w:szCs w:val="32"/>
          <w:shd w:val="clear" w:color="auto" w:fill="FFFFFF"/>
        </w:rPr>
        <w:t>此外，年初财政拨款结转和结余</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Style w:val="10"/>
          <w:rFonts w:hint="default" w:ascii="Times New Roman" w:hAnsi="Times New Roman" w:eastAsia="方正仿宋_GBK"/>
          <w:b w:val="0"/>
          <w:bCs/>
          <w:sz w:val="32"/>
          <w:szCs w:val="32"/>
          <w:shd w:val="clear" w:color="auto" w:fill="FFFFFF"/>
        </w:rPr>
        <w:t>2</w:t>
      </w:r>
      <w:r>
        <w:rPr>
          <w:rStyle w:val="10"/>
          <w:rFonts w:hint="eastAsia" w:ascii="方正仿宋_GBK" w:hAnsi="方正仿宋_GBK" w:eastAsia="方正仿宋_GBK" w:cs="方正仿宋_GBK"/>
          <w:b w:val="0"/>
          <w:bCs/>
          <w:sz w:val="32"/>
          <w:szCs w:val="32"/>
          <w:shd w:val="clear" w:color="auto" w:fill="FFFFFF"/>
          <w:lang w:eastAsia="zh-CN"/>
        </w:rPr>
        <w:t>．</w:t>
      </w:r>
      <w:r>
        <w:rPr>
          <w:rStyle w:val="10"/>
          <w:rFonts w:ascii="方正仿宋_GBK" w:hAnsi="方正仿宋_GBK" w:eastAsia="方正仿宋_GBK" w:cs="方正仿宋_GBK"/>
          <w:b w:val="0"/>
          <w:bCs/>
          <w:sz w:val="32"/>
          <w:szCs w:val="32"/>
          <w:shd w:val="clear" w:color="auto" w:fill="FFFFFF"/>
        </w:rPr>
        <w:t>支出情况。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年度一般公共预算财政拨款支出</w:t>
      </w:r>
      <w:r>
        <w:rPr>
          <w:rFonts w:hint="default" w:ascii="Times New Roman" w:hAnsi="Times New Roman" w:eastAsia="方正仿宋_GBK"/>
          <w:b w:val="0"/>
          <w:bCs/>
          <w:sz w:val="32"/>
          <w:szCs w:val="32"/>
          <w:shd w:val="clear" w:color="auto" w:fill="FFFFFF"/>
        </w:rPr>
        <w:t>1420.14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与2023年度相比，增加22.91万元，增长1.6%</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因机构改革增加职能职责，招商引资、政务公开项目支出增加。</w:t>
      </w:r>
      <w:r>
        <w:rPr>
          <w:rFonts w:hint="default" w:ascii="Times New Roman" w:hAnsi="Times New Roman" w:eastAsia="方正仿宋_GBK"/>
          <w:b w:val="0"/>
          <w:bCs/>
          <w:sz w:val="32"/>
          <w:szCs w:val="32"/>
          <w:shd w:val="clear" w:color="auto" w:fill="FFFFFF"/>
        </w:rPr>
        <w:t>较年初预算数减少171.40万元，下降10.8%</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：一</w:t>
      </w:r>
      <w:r>
        <w:rPr>
          <w:rFonts w:ascii="方正仿宋_GBK" w:hAnsi="方正仿宋_GBK" w:eastAsia="方正仿宋_GBK" w:cs="方正仿宋_GBK"/>
          <w:b w:val="0"/>
          <w:bCs/>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eastAsia="zh-CN"/>
        </w:rPr>
        <w:t>基本支出</w:t>
      </w:r>
      <w:r>
        <w:rPr>
          <w:rFonts w:hint="default" w:ascii="Times New Roman" w:hAnsi="Times New Roman" w:eastAsia="方正仿宋_GBK" w:cs="Times New Roman"/>
          <w:b w:val="0"/>
          <w:bCs/>
          <w:color w:val="auto"/>
          <w:sz w:val="32"/>
          <w:szCs w:val="32"/>
          <w:shd w:val="clear" w:color="auto" w:fill="FFFFFF"/>
          <w:lang w:eastAsia="zh-CN"/>
        </w:rPr>
        <w:t>减少，</w:t>
      </w:r>
      <w:r>
        <w:rPr>
          <w:rFonts w:hint="default" w:ascii="Times New Roman" w:hAnsi="Times New Roman" w:eastAsia="方正仿宋_GBK" w:cs="Times New Roman"/>
          <w:b w:val="0"/>
          <w:bCs/>
          <w:color w:val="auto"/>
          <w:sz w:val="32"/>
          <w:szCs w:val="32"/>
          <w:shd w:val="clear" w:color="auto" w:fill="FFFFFF"/>
          <w:lang w:val="en-US" w:eastAsia="zh-CN"/>
        </w:rPr>
        <w:t>2023年底退休3人，新进</w:t>
      </w:r>
      <w:r>
        <w:rPr>
          <w:rFonts w:hint="eastAsia" w:ascii="方正仿宋_GBK" w:hAnsi="方正仿宋_GBK" w:eastAsia="方正仿宋_GBK" w:cs="方正仿宋_GBK"/>
          <w:b w:val="0"/>
          <w:bCs/>
          <w:color w:val="auto"/>
          <w:sz w:val="32"/>
          <w:szCs w:val="32"/>
          <w:shd w:val="clear" w:color="auto" w:fill="FFFFFF"/>
          <w:lang w:val="en-US" w:eastAsia="zh-CN"/>
        </w:rPr>
        <w:t>人员工资相对较低，人员支出减少，</w:t>
      </w:r>
      <w:r>
        <w:rPr>
          <w:rFonts w:hint="eastAsia" w:ascii="Times New Roman" w:hAnsi="Times New Roman" w:eastAsia="方正仿宋_GBK" w:cs="Times New Roman"/>
          <w:b w:val="0"/>
          <w:bCs/>
          <w:sz w:val="32"/>
          <w:szCs w:val="32"/>
          <w:lang w:val="en-US" w:eastAsia="zh-CN"/>
        </w:rPr>
        <w:t>二是区财政收回2024年</w:t>
      </w:r>
      <w:r>
        <w:rPr>
          <w:rFonts w:hint="eastAsia" w:ascii="Times New Roman" w:hAnsi="Times New Roman" w:eastAsia="方正仿宋_GBK" w:cs="Times New Roman"/>
          <w:b w:val="0"/>
          <w:bCs/>
          <w:spacing w:val="-6"/>
          <w:sz w:val="32"/>
          <w:szCs w:val="32"/>
          <w:lang w:val="en-US" w:eastAsia="zh-CN"/>
        </w:rPr>
        <w:t>度项目预算指标60.28万元。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b w:val="0"/>
          <w:bCs/>
          <w:sz w:val="32"/>
          <w:szCs w:val="32"/>
          <w:highlight w:val="none"/>
          <w:shd w:val="clear" w:color="auto" w:fill="FFFFFF"/>
        </w:rPr>
      </w:pPr>
      <w:r>
        <w:rPr>
          <w:rFonts w:ascii="方正仿宋_GBK" w:hAnsi="方正仿宋_GBK" w:eastAsia="方正仿宋_GBK" w:cs="方正仿宋_GBK"/>
          <w:b w:val="0"/>
          <w:bCs/>
          <w:sz w:val="32"/>
          <w:szCs w:val="32"/>
          <w:highlight w:val="none"/>
          <w:shd w:val="clear" w:color="auto" w:fill="FFFFFF"/>
        </w:rPr>
        <w:t>一般公共预算财政拨款支出主要</w:t>
      </w:r>
      <w:r>
        <w:rPr>
          <w:rFonts w:hint="eastAsia" w:ascii="方正仿宋_GBK" w:hAnsi="方正仿宋_GBK" w:eastAsia="方正仿宋_GBK" w:cs="方正仿宋_GBK"/>
          <w:b w:val="0"/>
          <w:bCs/>
          <w:sz w:val="32"/>
          <w:szCs w:val="32"/>
          <w:highlight w:val="none"/>
          <w:shd w:val="clear" w:color="auto" w:fill="FFFFFF"/>
          <w:lang w:eastAsia="zh-CN"/>
        </w:rPr>
        <w:t>用途如下</w:t>
      </w:r>
      <w:r>
        <w:rPr>
          <w:rFonts w:ascii="方正仿宋_GBK" w:hAnsi="方正仿宋_GBK" w:eastAsia="方正仿宋_GBK" w:cs="方正仿宋_GBK"/>
          <w:b w:val="0"/>
          <w:bCs/>
          <w:sz w:val="32"/>
          <w:szCs w:val="32"/>
          <w:highlight w:val="none"/>
          <w:shd w:val="clear" w:color="auto" w:fill="FFFFFF"/>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）一般公共服务支出</w:t>
      </w:r>
      <w:r>
        <w:rPr>
          <w:rFonts w:hint="default" w:ascii="Times New Roman" w:hAnsi="Times New Roman" w:eastAsia="方正仿宋_GBK"/>
          <w:b w:val="0"/>
          <w:bCs/>
          <w:sz w:val="32"/>
          <w:szCs w:val="32"/>
          <w:shd w:val="clear" w:color="auto" w:fill="FFFFFF"/>
        </w:rPr>
        <w:t>1114.11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78.5%</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较年初预算数减少158.34万元，下降12.4%</w:t>
      </w:r>
      <w:r>
        <w:rPr>
          <w:rFonts w:ascii="方正仿宋_GBK" w:hAnsi="方正仿宋_GBK" w:eastAsia="方正仿宋_GBK" w:cs="方正仿宋_GBK"/>
          <w:b w:val="0"/>
          <w:bCs/>
          <w:sz w:val="32"/>
          <w:szCs w:val="32"/>
          <w:shd w:val="clear" w:color="auto" w:fill="FFFFFF"/>
        </w:rPr>
        <w:t>，主要原因</w:t>
      </w:r>
      <w:r>
        <w:rPr>
          <w:rFonts w:hint="eastAsia" w:ascii="方正仿宋_GBK" w:hAnsi="方正仿宋_GBK" w:eastAsia="方正仿宋_GBK" w:cs="方正仿宋_GBK"/>
          <w:b w:val="0"/>
          <w:bCs/>
          <w:sz w:val="32"/>
          <w:szCs w:val="32"/>
          <w:shd w:val="clear" w:color="auto" w:fill="FFFFFF"/>
          <w:lang w:eastAsia="zh-CN"/>
        </w:rPr>
        <w:t>：一</w:t>
      </w:r>
      <w:r>
        <w:rPr>
          <w:rFonts w:ascii="方正仿宋_GBK" w:hAnsi="方正仿宋_GBK" w:eastAsia="方正仿宋_GBK" w:cs="方正仿宋_GBK"/>
          <w:b w:val="0"/>
          <w:bCs/>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eastAsia="zh-CN"/>
        </w:rPr>
        <w:t>基本支出减少，</w:t>
      </w:r>
      <w:r>
        <w:rPr>
          <w:rFonts w:hint="default" w:ascii="Times New Roman" w:hAnsi="Times New Roman" w:eastAsia="方正仿宋_GBK" w:cs="Times New Roman"/>
          <w:b w:val="0"/>
          <w:bCs/>
          <w:color w:val="auto"/>
          <w:sz w:val="32"/>
          <w:szCs w:val="32"/>
          <w:shd w:val="clear" w:color="auto" w:fill="FFFFFF"/>
          <w:lang w:val="en-US" w:eastAsia="zh-CN"/>
        </w:rPr>
        <w:t>2023年底退休3人，新</w:t>
      </w:r>
      <w:r>
        <w:rPr>
          <w:rFonts w:hint="eastAsia" w:ascii="方正仿宋_GBK" w:hAnsi="方正仿宋_GBK" w:eastAsia="方正仿宋_GBK" w:cs="方正仿宋_GBK"/>
          <w:b w:val="0"/>
          <w:bCs/>
          <w:color w:val="auto"/>
          <w:sz w:val="32"/>
          <w:szCs w:val="32"/>
          <w:shd w:val="clear" w:color="auto" w:fill="FFFFFF"/>
          <w:lang w:val="en-US" w:eastAsia="zh-CN"/>
        </w:rPr>
        <w:t>进人员工资相对较低，人员支出减少；</w:t>
      </w:r>
      <w:r>
        <w:rPr>
          <w:rFonts w:hint="eastAsia" w:ascii="Times New Roman" w:hAnsi="Times New Roman" w:eastAsia="方正仿宋_GBK" w:cs="Times New Roman"/>
          <w:b w:val="0"/>
          <w:bCs/>
          <w:sz w:val="32"/>
          <w:szCs w:val="32"/>
          <w:lang w:val="en-US" w:eastAsia="zh-CN"/>
        </w:rPr>
        <w:t>二是区财政收回2024年</w:t>
      </w:r>
      <w:r>
        <w:rPr>
          <w:rFonts w:hint="eastAsia" w:ascii="Times New Roman" w:hAnsi="Times New Roman" w:eastAsia="方正仿宋_GBK" w:cs="Times New Roman"/>
          <w:b w:val="0"/>
          <w:bCs/>
          <w:spacing w:val="-6"/>
          <w:sz w:val="32"/>
          <w:szCs w:val="32"/>
          <w:lang w:val="en-US" w:eastAsia="zh-CN"/>
        </w:rPr>
        <w:t>度项目预算指标60.28万元。</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2</w:t>
      </w:r>
      <w:r>
        <w:rPr>
          <w:rFonts w:ascii="方正仿宋_GBK" w:hAnsi="方正仿宋_GBK" w:eastAsia="方正仿宋_GBK" w:cs="方正仿宋_GBK"/>
          <w:b w:val="0"/>
          <w:bCs/>
          <w:sz w:val="32"/>
          <w:szCs w:val="32"/>
          <w:shd w:val="clear" w:color="auto" w:fill="FFFFFF"/>
        </w:rPr>
        <w:t>）社会保障</w:t>
      </w:r>
      <w:r>
        <w:rPr>
          <w:rFonts w:hint="eastAsia" w:ascii="方正仿宋_GBK" w:hAnsi="方正仿宋_GBK" w:eastAsia="方正仿宋_GBK" w:cs="方正仿宋_GBK"/>
          <w:b w:val="0"/>
          <w:bCs/>
          <w:sz w:val="32"/>
          <w:szCs w:val="32"/>
          <w:shd w:val="clear" w:color="auto" w:fill="FFFFFF"/>
          <w:lang w:eastAsia="zh-CN"/>
        </w:rPr>
        <w:t>和</w:t>
      </w:r>
      <w:r>
        <w:rPr>
          <w:rFonts w:ascii="方正仿宋_GBK" w:hAnsi="方正仿宋_GBK" w:eastAsia="方正仿宋_GBK" w:cs="方正仿宋_GBK"/>
          <w:b w:val="0"/>
          <w:bCs/>
          <w:sz w:val="32"/>
          <w:szCs w:val="32"/>
          <w:shd w:val="clear" w:color="auto" w:fill="FFFFFF"/>
        </w:rPr>
        <w:t>就业支出</w:t>
      </w:r>
      <w:r>
        <w:rPr>
          <w:rFonts w:hint="default" w:ascii="Times New Roman" w:hAnsi="Times New Roman" w:eastAsia="方正仿宋_GBK"/>
          <w:b w:val="0"/>
          <w:bCs/>
          <w:sz w:val="32"/>
          <w:szCs w:val="32"/>
          <w:shd w:val="clear" w:color="auto" w:fill="FFFFFF"/>
        </w:rPr>
        <w:t>187.85</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13.2%</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较年初预算数减少2.72万元，下降1.4%</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color w:val="auto"/>
          <w:sz w:val="32"/>
          <w:szCs w:val="32"/>
          <w:shd w:val="clear" w:color="auto" w:fill="FFFFFF"/>
          <w:lang w:val="en-US" w:eastAsia="zh-CN"/>
        </w:rPr>
        <w:t>2023年底退休3人，新进人员工资相对较低，人员支出减少。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3</w:t>
      </w:r>
      <w:r>
        <w:rPr>
          <w:rFonts w:ascii="方正仿宋_GBK" w:hAnsi="方正仿宋_GBK" w:eastAsia="方正仿宋_GBK" w:cs="方正仿宋_GBK"/>
          <w:b w:val="0"/>
          <w:bCs/>
          <w:sz w:val="32"/>
          <w:szCs w:val="32"/>
          <w:shd w:val="clear" w:color="auto" w:fill="FFFFFF"/>
        </w:rPr>
        <w:t>）卫生健康支出</w:t>
      </w:r>
      <w:r>
        <w:rPr>
          <w:rFonts w:hint="default" w:ascii="Times New Roman" w:hAnsi="Times New Roman" w:eastAsia="方正仿宋_GBK"/>
          <w:b w:val="0"/>
          <w:bCs/>
          <w:sz w:val="32"/>
          <w:szCs w:val="32"/>
          <w:shd w:val="clear" w:color="auto" w:fill="FFFFFF"/>
        </w:rPr>
        <w:t>53.57</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3.8%</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较年初预算数减少4.21万元，下降7.3%</w:t>
      </w:r>
      <w:r>
        <w:rPr>
          <w:rFonts w:ascii="方正仿宋_GBK" w:hAnsi="方正仿宋_GBK" w:eastAsia="方正仿宋_GBK" w:cs="方正仿宋_GBK"/>
          <w:b w:val="0"/>
          <w:bCs/>
          <w:sz w:val="32"/>
          <w:szCs w:val="32"/>
          <w:shd w:val="clear" w:color="auto" w:fill="FFFFFF"/>
        </w:rPr>
        <w:t>，主要原因</w:t>
      </w:r>
      <w:r>
        <w:rPr>
          <w:rFonts w:hint="default" w:ascii="Times New Roman" w:hAnsi="Times New Roman" w:eastAsia="方正仿宋_GBK" w:cs="Times New Roman"/>
          <w:b w:val="0"/>
          <w:bCs/>
          <w:sz w:val="32"/>
          <w:szCs w:val="32"/>
          <w:shd w:val="clear" w:color="auto" w:fill="FFFFFF"/>
        </w:rPr>
        <w:t>是</w:t>
      </w:r>
      <w:r>
        <w:rPr>
          <w:rFonts w:hint="default" w:ascii="Times New Roman" w:hAnsi="Times New Roman" w:eastAsia="方正仿宋_GBK" w:cs="Times New Roman"/>
          <w:b w:val="0"/>
          <w:bCs/>
          <w:color w:val="auto"/>
          <w:sz w:val="32"/>
          <w:szCs w:val="32"/>
          <w:shd w:val="clear" w:color="auto" w:fill="FFFFFF"/>
          <w:lang w:val="en-US" w:eastAsia="zh-CN"/>
        </w:rPr>
        <w:t>2023年底退休3人，新</w:t>
      </w:r>
      <w:r>
        <w:rPr>
          <w:rFonts w:hint="eastAsia" w:ascii="方正仿宋_GBK" w:hAnsi="方正仿宋_GBK" w:eastAsia="方正仿宋_GBK" w:cs="方正仿宋_GBK"/>
          <w:b w:val="0"/>
          <w:bCs/>
          <w:color w:val="auto"/>
          <w:sz w:val="32"/>
          <w:szCs w:val="32"/>
          <w:shd w:val="clear" w:color="auto" w:fill="FFFFFF"/>
          <w:lang w:val="en-US" w:eastAsia="zh-CN"/>
        </w:rPr>
        <w:t>进人员工资相对较低，人员支出减少。</w:t>
      </w:r>
    </w:p>
    <w:p>
      <w:pPr>
        <w:keepNext w:val="0"/>
        <w:keepLines w:val="0"/>
        <w:pageBreakBefore w:val="0"/>
        <w:widowControl/>
        <w:kinsoku/>
        <w:wordWrap/>
        <w:overflowPunct/>
        <w:topLinePunct w:val="0"/>
        <w:autoSpaceDN/>
        <w:bidi w:val="0"/>
        <w:adjustRightInd/>
        <w:spacing w:line="576" w:lineRule="exact"/>
        <w:ind w:firstLine="640" w:firstLineChars="200"/>
        <w:jc w:val="both"/>
        <w:textAlignment w:val="auto"/>
        <w:rPr>
          <w:rFonts w:hint="default"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b w:val="0"/>
          <w:bCs/>
          <w:sz w:val="32"/>
          <w:szCs w:val="32"/>
          <w:shd w:val="clear" w:color="auto" w:fill="FFFFFF"/>
          <w:lang w:val="en-US" w:eastAsia="zh-CN"/>
        </w:rPr>
        <w:t>4</w:t>
      </w:r>
      <w:r>
        <w:rPr>
          <w:rFonts w:ascii="方正仿宋_GBK" w:hAnsi="方正仿宋_GBK" w:eastAsia="方正仿宋_GBK" w:cs="方正仿宋_GBK"/>
          <w:b w:val="0"/>
          <w:bCs/>
          <w:sz w:val="32"/>
          <w:szCs w:val="32"/>
          <w:shd w:val="clear" w:color="auto" w:fill="FFFFFF"/>
        </w:rPr>
        <w:t>）</w:t>
      </w:r>
      <w:r>
        <w:rPr>
          <w:rFonts w:ascii="方正仿宋_GBK" w:hAnsi="方正仿宋_GBK" w:eastAsia="方正仿宋_GBK" w:cs="方正仿宋_GBK"/>
          <w:b w:val="0"/>
          <w:bCs/>
          <w:sz w:val="32"/>
          <w:szCs w:val="32"/>
        </w:rPr>
        <w:t>住房保障支出</w:t>
      </w:r>
      <w:r>
        <w:rPr>
          <w:rFonts w:hint="default" w:ascii="Times New Roman" w:hAnsi="Times New Roman" w:eastAsia="方正仿宋_GBK"/>
          <w:b w:val="0"/>
          <w:bCs/>
          <w:sz w:val="32"/>
          <w:szCs w:val="32"/>
          <w:shd w:val="clear" w:color="auto" w:fill="FFFFFF"/>
        </w:rPr>
        <w:t>64.61</w:t>
      </w:r>
      <w:r>
        <w:rPr>
          <w:rFonts w:ascii="方正仿宋_GBK" w:hAnsi="方正仿宋_GBK" w:eastAsia="方正仿宋_GBK" w:cs="方正仿宋_GBK"/>
          <w:b w:val="0"/>
          <w:bCs/>
          <w:sz w:val="32"/>
          <w:szCs w:val="32"/>
          <w:shd w:val="clear" w:color="auto" w:fill="FFFFFF"/>
        </w:rPr>
        <w:t>万元，占</w:t>
      </w:r>
      <w:r>
        <w:rPr>
          <w:rFonts w:hint="default" w:ascii="Times New Roman" w:hAnsi="Times New Roman" w:eastAsia="方正仿宋_GBK"/>
          <w:b w:val="0"/>
          <w:bCs/>
          <w:sz w:val="32"/>
          <w:szCs w:val="32"/>
          <w:shd w:val="clear" w:color="auto" w:fill="FFFFFF"/>
        </w:rPr>
        <w:t>4.6%</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较年初预算数减少6.13万元，下降8.7%</w:t>
      </w:r>
      <w:r>
        <w:rPr>
          <w:rFonts w:ascii="方正仿宋_GBK" w:hAnsi="方正仿宋_GBK" w:eastAsia="方正仿宋_GBK" w:cs="方正仿宋_GBK"/>
          <w:b w:val="0"/>
          <w:bCs/>
          <w:sz w:val="32"/>
          <w:szCs w:val="32"/>
          <w:shd w:val="clear" w:color="auto" w:fill="FFFFFF"/>
        </w:rPr>
        <w:t>，主要</w:t>
      </w:r>
      <w:r>
        <w:rPr>
          <w:rFonts w:hint="default" w:ascii="Times New Roman" w:hAnsi="Times New Roman" w:eastAsia="方正仿宋_GBK" w:cs="Times New Roman"/>
          <w:b w:val="0"/>
          <w:bCs/>
          <w:sz w:val="32"/>
          <w:szCs w:val="32"/>
          <w:shd w:val="clear" w:color="auto" w:fill="FFFFFF"/>
        </w:rPr>
        <w:t>原因是</w:t>
      </w:r>
      <w:r>
        <w:rPr>
          <w:rFonts w:hint="default" w:ascii="Times New Roman" w:hAnsi="Times New Roman" w:eastAsia="方正仿宋_GBK" w:cs="Times New Roman"/>
          <w:b w:val="0"/>
          <w:bCs/>
          <w:color w:val="auto"/>
          <w:sz w:val="32"/>
          <w:szCs w:val="32"/>
          <w:shd w:val="clear" w:color="auto" w:fill="FFFFFF"/>
          <w:lang w:val="en-US" w:eastAsia="zh-CN"/>
        </w:rPr>
        <w:t>2023年底退休3人</w:t>
      </w:r>
      <w:r>
        <w:rPr>
          <w:rFonts w:hint="eastAsia" w:ascii="方正仿宋_GBK" w:hAnsi="方正仿宋_GBK" w:eastAsia="方正仿宋_GBK" w:cs="方正仿宋_GBK"/>
          <w:b w:val="0"/>
          <w:bCs/>
          <w:color w:val="auto"/>
          <w:sz w:val="32"/>
          <w:szCs w:val="32"/>
          <w:shd w:val="clear" w:color="auto" w:fill="FFFFFF"/>
          <w:lang w:val="en-US" w:eastAsia="zh-CN"/>
        </w:rPr>
        <w:t>，新进人员工资相对较低，人员支出减少。</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Style w:val="10"/>
          <w:rFonts w:hint="default" w:ascii="Times New Roman" w:hAnsi="Times New Roman" w:eastAsia="方正仿宋_GBK"/>
          <w:b w:val="0"/>
          <w:bCs/>
          <w:sz w:val="32"/>
          <w:szCs w:val="32"/>
          <w:shd w:val="clear" w:color="auto" w:fill="FFFFFF"/>
        </w:rPr>
        <w:t>3</w:t>
      </w:r>
      <w:r>
        <w:rPr>
          <w:rStyle w:val="10"/>
          <w:rFonts w:ascii="方正仿宋_GBK" w:hAnsi="方正仿宋_GBK" w:eastAsia="方正仿宋_GBK" w:cs="方正仿宋_GBK"/>
          <w:b w:val="0"/>
          <w:bCs/>
          <w:sz w:val="32"/>
          <w:szCs w:val="32"/>
          <w:shd w:val="clear" w:color="auto" w:fill="FFFFFF"/>
        </w:rPr>
        <w:t>.结转结余情况。</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年度年末一般公共预算财政拨款结转和结余</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与2023年度相比，无增减</w:t>
      </w:r>
      <w:r>
        <w:rPr>
          <w:rFonts w:hint="eastAsia" w:ascii="方正仿宋_GBK" w:hAnsi="方正仿宋_GBK" w:eastAsia="方正仿宋_GBK" w:cs="方正仿宋_GBK"/>
          <w:b w:val="0"/>
          <w:bCs/>
          <w:sz w:val="32"/>
          <w:szCs w:val="32"/>
          <w:shd w:val="clear" w:color="auto" w:fill="FFFFFF"/>
          <w:lang w:eastAsia="zh-CN"/>
        </w:rPr>
        <w:t>。</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（四）一般公共预算财政拨款基本支出决算情况说明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b w:val="0"/>
          <w:bCs/>
          <w:sz w:val="32"/>
          <w:szCs w:val="32"/>
          <w:shd w:val="clear" w:color="auto" w:fill="FFFFFF"/>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年度一般公共财政拨款基本支出</w:t>
      </w:r>
      <w:r>
        <w:rPr>
          <w:rFonts w:hint="default" w:ascii="Times New Roman" w:hAnsi="Times New Roman" w:eastAsia="方正仿宋_GBK"/>
          <w:b w:val="0"/>
          <w:bCs/>
          <w:sz w:val="32"/>
          <w:szCs w:val="32"/>
          <w:shd w:val="clear" w:color="auto" w:fill="FFFFFF"/>
        </w:rPr>
        <w:t>1040.31</w:t>
      </w:r>
      <w:r>
        <w:rPr>
          <w:rFonts w:ascii="方正仿宋_GBK" w:hAnsi="方正仿宋_GBK" w:eastAsia="方正仿宋_GBK" w:cs="方正仿宋_GBK"/>
          <w:b w:val="0"/>
          <w:bCs/>
          <w:sz w:val="32"/>
          <w:szCs w:val="32"/>
          <w:shd w:val="clear" w:color="auto" w:fill="FFFFFF"/>
        </w:rPr>
        <w:t>万元。其中：</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ascii="方正仿宋_GBK" w:hAnsi="方正仿宋_GBK" w:eastAsia="方正仿宋_GBK" w:cs="方正仿宋_GBK"/>
          <w:b w:val="0"/>
          <w:bCs/>
          <w:color w:val="FF0000"/>
          <w:sz w:val="32"/>
          <w:szCs w:val="32"/>
          <w:shd w:val="clear" w:color="auto" w:fill="FFFFFF"/>
        </w:rPr>
      </w:pPr>
      <w:r>
        <w:rPr>
          <w:rFonts w:ascii="方正仿宋_GBK" w:hAnsi="方正仿宋_GBK" w:eastAsia="方正仿宋_GBK" w:cs="方正仿宋_GBK"/>
          <w:b w:val="0"/>
          <w:bCs/>
          <w:sz w:val="32"/>
          <w:szCs w:val="32"/>
          <w:shd w:val="clear" w:color="auto" w:fill="FFFFFF"/>
        </w:rPr>
        <w:t>人员经费</w:t>
      </w:r>
      <w:r>
        <w:rPr>
          <w:rFonts w:hint="default" w:ascii="Times New Roman" w:hAnsi="Times New Roman" w:eastAsia="方正仿宋_GBK"/>
          <w:b w:val="0"/>
          <w:bCs/>
          <w:sz w:val="32"/>
          <w:szCs w:val="32"/>
          <w:shd w:val="clear" w:color="auto" w:fill="FFFFFF"/>
        </w:rPr>
        <w:t>867.24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与2023年度相比，减少31.54万元，下降3.5%</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hint="eastAsia" w:ascii="方正仿宋_GBK" w:hAnsi="方正仿宋_GBK" w:eastAsia="方正仿宋_GBK" w:cs="方正仿宋_GBK"/>
          <w:b w:val="0"/>
          <w:bCs/>
          <w:sz w:val="32"/>
          <w:szCs w:val="32"/>
          <w:shd w:val="clear" w:color="auto" w:fill="FFFFFF"/>
          <w:lang w:val="en-US" w:eastAsia="zh-CN"/>
        </w:rPr>
        <w:t>2023年底</w:t>
      </w:r>
      <w:r>
        <w:rPr>
          <w:rFonts w:ascii="方正仿宋_GBK" w:hAnsi="方正仿宋_GBK" w:eastAsia="方正仿宋_GBK" w:cs="方正仿宋_GBK"/>
          <w:b w:val="0"/>
          <w:bCs/>
          <w:sz w:val="32"/>
          <w:szCs w:val="32"/>
          <w:shd w:val="clear" w:color="auto" w:fill="FFFFFF"/>
        </w:rPr>
        <w:t>退休</w:t>
      </w:r>
      <w:r>
        <w:rPr>
          <w:rFonts w:hint="eastAsia" w:ascii="方正仿宋_GBK" w:hAnsi="方正仿宋_GBK" w:eastAsia="方正仿宋_GBK" w:cs="方正仿宋_GBK"/>
          <w:b w:val="0"/>
          <w:bCs/>
          <w:sz w:val="32"/>
          <w:szCs w:val="32"/>
          <w:shd w:val="clear" w:color="auto" w:fill="FFFFFF"/>
          <w:lang w:val="en-US" w:eastAsia="zh-CN"/>
        </w:rPr>
        <w:t>3人</w:t>
      </w:r>
      <w:r>
        <w:rPr>
          <w:rFonts w:ascii="方正仿宋_GBK" w:hAnsi="方正仿宋_GBK" w:eastAsia="方正仿宋_GBK" w:cs="方正仿宋_GBK"/>
          <w:b w:val="0"/>
          <w:bCs/>
          <w:sz w:val="32"/>
          <w:szCs w:val="32"/>
          <w:shd w:val="clear" w:color="auto" w:fill="FFFFFF"/>
        </w:rPr>
        <w:t>，新进人员</w:t>
      </w:r>
      <w:r>
        <w:rPr>
          <w:rFonts w:hint="eastAsia" w:ascii="方正仿宋_GBK" w:hAnsi="方正仿宋_GBK" w:eastAsia="方正仿宋_GBK" w:cs="方正仿宋_GBK"/>
          <w:b w:val="0"/>
          <w:bCs/>
          <w:sz w:val="32"/>
          <w:szCs w:val="32"/>
          <w:shd w:val="clear" w:color="auto" w:fill="FFFFFF"/>
          <w:lang w:eastAsia="zh-CN"/>
        </w:rPr>
        <w:t>工资</w:t>
      </w:r>
      <w:r>
        <w:rPr>
          <w:rFonts w:ascii="方正仿宋_GBK" w:hAnsi="方正仿宋_GBK" w:eastAsia="方正仿宋_GBK" w:cs="方正仿宋_GBK"/>
          <w:b w:val="0"/>
          <w:bCs/>
          <w:sz w:val="32"/>
          <w:szCs w:val="32"/>
          <w:shd w:val="clear" w:color="auto" w:fill="FFFFFF"/>
        </w:rPr>
        <w:t>相</w:t>
      </w:r>
      <w:r>
        <w:rPr>
          <w:rFonts w:hint="eastAsia" w:ascii="方正仿宋_GBK" w:hAnsi="方正仿宋_GBK" w:eastAsia="方正仿宋_GBK" w:cs="方正仿宋_GBK"/>
          <w:b w:val="0"/>
          <w:bCs/>
          <w:sz w:val="32"/>
          <w:szCs w:val="32"/>
          <w:shd w:val="clear" w:color="auto" w:fill="FFFFFF"/>
          <w:lang w:eastAsia="zh-CN"/>
        </w:rPr>
        <w:t>对较</w:t>
      </w:r>
      <w:r>
        <w:rPr>
          <w:rFonts w:ascii="方正仿宋_GBK" w:hAnsi="方正仿宋_GBK" w:eastAsia="方正仿宋_GBK" w:cs="方正仿宋_GBK"/>
          <w:b w:val="0"/>
          <w:bCs/>
          <w:sz w:val="32"/>
          <w:szCs w:val="32"/>
          <w:shd w:val="clear" w:color="auto" w:fill="FFFFFF"/>
        </w:rPr>
        <w:t>低，人员经费</w:t>
      </w:r>
      <w:r>
        <w:rPr>
          <w:rFonts w:hint="eastAsia" w:ascii="方正仿宋_GBK" w:hAnsi="方正仿宋_GBK" w:eastAsia="方正仿宋_GBK" w:cs="方正仿宋_GBK"/>
          <w:b w:val="0"/>
          <w:bCs/>
          <w:sz w:val="32"/>
          <w:szCs w:val="32"/>
          <w:shd w:val="clear" w:color="auto" w:fill="FFFFFF"/>
          <w:lang w:eastAsia="zh-CN"/>
        </w:rPr>
        <w:t>支出</w:t>
      </w:r>
      <w:r>
        <w:rPr>
          <w:rFonts w:ascii="方正仿宋_GBK" w:hAnsi="方正仿宋_GBK" w:eastAsia="方正仿宋_GBK" w:cs="方正仿宋_GBK"/>
          <w:b w:val="0"/>
          <w:bCs/>
          <w:sz w:val="32"/>
          <w:szCs w:val="32"/>
          <w:shd w:val="clear" w:color="auto" w:fill="FFFFFF"/>
        </w:rPr>
        <w:t>减少。</w:t>
      </w:r>
      <w:r>
        <w:rPr>
          <w:rFonts w:hint="eastAsia" w:ascii="Times New Roman" w:hAnsi="Times New Roman" w:eastAsia="方正仿宋_GBK" w:cs="Times New Roman"/>
          <w:b w:val="0"/>
          <w:bCs/>
          <w:sz w:val="32"/>
          <w:szCs w:val="32"/>
          <w:lang w:val="en-US" w:eastAsia="zh-CN"/>
        </w:rPr>
        <w:t>人员经费用途主要包括基本工资、</w:t>
      </w:r>
      <w:r>
        <w:rPr>
          <w:rFonts w:hint="eastAsia" w:ascii="Times New Roman" w:hAnsi="Times New Roman" w:eastAsia="方正仿宋_GBK" w:cs="Times New Roman"/>
          <w:b w:val="0"/>
          <w:bCs/>
          <w:spacing w:val="-6"/>
          <w:sz w:val="32"/>
          <w:szCs w:val="32"/>
          <w:lang w:val="en-US" w:eastAsia="zh-CN"/>
        </w:rPr>
        <w:t>津贴补贴、社会保障缴费、住房公积金、退休人员健康休养费</w:t>
      </w:r>
      <w:r>
        <w:rPr>
          <w:rFonts w:hint="eastAsia" w:ascii="Times New Roman" w:hAnsi="Times New Roman" w:eastAsia="方正仿宋_GBK" w:cs="Times New Roman"/>
          <w:b w:val="0"/>
          <w:bCs/>
          <w:sz w:val="32"/>
          <w:szCs w:val="32"/>
          <w:lang w:val="en-US" w:eastAsia="zh-CN"/>
        </w:rPr>
        <w:t>等。</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ascii="方正仿宋_GBK" w:hAnsi="方正仿宋_GBK" w:eastAsia="方正仿宋_GBK" w:cs="方正仿宋_GBK"/>
          <w:b w:val="0"/>
          <w:bCs/>
          <w:sz w:val="32"/>
          <w:szCs w:val="32"/>
          <w:shd w:val="clear" w:color="auto" w:fill="FFFFFF"/>
        </w:rPr>
        <w:t>公用经费</w:t>
      </w:r>
      <w:r>
        <w:rPr>
          <w:rFonts w:hint="default" w:ascii="Times New Roman" w:hAnsi="Times New Roman" w:eastAsia="方正仿宋_GBK"/>
          <w:b w:val="0"/>
          <w:bCs/>
          <w:sz w:val="32"/>
          <w:szCs w:val="32"/>
          <w:shd w:val="clear" w:color="auto" w:fill="FFFFFF"/>
        </w:rPr>
        <w:t>173.07</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与2023年度相比，减少13.97万元，下降7.5%</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上年有大型办公设备购置，今年没有</w:t>
      </w:r>
      <w:r>
        <w:rPr>
          <w:rFonts w:hint="eastAsia" w:ascii="方正仿宋_GBK" w:hAnsi="方正仿宋_GBK" w:eastAsia="方正仿宋_GBK" w:cs="方正仿宋_GBK"/>
          <w:b w:val="0"/>
          <w:bCs/>
          <w:sz w:val="32"/>
          <w:szCs w:val="32"/>
          <w:shd w:val="clear" w:color="auto" w:fill="FFFFFF"/>
          <w:lang w:eastAsia="zh-CN"/>
        </w:rPr>
        <w:t>，支出下降</w:t>
      </w: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cs="Times New Roman"/>
          <w:b w:val="0"/>
          <w:bCs/>
          <w:sz w:val="32"/>
          <w:szCs w:val="32"/>
          <w:lang w:val="en-US" w:eastAsia="zh-CN"/>
        </w:rPr>
        <w:t>公用经费用途主要包括办公费、邮电费、培训费、劳务费、工会经费、公务用车运行维护费、其他交通费用等。</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（五）政府性基金预算收支决算情况说明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shd w:val="clear" w:color="auto" w:fill="FFFFFF"/>
          <w:lang w:val="en-US" w:eastAsia="zh-CN" w:bidi="ar-SA"/>
        </w:rPr>
        <w:t>本单</w:t>
      </w:r>
      <w:r>
        <w:rPr>
          <w:rFonts w:hint="default" w:ascii="Times New Roman" w:hAnsi="Times New Roman" w:eastAsia="方正仿宋_GBK" w:cs="Times New Roman"/>
          <w:b w:val="0"/>
          <w:bCs/>
          <w:sz w:val="32"/>
          <w:szCs w:val="32"/>
          <w:shd w:val="clear" w:color="auto" w:fill="FFFFFF"/>
          <w:lang w:val="en-US" w:eastAsia="zh-CN" w:bidi="ar-SA"/>
        </w:rPr>
        <w:t>位2024年度无政</w:t>
      </w:r>
      <w:r>
        <w:rPr>
          <w:rFonts w:hint="eastAsia" w:ascii="方正仿宋_GBK" w:hAnsi="方正仿宋_GBK" w:eastAsia="方正仿宋_GBK" w:cs="方正仿宋_GBK"/>
          <w:b w:val="0"/>
          <w:bCs/>
          <w:sz w:val="32"/>
          <w:szCs w:val="32"/>
          <w:shd w:val="clear" w:color="auto" w:fill="FFFFFF"/>
          <w:lang w:val="en-US" w:eastAsia="zh-CN" w:bidi="ar-SA"/>
        </w:rPr>
        <w:t>府性基金预算财政拨款收支。</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（六）国有资本经营预算财政拨款支出决算情况说明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shd w:val="clear" w:color="auto" w:fill="FFFFFF"/>
          <w:lang w:val="en-US" w:eastAsia="zh-CN" w:bidi="ar-SA"/>
        </w:rPr>
      </w:pPr>
      <w:r>
        <w:rPr>
          <w:rFonts w:hint="eastAsia" w:ascii="方正仿宋_GBK" w:hAnsi="方正仿宋_GBK" w:eastAsia="方正仿宋_GBK" w:cs="方正仿宋_GBK"/>
          <w:b w:val="0"/>
          <w:bCs/>
          <w:sz w:val="32"/>
          <w:szCs w:val="32"/>
          <w:shd w:val="clear" w:color="auto" w:fill="FFFFFF"/>
          <w:lang w:val="en-US" w:eastAsia="zh-CN" w:bidi="ar-SA"/>
        </w:rPr>
        <w:t>本</w:t>
      </w:r>
      <w:r>
        <w:rPr>
          <w:rFonts w:hint="default" w:ascii="Times New Roman" w:hAnsi="Times New Roman" w:eastAsia="方正仿宋_GBK" w:cs="Times New Roman"/>
          <w:b w:val="0"/>
          <w:bCs/>
          <w:sz w:val="32"/>
          <w:szCs w:val="32"/>
          <w:shd w:val="clear" w:color="auto" w:fill="FFFFFF"/>
          <w:lang w:val="en-US" w:eastAsia="zh-CN" w:bidi="ar-SA"/>
        </w:rPr>
        <w:t>单位2024年度无国有资</w:t>
      </w:r>
      <w:r>
        <w:rPr>
          <w:rFonts w:hint="eastAsia" w:ascii="方正仿宋_GBK" w:hAnsi="方正仿宋_GBK" w:eastAsia="方正仿宋_GBK" w:cs="方正仿宋_GBK"/>
          <w:b w:val="0"/>
          <w:bCs/>
          <w:sz w:val="32"/>
          <w:szCs w:val="32"/>
          <w:shd w:val="clear" w:color="auto" w:fill="FFFFFF"/>
          <w:lang w:val="en-US" w:eastAsia="zh-CN" w:bidi="ar-SA"/>
        </w:rPr>
        <w:t>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eastAsia" w:ascii="方正黑体_GBK" w:hAnsi="方正黑体_GBK" w:eastAsia="方正黑体_GBK" w:cs="方正黑体_GBK"/>
          <w:b w:val="0"/>
          <w:bCs/>
          <w:sz w:val="32"/>
          <w:szCs w:val="32"/>
          <w:shd w:val="clear" w:color="auto" w:fill="FFFFFF"/>
        </w:rPr>
      </w:pPr>
      <w:r>
        <w:rPr>
          <w:rStyle w:val="10"/>
          <w:rFonts w:hint="eastAsia" w:ascii="方正黑体_GBK" w:hAnsi="方正黑体_GBK" w:eastAsia="方正黑体_GBK" w:cs="方正黑体_GBK"/>
          <w:b w:val="0"/>
          <w:bCs/>
          <w:sz w:val="32"/>
          <w:szCs w:val="32"/>
          <w:shd w:val="clear" w:color="auto" w:fill="FFFFFF"/>
        </w:rPr>
        <w:t>三、</w:t>
      </w:r>
      <w:r>
        <w:rPr>
          <w:rStyle w:val="10"/>
          <w:rFonts w:hint="eastAsia" w:ascii="方正黑体_GBK" w:hAnsi="方正黑体_GBK" w:eastAsia="方正黑体_GBK" w:cs="方正黑体_GBK"/>
          <w:b w:val="0"/>
          <w:bCs/>
          <w:sz w:val="32"/>
          <w:szCs w:val="32"/>
          <w:shd w:val="clear" w:color="auto" w:fill="FFFFFF"/>
          <w:lang w:eastAsia="zh-CN"/>
        </w:rPr>
        <w:t>财政拨款</w:t>
      </w:r>
      <w:r>
        <w:rPr>
          <w:rStyle w:val="10"/>
          <w:rFonts w:hint="eastAsia" w:ascii="方正黑体_GBK" w:hAnsi="方正黑体_GBK" w:eastAsia="方正黑体_GBK" w:cs="方正黑体_GBK"/>
          <w:b w:val="0"/>
          <w:bCs/>
          <w:sz w:val="32"/>
          <w:szCs w:val="32"/>
          <w:shd w:val="clear" w:color="auto" w:fill="FFFFFF"/>
        </w:rPr>
        <w:t>“三公”经费情况说明</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（一）“三公”经费支出总体情况说明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年度“三公”经费支出共计</w:t>
      </w:r>
      <w:r>
        <w:rPr>
          <w:rFonts w:hint="default" w:ascii="Times New Roman" w:hAnsi="Times New Roman" w:eastAsia="方正仿宋_GBK"/>
          <w:b w:val="0"/>
          <w:bCs/>
          <w:sz w:val="32"/>
          <w:szCs w:val="32"/>
          <w:shd w:val="clear" w:color="auto" w:fill="FFFFFF"/>
        </w:rPr>
        <w:t>29.84</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较年初预算数减少25.66万元，下降46.2%</w:t>
      </w: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cs="Times New Roman"/>
          <w:b w:val="0"/>
          <w:bCs/>
          <w:sz w:val="32"/>
          <w:szCs w:val="32"/>
        </w:rPr>
        <w:t>主要原因是</w:t>
      </w:r>
      <w:r>
        <w:rPr>
          <w:rFonts w:hint="eastAsia" w:ascii="Times New Roman" w:hAnsi="Times New Roman" w:eastAsia="方正仿宋_GBK" w:cs="Times New Roman"/>
          <w:b w:val="0"/>
          <w:bCs/>
          <w:sz w:val="32"/>
          <w:szCs w:val="32"/>
          <w:lang w:eastAsia="zh-CN"/>
        </w:rPr>
        <w:t>严格落实政府过“紧日子”的要求，压减预算支出，控制公务车运行维护费支出和公务接待支出</w:t>
      </w:r>
      <w:r>
        <w:rPr>
          <w:rFonts w:hint="eastAsia" w:ascii="Times New Roman" w:hAnsi="Times New Roman" w:eastAsia="方正仿宋_GBK" w:cs="Times New Roman"/>
          <w:b w:val="0"/>
          <w:bCs/>
          <w:sz w:val="32"/>
          <w:szCs w:val="32"/>
        </w:rPr>
        <w:t>。</w:t>
      </w:r>
      <w:r>
        <w:rPr>
          <w:rFonts w:hint="default" w:ascii="Times New Roman" w:hAnsi="Times New Roman" w:eastAsia="方正仿宋_GBK"/>
          <w:b w:val="0"/>
          <w:bCs/>
          <w:sz w:val="32"/>
          <w:szCs w:val="32"/>
          <w:shd w:val="clear" w:color="auto" w:fill="FFFFFF"/>
        </w:rPr>
        <w:t>较上年支出数增加2.74万元，增长10.1%</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现有</w:t>
      </w:r>
      <w:r>
        <w:rPr>
          <w:rFonts w:ascii="方正仿宋_GBK" w:hAnsi="方正仿宋_GBK" w:eastAsia="方正仿宋_GBK" w:cs="方正仿宋_GBK"/>
          <w:b w:val="0"/>
          <w:bCs/>
          <w:sz w:val="32"/>
          <w:szCs w:val="32"/>
          <w:shd w:val="clear" w:color="auto" w:fill="FFFFFF"/>
        </w:rPr>
        <w:t>公务车辆年限长，维修费用增加；</w:t>
      </w:r>
      <w:r>
        <w:rPr>
          <w:rFonts w:hint="eastAsia" w:ascii="方正仿宋_GBK" w:hAnsi="方正仿宋_GBK" w:eastAsia="方正仿宋_GBK" w:cs="方正仿宋_GBK"/>
          <w:b w:val="0"/>
          <w:bCs/>
          <w:sz w:val="32"/>
          <w:szCs w:val="32"/>
          <w:shd w:val="clear" w:color="auto" w:fill="FFFFFF"/>
          <w:lang w:eastAsia="zh-CN"/>
        </w:rPr>
        <w:t>机构改革职能职责增加</w:t>
      </w:r>
      <w:r>
        <w:rPr>
          <w:rFonts w:ascii="方正仿宋_GBK" w:hAnsi="方正仿宋_GBK" w:eastAsia="方正仿宋_GBK" w:cs="方正仿宋_GBK"/>
          <w:b w:val="0"/>
          <w:bCs/>
          <w:sz w:val="32"/>
          <w:szCs w:val="32"/>
          <w:shd w:val="clear" w:color="auto" w:fill="FFFFFF"/>
        </w:rPr>
        <w:t>公务出行增加，运行费用增加。</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（二）“三公”经费分项支出情况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因公出国（境）费用</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w:t>
      </w:r>
      <w:r>
        <w:rPr>
          <w:rFonts w:hint="eastAsia" w:ascii="Times New Roman" w:hAnsi="Times New Roman" w:eastAsia="方正仿宋_GBK" w:cs="Times New Roman"/>
          <w:b w:val="0"/>
          <w:bCs/>
          <w:sz w:val="32"/>
          <w:szCs w:val="32"/>
        </w:rPr>
        <w:t>主要原因是</w:t>
      </w:r>
      <w:r>
        <w:rPr>
          <w:rFonts w:hint="eastAsia" w:ascii="Times New Roman" w:hAnsi="Times New Roman" w:eastAsia="方正仿宋_GBK" w:cs="Times New Roman"/>
          <w:b w:val="0"/>
          <w:bCs/>
          <w:sz w:val="32"/>
          <w:szCs w:val="32"/>
          <w:lang w:eastAsia="zh-CN"/>
        </w:rPr>
        <w:t>严格落实政府过“紧日子”的要求，全年没有批准因公出国（境）</w:t>
      </w:r>
      <w:r>
        <w:rPr>
          <w:rFonts w:hint="eastAsia" w:ascii="Times New Roman" w:hAnsi="Times New Roman" w:eastAsia="方正仿宋_GBK" w:cs="Times New Roman"/>
          <w:b w:val="0"/>
          <w:bCs/>
          <w:sz w:val="32"/>
          <w:szCs w:val="32"/>
        </w:rPr>
        <w:t>。</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较年初预算数无增减</w:t>
      </w:r>
      <w:r>
        <w:rPr>
          <w:rFonts w:ascii="方正仿宋_GBK" w:hAnsi="方正仿宋_GBK" w:eastAsia="方正仿宋_GBK" w:cs="方正仿宋_GBK"/>
          <w:b w:val="0"/>
          <w:bCs/>
          <w:sz w:val="32"/>
          <w:szCs w:val="32"/>
          <w:shd w:val="clear" w:color="auto" w:fill="FFFFFF"/>
        </w:rPr>
        <w:t>，</w:t>
      </w:r>
      <w:r>
        <w:rPr>
          <w:rFonts w:hint="default" w:ascii="Times New Roman" w:hAnsi="Times New Roman" w:eastAsia="方正仿宋_GBK"/>
          <w:b w:val="0"/>
          <w:bCs/>
          <w:sz w:val="32"/>
          <w:szCs w:val="32"/>
          <w:shd w:val="clear" w:color="auto" w:fill="FFFFFF"/>
        </w:rPr>
        <w:t>较上年支出数减少2.43万元，下降100.0%</w:t>
      </w: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cs="Times New Roman"/>
          <w:b w:val="0"/>
          <w:bCs/>
          <w:sz w:val="32"/>
          <w:szCs w:val="32"/>
        </w:rPr>
        <w:t>主要原因是</w:t>
      </w:r>
      <w:r>
        <w:rPr>
          <w:rFonts w:hint="eastAsia" w:ascii="Times New Roman" w:hAnsi="Times New Roman" w:eastAsia="方正仿宋_GBK" w:cs="Times New Roman"/>
          <w:b w:val="0"/>
          <w:bCs/>
          <w:sz w:val="32"/>
          <w:szCs w:val="32"/>
          <w:lang w:eastAsia="zh-CN"/>
        </w:rPr>
        <w:t>严格落实政府过“紧日子”的要求，全年没有批准因公出国（境）</w:t>
      </w:r>
      <w:r>
        <w:rPr>
          <w:rFonts w:hint="eastAsia" w:ascii="Times New Roman" w:hAnsi="Times New Roman" w:eastAsia="方正仿宋_GBK" w:cs="Times New Roman"/>
          <w:b w:val="0"/>
          <w:bCs/>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公务车购置费0万元，费用支出较年初预算数无增减，较上年支出数无增减，主要原因是</w:t>
      </w:r>
      <w:r>
        <w:rPr>
          <w:rFonts w:hint="eastAsia" w:ascii="Times New Roman" w:hAnsi="Times New Roman" w:eastAsia="方正仿宋_GBK" w:cs="Times New Roman"/>
          <w:b w:val="0"/>
          <w:bCs/>
          <w:sz w:val="32"/>
          <w:szCs w:val="32"/>
          <w:lang w:eastAsia="zh-CN"/>
        </w:rPr>
        <w:t>严格落实政府过“紧日子”的要求，未购置公务车</w:t>
      </w:r>
      <w:r>
        <w:rPr>
          <w:rFonts w:hint="eastAsia" w:ascii="Times New Roman" w:hAnsi="Times New Roman" w:eastAsia="方正仿宋_GBK" w:cs="Times New Roman"/>
          <w:b w:val="0"/>
          <w:bCs/>
          <w:sz w:val="32"/>
          <w:szCs w:val="32"/>
        </w:rPr>
        <w:t>。</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w:t>
      </w:r>
      <w:r>
        <w:rPr>
          <w:rFonts w:hint="eastAsia" w:ascii="方正仿宋_GBK" w:hAnsi="方正仿宋_GBK" w:eastAsia="方正仿宋_GBK" w:cs="方正仿宋_GBK"/>
          <w:b w:val="0"/>
          <w:bCs/>
          <w:sz w:val="32"/>
          <w:szCs w:val="32"/>
          <w:shd w:val="clear" w:color="auto" w:fill="FFFFFF"/>
          <w:lang w:eastAsia="zh-CN"/>
        </w:rPr>
        <w:t>用</w:t>
      </w:r>
      <w:r>
        <w:rPr>
          <w:rFonts w:ascii="方正仿宋_GBK" w:hAnsi="方正仿宋_GBK" w:eastAsia="方正仿宋_GBK" w:cs="方正仿宋_GBK"/>
          <w:b w:val="0"/>
          <w:bCs/>
          <w:sz w:val="32"/>
          <w:szCs w:val="32"/>
          <w:shd w:val="clear" w:color="auto" w:fill="FFFFFF"/>
        </w:rPr>
        <w:t>车运行维护费</w:t>
      </w:r>
      <w:r>
        <w:rPr>
          <w:rFonts w:hint="default" w:ascii="Times New Roman" w:hAnsi="Times New Roman" w:eastAsia="方正仿宋_GBK"/>
          <w:b w:val="0"/>
          <w:bCs/>
          <w:sz w:val="32"/>
          <w:szCs w:val="32"/>
          <w:shd w:val="clear" w:color="auto" w:fill="FFFFFF"/>
        </w:rPr>
        <w:t>19.08</w:t>
      </w:r>
      <w:r>
        <w:rPr>
          <w:rFonts w:ascii="方正仿宋_GBK" w:hAnsi="方正仿宋_GBK" w:eastAsia="方正仿宋_GBK" w:cs="方正仿宋_GBK"/>
          <w:b w:val="0"/>
          <w:bCs/>
          <w:sz w:val="32"/>
          <w:szCs w:val="32"/>
          <w:shd w:val="clear" w:color="auto" w:fill="FFFFFF"/>
        </w:rPr>
        <w:t>万元，</w:t>
      </w:r>
      <w:r>
        <w:rPr>
          <w:rFonts w:hint="eastAsia" w:ascii="Times New Roman" w:hAnsi="Times New Roman" w:eastAsia="方正仿宋_GBK" w:cs="Times New Roman"/>
          <w:b w:val="0"/>
          <w:bCs/>
          <w:sz w:val="32"/>
          <w:szCs w:val="32"/>
          <w:lang w:val="en-US" w:eastAsia="zh-CN"/>
        </w:rPr>
        <w:t>主要用于机要文件交换、市内因公出行、政府招商引资等工作所需车辆的燃料费、维修费、过桥过路费、保险费等。</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较年初预算数减少19.92万元，下降51.1%</w:t>
      </w: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cs="Times New Roman"/>
          <w:b w:val="0"/>
          <w:bCs/>
          <w:sz w:val="32"/>
          <w:szCs w:val="32"/>
          <w:lang w:val="en-US" w:eastAsia="zh-CN"/>
        </w:rPr>
        <w:t>主要原因是严格落实公务车使用规定，严格控制公务车辆运行费用。</w:t>
      </w:r>
      <w:r>
        <w:rPr>
          <w:rFonts w:hint="default" w:ascii="Times New Roman" w:hAnsi="Times New Roman" w:eastAsia="方正仿宋_GBK"/>
          <w:b w:val="0"/>
          <w:bCs/>
          <w:sz w:val="32"/>
          <w:szCs w:val="32"/>
          <w:shd w:val="clear" w:color="auto" w:fill="FFFFFF"/>
        </w:rPr>
        <w:t>较上年支出数增加4.45万元，增长30.4%</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现有</w:t>
      </w:r>
      <w:r>
        <w:rPr>
          <w:rFonts w:ascii="方正仿宋_GBK" w:hAnsi="方正仿宋_GBK" w:eastAsia="方正仿宋_GBK" w:cs="方正仿宋_GBK"/>
          <w:b w:val="0"/>
          <w:bCs/>
          <w:sz w:val="32"/>
          <w:szCs w:val="32"/>
          <w:shd w:val="clear" w:color="auto" w:fill="FFFFFF"/>
        </w:rPr>
        <w:t>公务车辆年限长，维修费用增加；</w:t>
      </w:r>
      <w:r>
        <w:rPr>
          <w:rFonts w:hint="eastAsia" w:ascii="方正仿宋_GBK" w:hAnsi="方正仿宋_GBK" w:eastAsia="方正仿宋_GBK" w:cs="方正仿宋_GBK"/>
          <w:b w:val="0"/>
          <w:bCs/>
          <w:sz w:val="32"/>
          <w:szCs w:val="32"/>
          <w:shd w:val="clear" w:color="auto" w:fill="FFFFFF"/>
          <w:lang w:eastAsia="zh-CN"/>
        </w:rPr>
        <w:t>机构改革职能职责增加</w:t>
      </w:r>
      <w:r>
        <w:rPr>
          <w:rFonts w:ascii="方正仿宋_GBK" w:hAnsi="方正仿宋_GBK" w:eastAsia="方正仿宋_GBK" w:cs="方正仿宋_GBK"/>
          <w:b w:val="0"/>
          <w:bCs/>
          <w:sz w:val="32"/>
          <w:szCs w:val="32"/>
          <w:shd w:val="clear" w:color="auto" w:fill="FFFFFF"/>
        </w:rPr>
        <w:t>公务出行增加，运行费用增加。</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公务接待费</w:t>
      </w:r>
      <w:r>
        <w:rPr>
          <w:rFonts w:hint="default" w:ascii="Times New Roman" w:hAnsi="Times New Roman" w:eastAsia="方正仿宋_GBK"/>
          <w:b w:val="0"/>
          <w:bCs/>
          <w:sz w:val="32"/>
          <w:szCs w:val="32"/>
          <w:shd w:val="clear" w:color="auto" w:fill="FFFFFF"/>
        </w:rPr>
        <w:t>10.76</w:t>
      </w:r>
      <w:r>
        <w:rPr>
          <w:rFonts w:ascii="方正仿宋_GBK" w:hAnsi="方正仿宋_GBK" w:eastAsia="方正仿宋_GBK" w:cs="方正仿宋_GBK"/>
          <w:b w:val="0"/>
          <w:bCs/>
          <w:sz w:val="32"/>
          <w:szCs w:val="32"/>
          <w:shd w:val="clear" w:color="auto" w:fill="FFFFFF"/>
        </w:rPr>
        <w:t>万元，</w:t>
      </w:r>
      <w:r>
        <w:rPr>
          <w:rFonts w:hint="eastAsia" w:ascii="Times New Roman" w:hAnsi="Times New Roman" w:eastAsia="方正仿宋_GBK" w:cs="Times New Roman"/>
          <w:b w:val="0"/>
          <w:bCs/>
          <w:sz w:val="32"/>
          <w:szCs w:val="32"/>
          <w:lang w:val="en-US" w:eastAsia="zh-CN"/>
        </w:rPr>
        <w:t>主要用于接待国内其他区县人民政府因公来访、相关部门检查指导工作、招商引资企业发生的支出。</w:t>
      </w:r>
      <w:r>
        <w:rPr>
          <w:rFonts w:ascii="方正仿宋_GBK" w:hAnsi="方正仿宋_GBK" w:eastAsia="方正仿宋_GBK" w:cs="方正仿宋_GBK"/>
          <w:b w:val="0"/>
          <w:bCs/>
          <w:sz w:val="32"/>
          <w:szCs w:val="32"/>
          <w:shd w:val="clear" w:color="auto" w:fill="FFFFFF"/>
        </w:rPr>
        <w:t>费用支出</w:t>
      </w:r>
      <w:r>
        <w:rPr>
          <w:rFonts w:hint="default" w:ascii="Times New Roman" w:hAnsi="Times New Roman" w:eastAsia="方正仿宋_GBK"/>
          <w:b w:val="0"/>
          <w:bCs/>
          <w:sz w:val="32"/>
          <w:szCs w:val="32"/>
          <w:shd w:val="clear" w:color="auto" w:fill="FFFFFF"/>
        </w:rPr>
        <w:t>较年初预算数减少5.74万元，下降34.8%</w:t>
      </w:r>
      <w:r>
        <w:rPr>
          <w:rFonts w:ascii="方正仿宋_GBK" w:hAnsi="方正仿宋_GBK" w:eastAsia="方正仿宋_GBK" w:cs="方正仿宋_GBK"/>
          <w:b w:val="0"/>
          <w:bCs/>
          <w:sz w:val="32"/>
          <w:szCs w:val="32"/>
          <w:shd w:val="clear" w:color="auto" w:fill="FFFFFF"/>
        </w:rPr>
        <w:t>，</w:t>
      </w:r>
      <w:r>
        <w:rPr>
          <w:rFonts w:hint="eastAsia" w:ascii="Times New Roman" w:hAnsi="Times New Roman" w:eastAsia="方正仿宋_GBK" w:cs="Times New Roman"/>
          <w:b w:val="0"/>
          <w:bCs/>
          <w:sz w:val="32"/>
          <w:szCs w:val="32"/>
          <w:lang w:val="en-US" w:eastAsia="zh-CN"/>
        </w:rPr>
        <w:t>主要原因是从严控制接待范围和接待标准。</w:t>
      </w:r>
      <w:r>
        <w:rPr>
          <w:rFonts w:hint="default" w:ascii="Times New Roman" w:hAnsi="Times New Roman" w:eastAsia="方正仿宋_GBK"/>
          <w:b w:val="0"/>
          <w:bCs/>
          <w:sz w:val="32"/>
          <w:szCs w:val="32"/>
          <w:shd w:val="clear" w:color="auto" w:fill="FFFFFF"/>
        </w:rPr>
        <w:t>较上年支出数增加0.72万元，增长7.2%</w:t>
      </w:r>
      <w:r>
        <w:rPr>
          <w:rFonts w:ascii="方正仿宋_GBK" w:hAnsi="方正仿宋_GBK" w:eastAsia="方正仿宋_GBK" w:cs="方正仿宋_GBK"/>
          <w:b w:val="0"/>
          <w:bCs/>
          <w:sz w:val="32"/>
          <w:szCs w:val="32"/>
          <w:shd w:val="clear" w:color="auto" w:fill="FFFFFF"/>
        </w:rPr>
        <w:t>，主要原因是招商力度加大，公务接待增加。</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（三）“三公”经费实物量情况</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因公出国（境）共计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个团组，</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人；公务用车购置</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辆，公务车保有量为</w:t>
      </w:r>
      <w:r>
        <w:rPr>
          <w:rFonts w:hint="default" w:ascii="Times New Roman" w:hAnsi="Times New Roman" w:eastAsia="方正仿宋_GBK"/>
          <w:b w:val="0"/>
          <w:bCs/>
          <w:sz w:val="32"/>
          <w:szCs w:val="32"/>
          <w:shd w:val="clear" w:color="auto" w:fill="FFFFFF"/>
        </w:rPr>
        <w:t>5</w:t>
      </w:r>
      <w:r>
        <w:rPr>
          <w:rFonts w:ascii="方正仿宋_GBK" w:hAnsi="方正仿宋_GBK" w:eastAsia="方正仿宋_GBK" w:cs="方正仿宋_GBK"/>
          <w:b w:val="0"/>
          <w:bCs/>
          <w:sz w:val="32"/>
          <w:szCs w:val="32"/>
          <w:shd w:val="clear" w:color="auto" w:fill="FFFFFF"/>
        </w:rPr>
        <w:t>辆；国内公务接待</w:t>
      </w:r>
      <w:r>
        <w:rPr>
          <w:rFonts w:hint="default" w:ascii="Times New Roman" w:hAnsi="Times New Roman" w:eastAsia="方正仿宋_GBK"/>
          <w:b w:val="0"/>
          <w:bCs/>
          <w:sz w:val="32"/>
          <w:szCs w:val="32"/>
          <w:shd w:val="clear" w:color="auto" w:fill="FFFFFF"/>
        </w:rPr>
        <w:t>103</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1009</w:t>
      </w:r>
      <w:r>
        <w:rPr>
          <w:rFonts w:ascii="方正仿宋_GBK" w:hAnsi="方正仿宋_GBK" w:eastAsia="方正仿宋_GBK" w:cs="方正仿宋_GBK"/>
          <w:b w:val="0"/>
          <w:bCs/>
          <w:sz w:val="32"/>
          <w:szCs w:val="32"/>
          <w:shd w:val="clear" w:color="auto" w:fill="FFFFFF"/>
        </w:rPr>
        <w:t>人，其中：国内外事接待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人；国（境）外公务接待</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批次，</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人。</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人均接待费</w:t>
      </w:r>
      <w:r>
        <w:rPr>
          <w:rFonts w:hint="default" w:ascii="Times New Roman" w:hAnsi="Times New Roman" w:eastAsia="方正仿宋_GBK"/>
          <w:b w:val="0"/>
          <w:bCs/>
          <w:sz w:val="32"/>
          <w:szCs w:val="32"/>
          <w:shd w:val="clear" w:color="auto" w:fill="FFFFFF"/>
        </w:rPr>
        <w:t>106.60</w:t>
      </w:r>
      <w:r>
        <w:rPr>
          <w:rFonts w:ascii="方正仿宋_GBK" w:hAnsi="方正仿宋_GBK" w:eastAsia="方正仿宋_GBK" w:cs="方正仿宋_GBK"/>
          <w:b w:val="0"/>
          <w:bCs/>
          <w:sz w:val="32"/>
          <w:szCs w:val="32"/>
          <w:shd w:val="clear" w:color="auto" w:fill="FFFFFF"/>
        </w:rPr>
        <w:t>元，车均购置费</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万元，车均维护费</w:t>
      </w:r>
      <w:r>
        <w:rPr>
          <w:rFonts w:hint="default" w:ascii="Times New Roman" w:hAnsi="Times New Roman" w:eastAsia="方正仿宋_GBK"/>
          <w:b w:val="0"/>
          <w:bCs/>
          <w:sz w:val="32"/>
          <w:szCs w:val="32"/>
          <w:shd w:val="clear" w:color="auto" w:fill="FFFFFF"/>
        </w:rPr>
        <w:t>3.82</w:t>
      </w:r>
      <w:r>
        <w:rPr>
          <w:rFonts w:ascii="方正仿宋_GBK" w:hAnsi="方正仿宋_GBK" w:eastAsia="方正仿宋_GBK" w:cs="方正仿宋_GBK"/>
          <w:b w:val="0"/>
          <w:bCs/>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default" w:ascii="黑体" w:hAnsi="黑体" w:eastAsia="黑体" w:cs="黑体"/>
          <w:b w:val="0"/>
          <w:bCs/>
          <w:sz w:val="32"/>
          <w:szCs w:val="32"/>
          <w:shd w:val="clear" w:color="auto" w:fill="FFFFFF"/>
        </w:rPr>
      </w:pPr>
      <w:r>
        <w:rPr>
          <w:rStyle w:val="10"/>
          <w:rFonts w:ascii="黑体" w:hAnsi="黑体" w:eastAsia="黑体" w:cs="黑体"/>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楷体" w:hAnsi="楷体" w:eastAsia="楷体" w:cs="楷体"/>
          <w:b w:val="0"/>
          <w:bCs/>
          <w:sz w:val="32"/>
          <w:szCs w:val="32"/>
          <w:shd w:val="clear" w:color="auto" w:fill="FFFFFF"/>
        </w:rPr>
      </w:pPr>
      <w:r>
        <w:rPr>
          <w:rFonts w:ascii="楷体" w:hAnsi="楷体" w:eastAsia="楷体" w:cs="楷体"/>
          <w:b w:val="0"/>
          <w:bCs/>
          <w:sz w:val="32"/>
          <w:szCs w:val="32"/>
          <w:shd w:val="clear" w:color="auto" w:fill="FFFFFF"/>
        </w:rPr>
        <w:t>（一）财政拨款会议费、培训费和差旅费情况说明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color w:val="FF0000"/>
          <w:sz w:val="32"/>
          <w:szCs w:val="32"/>
        </w:rPr>
      </w:pPr>
      <w:r>
        <w:rPr>
          <w:rFonts w:ascii="方正仿宋_GBK" w:hAnsi="方正仿宋_GBK" w:eastAsia="方正仿宋_GBK" w:cs="方正仿宋_GBK"/>
          <w:b w:val="0"/>
          <w:bCs/>
          <w:sz w:val="32"/>
          <w:szCs w:val="32"/>
          <w:shd w:val="clear" w:color="auto" w:fill="FFFFFF"/>
        </w:rPr>
        <w:t>本年度会议费支出</w:t>
      </w:r>
      <w:r>
        <w:rPr>
          <w:rFonts w:hint="default" w:ascii="Times New Roman" w:hAnsi="Times New Roman" w:eastAsia="方正仿宋_GBK"/>
          <w:b w:val="0"/>
          <w:bCs/>
          <w:sz w:val="32"/>
          <w:szCs w:val="32"/>
          <w:shd w:val="clear" w:color="auto" w:fill="FFFFFF"/>
        </w:rPr>
        <w:t>13.08</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与2023年度相比，增加3.28万元，增长33.5%</w:t>
      </w:r>
      <w:r>
        <w:rPr>
          <w:rFonts w:ascii="方正仿宋_GBK" w:hAnsi="方正仿宋_GBK" w:eastAsia="方正仿宋_GBK" w:cs="方正仿宋_GBK"/>
          <w:b w:val="0"/>
          <w:bCs/>
          <w:sz w:val="32"/>
          <w:szCs w:val="32"/>
          <w:shd w:val="clear" w:color="auto" w:fill="FFFFFF"/>
        </w:rPr>
        <w:t>，主要原因是工作会议增加，会议费用增加。本年度培训费支出</w:t>
      </w:r>
      <w:r>
        <w:rPr>
          <w:rFonts w:hint="default" w:ascii="Times New Roman" w:hAnsi="Times New Roman" w:eastAsia="方正仿宋_GBK"/>
          <w:b w:val="0"/>
          <w:bCs/>
          <w:sz w:val="32"/>
          <w:szCs w:val="32"/>
          <w:shd w:val="clear" w:color="auto" w:fill="FFFFFF"/>
        </w:rPr>
        <w:t>2.26</w:t>
      </w:r>
      <w:r>
        <w:rPr>
          <w:rFonts w:ascii="方正仿宋_GBK" w:hAnsi="方正仿宋_GBK" w:eastAsia="方正仿宋_GBK" w:cs="方正仿宋_GBK"/>
          <w:b w:val="0"/>
          <w:bCs/>
          <w:sz w:val="32"/>
          <w:szCs w:val="32"/>
          <w:shd w:val="clear" w:color="auto" w:fill="FFFFFF"/>
        </w:rPr>
        <w:t>万元，</w:t>
      </w:r>
      <w:r>
        <w:rPr>
          <w:rFonts w:hint="default" w:ascii="Times New Roman" w:hAnsi="Times New Roman" w:eastAsia="方正仿宋_GBK"/>
          <w:b w:val="0"/>
          <w:bCs/>
          <w:sz w:val="32"/>
          <w:szCs w:val="32"/>
          <w:shd w:val="clear" w:color="auto" w:fill="FFFFFF"/>
        </w:rPr>
        <w:t>与2023年度相比，减少1.48万元，下降39.6%</w:t>
      </w:r>
      <w:r>
        <w:rPr>
          <w:rFonts w:ascii="方正仿宋_GBK" w:hAnsi="方正仿宋_GBK" w:eastAsia="方正仿宋_GBK" w:cs="方正仿宋_GBK"/>
          <w:b w:val="0"/>
          <w:bCs/>
          <w:sz w:val="32"/>
          <w:szCs w:val="32"/>
          <w:shd w:val="clear" w:color="auto" w:fill="FFFFFF"/>
        </w:rPr>
        <w:t>，主要原因是与上年度相比，本年度培训减少。本年度差旅费支出</w:t>
      </w:r>
      <w:r>
        <w:rPr>
          <w:rFonts w:hint="default" w:ascii="Times New Roman" w:hAnsi="Times New Roman" w:eastAsia="方正仿宋_GBK"/>
          <w:b w:val="0"/>
          <w:bCs/>
          <w:sz w:val="32"/>
          <w:szCs w:val="32"/>
          <w:shd w:val="clear" w:color="auto" w:fill="FFFFFF"/>
        </w:rPr>
        <w:t>8.38</w:t>
      </w:r>
      <w:r>
        <w:rPr>
          <w:rFonts w:ascii="方正仿宋_GBK" w:hAnsi="方正仿宋_GBK" w:eastAsia="方正仿宋_GBK" w:cs="方正仿宋_GBK"/>
          <w:b w:val="0"/>
          <w:bCs/>
          <w:sz w:val="32"/>
          <w:szCs w:val="32"/>
        </w:rPr>
        <w:t>万元，</w:t>
      </w:r>
      <w:r>
        <w:rPr>
          <w:rFonts w:hint="default" w:ascii="Times New Roman" w:hAnsi="Times New Roman" w:eastAsia="方正仿宋_GBK"/>
          <w:b w:val="0"/>
          <w:bCs/>
          <w:sz w:val="32"/>
          <w:szCs w:val="32"/>
          <w:shd w:val="clear" w:color="auto" w:fill="FFFFFF"/>
        </w:rPr>
        <w:t>与2023年度相比，增加3.64万元，增长76.8%</w:t>
      </w:r>
      <w:r>
        <w:rPr>
          <w:rFonts w:ascii="方正仿宋_GBK" w:hAnsi="方正仿宋_GBK" w:eastAsia="方正仿宋_GBK" w:cs="方正仿宋_GBK"/>
          <w:b w:val="0"/>
          <w:bCs/>
          <w:sz w:val="32"/>
          <w:szCs w:val="32"/>
          <w:shd w:val="clear" w:color="auto" w:fill="FFFFFF"/>
        </w:rPr>
        <w:t>，主要原因是</w:t>
      </w:r>
      <w:r>
        <w:rPr>
          <w:rFonts w:hint="eastAsia" w:ascii="方正仿宋_GBK" w:hAnsi="方正仿宋_GBK" w:eastAsia="方正仿宋_GBK" w:cs="方正仿宋_GBK"/>
          <w:b w:val="0"/>
          <w:bCs/>
          <w:sz w:val="32"/>
          <w:szCs w:val="32"/>
          <w:shd w:val="clear" w:color="auto" w:fill="FFFFFF"/>
          <w:lang w:eastAsia="zh-CN"/>
        </w:rPr>
        <w:t>机构改革职能职责增加，公务事务出行增加，差旅费支出增加。</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（二）机关运行经费情况说明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color w:val="auto"/>
          <w:sz w:val="32"/>
          <w:szCs w:val="32"/>
          <w:highlight w:val="yellow"/>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机关运行经费支出</w:t>
      </w:r>
      <w:r>
        <w:rPr>
          <w:rFonts w:hint="default" w:ascii="Times New Roman" w:hAnsi="Times New Roman" w:eastAsia="方正仿宋_GBK"/>
          <w:b w:val="0"/>
          <w:bCs/>
          <w:sz w:val="32"/>
          <w:szCs w:val="32"/>
          <w:shd w:val="clear" w:color="auto" w:fill="FFFFFF"/>
        </w:rPr>
        <w:t>173.07</w:t>
      </w:r>
      <w:r>
        <w:rPr>
          <w:rFonts w:ascii="方正仿宋_GBK" w:hAnsi="方正仿宋_GBK" w:eastAsia="方正仿宋_GBK" w:cs="方正仿宋_GBK"/>
          <w:b w:val="0"/>
          <w:bCs/>
          <w:sz w:val="32"/>
          <w:szCs w:val="32"/>
          <w:shd w:val="clear" w:color="auto" w:fill="FFFFFF"/>
        </w:rPr>
        <w:t>万元，机关运行经费主要用于</w:t>
      </w:r>
      <w:r>
        <w:rPr>
          <w:rFonts w:hint="eastAsia" w:ascii="Times New Roman" w:hAnsi="Times New Roman" w:eastAsia="方正仿宋_GBK" w:cs="Times New Roman"/>
          <w:b w:val="0"/>
          <w:bCs/>
          <w:sz w:val="32"/>
          <w:szCs w:val="32"/>
        </w:rPr>
        <w:t>开支</w:t>
      </w:r>
      <w:r>
        <w:rPr>
          <w:rFonts w:hint="eastAsia" w:ascii="Times New Roman" w:hAnsi="Times New Roman" w:eastAsia="方正仿宋_GBK" w:cs="Times New Roman"/>
          <w:b w:val="0"/>
          <w:bCs/>
          <w:sz w:val="32"/>
          <w:szCs w:val="32"/>
          <w:lang w:val="en-US" w:eastAsia="zh-CN"/>
        </w:rPr>
        <w:t>办公费、邮电费、培训费、劳务费、工会经费、福利费、公务用车运行维护费、其他交通费用和退休干部活动公用支出等。</w:t>
      </w:r>
      <w:r>
        <w:rPr>
          <w:rFonts w:ascii="方正仿宋_GBK" w:hAnsi="方正仿宋_GBK" w:eastAsia="方正仿宋_GBK" w:cs="方正仿宋_GBK"/>
          <w:b w:val="0"/>
          <w:bCs/>
          <w:sz w:val="32"/>
          <w:szCs w:val="32"/>
          <w:shd w:val="clear" w:color="auto" w:fill="FFFFFF"/>
        </w:rPr>
        <w:t>机关运行经费</w:t>
      </w:r>
      <w:r>
        <w:rPr>
          <w:rFonts w:hint="default" w:ascii="Times New Roman" w:hAnsi="Times New Roman" w:eastAsia="方正仿宋_GBK"/>
          <w:b w:val="0"/>
          <w:bCs/>
          <w:sz w:val="32"/>
          <w:szCs w:val="32"/>
          <w:shd w:val="clear" w:color="auto" w:fill="FFFFFF"/>
        </w:rPr>
        <w:t>较上年支出数减少13.97万元，下降7.5%</w:t>
      </w:r>
      <w:r>
        <w:rPr>
          <w:rFonts w:ascii="方正仿宋_GBK" w:hAnsi="方正仿宋_GBK" w:eastAsia="方正仿宋_GBK" w:cs="方正仿宋_GBK"/>
          <w:b w:val="0"/>
          <w:bCs/>
          <w:sz w:val="32"/>
          <w:szCs w:val="32"/>
          <w:shd w:val="clear" w:color="auto" w:fill="FFFFFF"/>
        </w:rPr>
        <w:t>，</w:t>
      </w:r>
      <w:r>
        <w:rPr>
          <w:rFonts w:hint="eastAsia" w:ascii="方正仿宋_GBK" w:hAnsi="方正仿宋_GBK" w:eastAsia="方正仿宋_GBK" w:cs="方正仿宋_GBK"/>
          <w:b w:val="0"/>
          <w:bCs/>
          <w:sz w:val="32"/>
          <w:szCs w:val="32"/>
          <w:shd w:val="clear" w:color="auto" w:fill="FFFFFF"/>
          <w:lang w:eastAsia="zh-CN"/>
        </w:rPr>
        <w:t>主要原因是</w:t>
      </w:r>
      <w:r>
        <w:rPr>
          <w:rFonts w:ascii="方正仿宋_GBK" w:hAnsi="方正仿宋_GBK" w:eastAsia="方正仿宋_GBK" w:cs="方正仿宋_GBK"/>
          <w:b w:val="0"/>
          <w:bCs/>
          <w:sz w:val="32"/>
          <w:szCs w:val="32"/>
          <w:shd w:val="clear" w:color="auto" w:fill="FFFFFF"/>
        </w:rPr>
        <w:t>上年有大型办公设备购置，今年没有</w:t>
      </w:r>
      <w:r>
        <w:rPr>
          <w:rFonts w:hint="eastAsia" w:ascii="方正仿宋_GBK" w:hAnsi="方正仿宋_GBK" w:eastAsia="方正仿宋_GBK" w:cs="方正仿宋_GBK"/>
          <w:b w:val="0"/>
          <w:bCs/>
          <w:sz w:val="32"/>
          <w:szCs w:val="32"/>
          <w:shd w:val="clear" w:color="auto" w:fill="FFFFFF"/>
          <w:lang w:eastAsia="zh-CN"/>
        </w:rPr>
        <w:t>，支出下降</w:t>
      </w:r>
      <w:r>
        <w:rPr>
          <w:rFonts w:ascii="方正仿宋_GBK" w:hAnsi="方正仿宋_GBK" w:eastAsia="方正仿宋_GBK" w:cs="方正仿宋_GBK"/>
          <w:b w:val="0"/>
          <w:bCs/>
          <w:sz w:val="32"/>
          <w:szCs w:val="32"/>
          <w:shd w:val="clear" w:color="auto" w:fill="FFFFFF"/>
        </w:rPr>
        <w:t>。</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（三）国有资产占用情况说明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方正仿宋_GBK" w:hAnsi="方正仿宋_GBK" w:eastAsia="方正仿宋_GBK" w:cs="方正仿宋_GBK"/>
          <w:b w:val="0"/>
          <w:bCs/>
          <w:sz w:val="32"/>
          <w:szCs w:val="32"/>
        </w:rPr>
      </w:pPr>
      <w:r>
        <w:rPr>
          <w:rFonts w:ascii="方正仿宋_GBK" w:hAnsi="方正仿宋_GBK" w:eastAsia="方正仿宋_GBK" w:cs="方正仿宋_GBK"/>
          <w:b w:val="0"/>
          <w:bCs/>
          <w:sz w:val="32"/>
          <w:szCs w:val="32"/>
          <w:shd w:val="clear" w:color="auto" w:fill="FFFFFF"/>
        </w:rPr>
        <w:t>截至</w:t>
      </w: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w:t>
      </w:r>
      <w:r>
        <w:rPr>
          <w:rFonts w:hint="default" w:ascii="Times New Roman" w:hAnsi="Times New Roman" w:eastAsia="方正仿宋_GBK"/>
          <w:b w:val="0"/>
          <w:bCs/>
          <w:sz w:val="32"/>
          <w:szCs w:val="32"/>
          <w:shd w:val="clear" w:color="auto" w:fill="FFFFFF"/>
        </w:rPr>
        <w:t>12</w:t>
      </w:r>
      <w:r>
        <w:rPr>
          <w:rFonts w:ascii="方正仿宋_GBK" w:hAnsi="方正仿宋_GBK" w:eastAsia="方正仿宋_GBK" w:cs="方正仿宋_GBK"/>
          <w:b w:val="0"/>
          <w:bCs/>
          <w:sz w:val="32"/>
          <w:szCs w:val="32"/>
          <w:shd w:val="clear" w:color="auto" w:fill="FFFFFF"/>
        </w:rPr>
        <w:t>月</w:t>
      </w:r>
      <w:r>
        <w:rPr>
          <w:rFonts w:hint="default" w:ascii="Times New Roman" w:hAnsi="Times New Roman" w:eastAsia="方正仿宋_GBK"/>
          <w:b w:val="0"/>
          <w:bCs/>
          <w:sz w:val="32"/>
          <w:szCs w:val="32"/>
          <w:shd w:val="clear" w:color="auto" w:fill="FFFFFF"/>
        </w:rPr>
        <w:t>31</w:t>
      </w:r>
      <w:r>
        <w:rPr>
          <w:rFonts w:ascii="方正仿宋_GBK" w:hAnsi="方正仿宋_GBK" w:eastAsia="方正仿宋_GBK" w:cs="方正仿宋_GBK"/>
          <w:b w:val="0"/>
          <w:bCs/>
          <w:sz w:val="32"/>
          <w:szCs w:val="32"/>
          <w:shd w:val="clear" w:color="auto" w:fill="FFFFFF"/>
        </w:rPr>
        <w:t>日，本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共有车辆</w:t>
      </w:r>
      <w:r>
        <w:rPr>
          <w:rFonts w:hint="default" w:ascii="Times New Roman" w:hAnsi="Times New Roman" w:eastAsia="方正仿宋_GBK"/>
          <w:b w:val="0"/>
          <w:bCs/>
          <w:sz w:val="32"/>
          <w:szCs w:val="32"/>
          <w:shd w:val="clear" w:color="auto" w:fill="FFFFFF"/>
        </w:rPr>
        <w:t>5</w:t>
      </w:r>
      <w:r>
        <w:rPr>
          <w:rFonts w:ascii="方正仿宋_GBK" w:hAnsi="方正仿宋_GBK" w:eastAsia="方正仿宋_GBK" w:cs="方正仿宋_GBK"/>
          <w:b w:val="0"/>
          <w:bCs/>
          <w:sz w:val="32"/>
          <w:szCs w:val="32"/>
          <w:shd w:val="clear" w:color="auto" w:fill="FFFFFF"/>
        </w:rPr>
        <w:t>辆，其中，副部（省）级及以上领导用车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辆、主要负责人用车</w:t>
      </w:r>
      <w:r>
        <w:rPr>
          <w:rFonts w:hint="default" w:ascii="Times New Roman" w:hAnsi="Times New Roman" w:eastAsia="方正仿宋_GBK"/>
          <w:b w:val="0"/>
          <w:bCs/>
          <w:sz w:val="32"/>
          <w:szCs w:val="32"/>
          <w:shd w:val="clear" w:color="auto" w:fill="FFFFFF"/>
        </w:rPr>
        <w:t>1</w:t>
      </w:r>
      <w:r>
        <w:rPr>
          <w:rFonts w:ascii="方正仿宋_GBK" w:hAnsi="方正仿宋_GBK" w:eastAsia="方正仿宋_GBK" w:cs="方正仿宋_GBK"/>
          <w:b w:val="0"/>
          <w:bCs/>
          <w:sz w:val="32"/>
          <w:szCs w:val="32"/>
          <w:shd w:val="clear" w:color="auto" w:fill="FFFFFF"/>
        </w:rPr>
        <w:t>辆、机要通信用车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辆、应急保障用车</w:t>
      </w:r>
      <w:r>
        <w:rPr>
          <w:rFonts w:hint="default" w:ascii="Times New Roman" w:hAnsi="Times New Roman" w:eastAsia="方正仿宋_GBK"/>
          <w:b w:val="0"/>
          <w:bCs/>
          <w:sz w:val="32"/>
          <w:szCs w:val="32"/>
          <w:shd w:val="clear" w:color="auto" w:fill="FFFFFF"/>
        </w:rPr>
        <w:t>4</w:t>
      </w:r>
      <w:r>
        <w:rPr>
          <w:rFonts w:ascii="方正仿宋_GBK" w:hAnsi="方正仿宋_GBK" w:eastAsia="方正仿宋_GBK" w:cs="方正仿宋_GBK"/>
          <w:b w:val="0"/>
          <w:bCs/>
          <w:sz w:val="32"/>
          <w:szCs w:val="32"/>
          <w:shd w:val="clear" w:color="auto" w:fill="FFFFFF"/>
        </w:rPr>
        <w:t>辆、执法执勤用车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辆，特种专业技术用车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辆，离退休干部用车</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辆。单价</w:t>
      </w:r>
      <w:r>
        <w:rPr>
          <w:rFonts w:hint="default" w:ascii="Times New Roman" w:hAnsi="Times New Roman" w:eastAsia="方正仿宋_GBK"/>
          <w:b w:val="0"/>
          <w:bCs/>
          <w:sz w:val="32"/>
          <w:szCs w:val="32"/>
          <w:shd w:val="clear" w:color="auto" w:fill="FFFFFF"/>
        </w:rPr>
        <w:t>100</w:t>
      </w:r>
      <w:r>
        <w:rPr>
          <w:rFonts w:ascii="方正仿宋_GBK" w:hAnsi="方正仿宋_GBK" w:eastAsia="方正仿宋_GBK" w:cs="方正仿宋_GBK"/>
          <w:b w:val="0"/>
          <w:bCs/>
          <w:sz w:val="32"/>
          <w:szCs w:val="32"/>
          <w:shd w:val="clear" w:color="auto" w:fill="FFFFFF"/>
        </w:rPr>
        <w:t>万元（含）以上专用设备</w:t>
      </w:r>
      <w:r>
        <w:rPr>
          <w:rFonts w:hint="default" w:ascii="Times New Roman" w:hAnsi="Times New Roman" w:eastAsia="方正仿宋_GBK"/>
          <w:b w:val="0"/>
          <w:bCs/>
          <w:sz w:val="32"/>
          <w:szCs w:val="32"/>
          <w:shd w:val="clear" w:color="auto" w:fill="FFFFFF"/>
        </w:rPr>
        <w:t>0</w:t>
      </w:r>
      <w:r>
        <w:rPr>
          <w:rFonts w:ascii="方正仿宋_GBK" w:hAnsi="方正仿宋_GBK" w:eastAsia="方正仿宋_GBK" w:cs="方正仿宋_GBK"/>
          <w:b w:val="0"/>
          <w:bCs/>
          <w:sz w:val="32"/>
          <w:szCs w:val="32"/>
          <w:shd w:val="clear" w:color="auto" w:fill="FFFFFF"/>
        </w:rPr>
        <w:t>台（套）。</w:t>
      </w:r>
    </w:p>
    <w:p>
      <w:pPr>
        <w:pStyle w:val="11"/>
        <w:keepNext w:val="0"/>
        <w:keepLines w:val="0"/>
        <w:pageBreakBefore w:val="0"/>
        <w:widowControl/>
        <w:kinsoku/>
        <w:wordWrap/>
        <w:overflowPunct/>
        <w:topLinePunct w:val="0"/>
        <w:autoSpaceDE w:val="0"/>
        <w:autoSpaceDN/>
        <w:bidi w:val="0"/>
        <w:adjustRightInd/>
        <w:snapToGrid/>
        <w:spacing w:line="576" w:lineRule="exact"/>
        <w:ind w:firstLine="640" w:firstLineChars="200"/>
        <w:jc w:val="both"/>
        <w:textAlignment w:val="auto"/>
        <w:rPr>
          <w:rFonts w:ascii="楷体" w:hAnsi="楷体" w:eastAsia="楷体" w:cs="楷体"/>
          <w:b w:val="0"/>
          <w:bCs/>
          <w:sz w:val="32"/>
          <w:szCs w:val="32"/>
          <w:shd w:val="clear" w:color="auto" w:fill="FFFFFF"/>
        </w:rPr>
      </w:pPr>
      <w:r>
        <w:rPr>
          <w:rFonts w:hint="eastAsia" w:ascii="楷体" w:hAnsi="楷体" w:eastAsia="楷体" w:cs="楷体"/>
          <w:b w:val="0"/>
          <w:bCs/>
          <w:sz w:val="32"/>
          <w:szCs w:val="32"/>
          <w:shd w:val="clear" w:color="auto" w:fill="FFFFFF"/>
        </w:rPr>
        <w:t>（四）政府采购支出情况说明</w:t>
      </w:r>
    </w:p>
    <w:p>
      <w:pPr>
        <w:pStyle w:val="6"/>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color w:val="FF0000"/>
          <w:sz w:val="32"/>
          <w:szCs w:val="32"/>
          <w:shd w:val="clear" w:color="auto" w:fill="FFFFFF"/>
          <w:lang w:eastAsia="zh-CN"/>
        </w:rPr>
      </w:pPr>
      <w:r>
        <w:rPr>
          <w:rFonts w:hint="default" w:ascii="Times New Roman" w:hAnsi="Times New Roman" w:eastAsia="方正仿宋_GBK"/>
          <w:b w:val="0"/>
          <w:bCs/>
          <w:sz w:val="32"/>
          <w:szCs w:val="32"/>
          <w:shd w:val="clear" w:color="auto" w:fill="FFFFFF"/>
        </w:rPr>
        <w:t>2024</w:t>
      </w:r>
      <w:r>
        <w:rPr>
          <w:rFonts w:ascii="方正仿宋_GBK" w:hAnsi="方正仿宋_GBK" w:eastAsia="方正仿宋_GBK" w:cs="方正仿宋_GBK"/>
          <w:b w:val="0"/>
          <w:bCs/>
          <w:sz w:val="32"/>
          <w:szCs w:val="32"/>
          <w:shd w:val="clear" w:color="auto" w:fill="FFFFFF"/>
        </w:rPr>
        <w:t>年度本</w:t>
      </w:r>
      <w:r>
        <w:rPr>
          <w:rFonts w:hint="eastAsia" w:ascii="方正仿宋_GBK" w:hAnsi="方正仿宋_GBK" w:eastAsia="方正仿宋_GBK" w:cs="方正仿宋_GBK"/>
          <w:b w:val="0"/>
          <w:bCs/>
          <w:sz w:val="32"/>
          <w:szCs w:val="32"/>
          <w:shd w:val="clear" w:color="auto" w:fill="FFFFFF"/>
          <w:lang w:eastAsia="zh-CN"/>
        </w:rPr>
        <w:t>单位</w:t>
      </w:r>
      <w:r>
        <w:rPr>
          <w:rFonts w:ascii="方正仿宋_GBK" w:hAnsi="方正仿宋_GBK" w:eastAsia="方正仿宋_GBK" w:cs="方正仿宋_GBK"/>
          <w:b w:val="0"/>
          <w:bCs/>
          <w:sz w:val="32"/>
          <w:szCs w:val="32"/>
          <w:shd w:val="clear" w:color="auto" w:fill="FFFFFF"/>
        </w:rPr>
        <w:t>政府采购支出总额</w:t>
      </w:r>
      <w:r>
        <w:rPr>
          <w:rFonts w:hint="default" w:ascii="Times New Roman" w:hAnsi="Times New Roman" w:eastAsia="方正仿宋_GBK"/>
          <w:b w:val="0"/>
          <w:bCs/>
          <w:sz w:val="32"/>
          <w:szCs w:val="32"/>
          <w:shd w:val="clear" w:color="auto" w:fill="FFFFFF"/>
        </w:rPr>
        <w:t>4.45</w:t>
      </w:r>
      <w:r>
        <w:rPr>
          <w:rFonts w:ascii="方正仿宋_GBK" w:hAnsi="方正仿宋_GBK" w:eastAsia="方正仿宋_GBK" w:cs="方正仿宋_GBK"/>
          <w:b w:val="0"/>
          <w:bCs/>
          <w:sz w:val="32"/>
          <w:szCs w:val="32"/>
          <w:shd w:val="clear" w:color="auto" w:fill="FFFFFF"/>
        </w:rPr>
        <w:t>万元，其中：政府采购货物支出</w:t>
      </w:r>
      <w:r>
        <w:rPr>
          <w:rFonts w:hint="default" w:ascii="Times New Roman" w:hAnsi="Times New Roman" w:eastAsia="方正仿宋_GBK"/>
          <w:b w:val="0"/>
          <w:bCs/>
          <w:sz w:val="32"/>
          <w:szCs w:val="32"/>
          <w:shd w:val="clear" w:color="auto" w:fill="FFFFFF"/>
        </w:rPr>
        <w:t>4.45</w:t>
      </w:r>
      <w:r>
        <w:rPr>
          <w:rFonts w:ascii="方正仿宋_GBK" w:hAnsi="方正仿宋_GBK" w:eastAsia="方正仿宋_GBK" w:cs="方正仿宋_GBK"/>
          <w:b w:val="0"/>
          <w:bCs/>
          <w:sz w:val="32"/>
          <w:szCs w:val="32"/>
          <w:shd w:val="clear" w:color="auto" w:fill="FFFFFF"/>
        </w:rPr>
        <w:t>万元、政府采购工程支出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万元、政府采购服务支出</w:t>
      </w:r>
      <w:r>
        <w:rPr>
          <w:rFonts w:hint="default" w:ascii="Times New Roman" w:hAnsi="Times New Roman" w:eastAsia="方正仿宋_GBK"/>
          <w:b w:val="0"/>
          <w:bCs/>
          <w:sz w:val="32"/>
          <w:szCs w:val="32"/>
          <w:shd w:val="clear" w:color="auto" w:fill="FFFFFF"/>
        </w:rPr>
        <w:t>0.00</w:t>
      </w:r>
      <w:r>
        <w:rPr>
          <w:rFonts w:ascii="方正仿宋_GBK" w:hAnsi="方正仿宋_GBK" w:eastAsia="方正仿宋_GBK" w:cs="方正仿宋_GBK"/>
          <w:b w:val="0"/>
          <w:bCs/>
          <w:sz w:val="32"/>
          <w:szCs w:val="32"/>
          <w:shd w:val="clear" w:color="auto" w:fill="FFFFFF"/>
        </w:rPr>
        <w:t>万元。授予中小企业合同金额</w:t>
      </w:r>
      <w:r>
        <w:rPr>
          <w:rFonts w:hint="default" w:ascii="Times New Roman" w:hAnsi="Times New Roman" w:eastAsia="方正仿宋_GBK"/>
          <w:b w:val="0"/>
          <w:bCs/>
          <w:sz w:val="32"/>
          <w:szCs w:val="32"/>
          <w:shd w:val="clear" w:color="auto" w:fill="FFFFFF"/>
        </w:rPr>
        <w:t>4.45</w:t>
      </w:r>
      <w:r>
        <w:rPr>
          <w:rFonts w:ascii="方正仿宋_GBK" w:hAnsi="方正仿宋_GBK" w:eastAsia="方正仿宋_GBK" w:cs="方正仿宋_GBK"/>
          <w:b w:val="0"/>
          <w:bCs/>
          <w:sz w:val="32"/>
          <w:szCs w:val="32"/>
        </w:rPr>
        <w:t>万</w:t>
      </w:r>
      <w:r>
        <w:rPr>
          <w:rFonts w:ascii="方正仿宋_GBK" w:hAnsi="方正仿宋_GBK" w:eastAsia="方正仿宋_GBK" w:cs="方正仿宋_GBK"/>
          <w:b w:val="0"/>
          <w:bCs/>
          <w:sz w:val="32"/>
          <w:szCs w:val="32"/>
          <w:shd w:val="clear" w:color="auto" w:fill="FFFFFF"/>
        </w:rPr>
        <w:t>元，占政府采购支出总额的</w:t>
      </w:r>
      <w:r>
        <w:rPr>
          <w:rFonts w:hint="default" w:ascii="Times New Roman" w:hAnsi="Times New Roman" w:eastAsia="方正仿宋_GBK"/>
          <w:b w:val="0"/>
          <w:bCs/>
          <w:sz w:val="32"/>
          <w:szCs w:val="32"/>
          <w:shd w:val="clear" w:color="auto" w:fill="FFFFFF"/>
        </w:rPr>
        <w:t>100.0%</w:t>
      </w:r>
      <w:r>
        <w:rPr>
          <w:rFonts w:ascii="方正仿宋_GBK" w:hAnsi="方正仿宋_GBK" w:eastAsia="方正仿宋_GBK" w:cs="方正仿宋_GBK"/>
          <w:b w:val="0"/>
          <w:bCs/>
          <w:sz w:val="32"/>
          <w:szCs w:val="32"/>
          <w:shd w:val="clear" w:color="auto" w:fill="FFFFFF"/>
        </w:rPr>
        <w:t>，其中：授予小微企业合同金额</w:t>
      </w:r>
      <w:r>
        <w:rPr>
          <w:rFonts w:hint="default" w:ascii="Times New Roman" w:hAnsi="Times New Roman" w:eastAsia="方正仿宋_GBK"/>
          <w:b w:val="0"/>
          <w:bCs/>
          <w:sz w:val="32"/>
          <w:szCs w:val="32"/>
          <w:shd w:val="clear" w:color="auto" w:fill="FFFFFF"/>
        </w:rPr>
        <w:t>4.45</w:t>
      </w:r>
      <w:r>
        <w:rPr>
          <w:rFonts w:ascii="方正仿宋_GBK" w:hAnsi="方正仿宋_GBK" w:eastAsia="方正仿宋_GBK" w:cs="方正仿宋_GBK"/>
          <w:b w:val="0"/>
          <w:bCs/>
          <w:sz w:val="32"/>
          <w:szCs w:val="32"/>
          <w:shd w:val="clear" w:color="auto" w:fill="FFFFFF"/>
        </w:rPr>
        <w:t>万元，占政府采购支出总额的</w:t>
      </w:r>
      <w:r>
        <w:rPr>
          <w:rFonts w:hint="default" w:ascii="Times New Roman" w:hAnsi="Times New Roman" w:eastAsia="方正仿宋_GBK"/>
          <w:b w:val="0"/>
          <w:bCs/>
          <w:sz w:val="32"/>
          <w:szCs w:val="32"/>
          <w:shd w:val="clear" w:color="auto" w:fill="FFFFFF"/>
        </w:rPr>
        <w:t>100.0 %</w:t>
      </w:r>
      <w:r>
        <w:rPr>
          <w:rFonts w:ascii="方正仿宋_GBK" w:hAnsi="方正仿宋_GBK" w:eastAsia="方正仿宋_GBK" w:cs="方正仿宋_GBK"/>
          <w:b w:val="0"/>
          <w:bCs/>
          <w:sz w:val="32"/>
          <w:szCs w:val="32"/>
          <w:shd w:val="clear" w:color="auto" w:fill="FFFFFF"/>
        </w:rPr>
        <w:t>。主要用于采购</w:t>
      </w:r>
      <w:r>
        <w:rPr>
          <w:rFonts w:hint="eastAsia" w:ascii="方正仿宋_GBK" w:hAnsi="方正仿宋_GBK" w:eastAsia="方正仿宋_GBK" w:cs="方正仿宋_GBK"/>
          <w:b w:val="0"/>
          <w:bCs/>
          <w:color w:val="auto"/>
          <w:sz w:val="32"/>
          <w:szCs w:val="32"/>
          <w:shd w:val="clear" w:color="auto" w:fill="FFFFFF"/>
          <w:lang w:eastAsia="zh-CN"/>
        </w:rPr>
        <w:t>临时需要的办公设备等。</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lang w:val="en-US" w:eastAsia="zh-CN" w:bidi="ar-SA"/>
        </w:rPr>
      </w:pPr>
      <w:r>
        <w:rPr>
          <w:rStyle w:val="10"/>
          <w:rFonts w:hint="default" w:ascii="Times New Roman" w:hAnsi="Times New Roman" w:eastAsia="方正黑体_GBK" w:cs="Times New Roman"/>
          <w:b w:val="0"/>
          <w:bCs/>
          <w:sz w:val="32"/>
          <w:szCs w:val="32"/>
          <w:shd w:val="clear" w:color="auto" w:fill="FFFFFF"/>
          <w:lang w:val="en-US" w:eastAsia="zh-CN" w:bidi="ar-SA"/>
        </w:rPr>
        <w:t>五、2024年度预算绩效管理情况说明</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（一）预算绩效管理工作开展情况</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rPr>
        <w:t>根据预算绩效管理要求，我</w:t>
      </w:r>
      <w:r>
        <w:rPr>
          <w:rFonts w:hint="eastAsia" w:ascii="Times New Roman" w:hAnsi="Times New Roman" w:eastAsia="方正仿宋_GBK" w:cs="Times New Roman"/>
          <w:b w:val="0"/>
          <w:bCs/>
          <w:sz w:val="32"/>
          <w:szCs w:val="32"/>
          <w:lang w:eastAsia="zh-CN"/>
        </w:rPr>
        <w:t>办</w:t>
      </w:r>
      <w:r>
        <w:rPr>
          <w:rFonts w:hint="eastAsia" w:ascii="Times New Roman" w:hAnsi="Times New Roman" w:eastAsia="方正仿宋_GBK" w:cs="Times New Roman"/>
          <w:b w:val="0"/>
          <w:bCs/>
          <w:sz w:val="32"/>
          <w:szCs w:val="32"/>
        </w:rPr>
        <w:t>对</w:t>
      </w:r>
      <w:r>
        <w:rPr>
          <w:rFonts w:hint="eastAsia" w:ascii="Times New Roman" w:hAnsi="Times New Roman" w:eastAsia="方正仿宋_GBK" w:cs="Times New Roman"/>
          <w:b w:val="0"/>
          <w:bCs/>
          <w:sz w:val="32"/>
          <w:szCs w:val="32"/>
          <w:lang w:val="en-US" w:eastAsia="zh-CN"/>
        </w:rPr>
        <w:t>5</w:t>
      </w:r>
      <w:r>
        <w:rPr>
          <w:rFonts w:hint="eastAsia" w:ascii="Times New Roman" w:hAnsi="Times New Roman" w:eastAsia="方正仿宋_GBK" w:cs="Times New Roman"/>
          <w:b w:val="0"/>
          <w:bCs/>
          <w:sz w:val="32"/>
          <w:szCs w:val="32"/>
        </w:rPr>
        <w:t>个项目开展了绩效自评，其中，以填报绩效自评表形式开展自评</w:t>
      </w:r>
      <w:r>
        <w:rPr>
          <w:rFonts w:hint="eastAsia" w:ascii="Times New Roman" w:hAnsi="Times New Roman" w:eastAsia="方正仿宋_GBK" w:cs="Times New Roman"/>
          <w:b w:val="0"/>
          <w:bCs/>
          <w:sz w:val="32"/>
          <w:szCs w:val="32"/>
          <w:lang w:val="en-US" w:eastAsia="zh-CN"/>
        </w:rPr>
        <w:t>5</w:t>
      </w:r>
      <w:r>
        <w:rPr>
          <w:rFonts w:hint="eastAsia" w:ascii="Times New Roman" w:hAnsi="Times New Roman" w:eastAsia="方正仿宋_GBK" w:cs="Times New Roman"/>
          <w:b w:val="0"/>
          <w:bCs/>
          <w:sz w:val="32"/>
          <w:szCs w:val="32"/>
        </w:rPr>
        <w:t>项，涉及资金</w:t>
      </w:r>
      <w:r>
        <w:rPr>
          <w:rFonts w:hint="eastAsia" w:ascii="Times New Roman" w:hAnsi="Times New Roman" w:eastAsia="方正仿宋_GBK" w:cs="Times New Roman"/>
          <w:b w:val="0"/>
          <w:bCs/>
          <w:sz w:val="32"/>
          <w:szCs w:val="32"/>
          <w:lang w:val="en-US" w:eastAsia="zh-CN"/>
        </w:rPr>
        <w:t>379.83</w:t>
      </w:r>
      <w:r>
        <w:rPr>
          <w:rFonts w:hint="eastAsia" w:ascii="Times New Roman" w:hAnsi="Times New Roman" w:eastAsia="方正仿宋_GBK" w:cs="Times New Roman"/>
          <w:b w:val="0"/>
          <w:bCs/>
          <w:sz w:val="32"/>
          <w:szCs w:val="32"/>
        </w:rPr>
        <w:t>万元。</w:t>
      </w:r>
      <w:r>
        <w:rPr>
          <w:rFonts w:hint="eastAsia" w:ascii="Times New Roman" w:hAnsi="Times New Roman" w:eastAsia="方正仿宋_GBK" w:cs="Times New Roman"/>
          <w:b w:val="0"/>
          <w:bCs/>
          <w:sz w:val="32"/>
          <w:szCs w:val="32"/>
          <w:lang w:val="en-US" w:eastAsia="zh-CN"/>
        </w:rPr>
        <w:t>从评价情况来看5个项目都100%完成了预期绩效目标。</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方正楷体_GBK" w:hAnsi="方正楷体_GBK" w:eastAsia="方正楷体_GBK" w:cs="方正楷体_GBK"/>
          <w:b w:val="0"/>
          <w:bCs/>
          <w:sz w:val="32"/>
          <w:szCs w:val="32"/>
          <w:lang w:val="en-US" w:eastAsia="zh-CN"/>
        </w:rPr>
      </w:pPr>
      <w:r>
        <w:rPr>
          <w:rFonts w:hint="eastAsia" w:ascii="方正楷体_GBK" w:hAnsi="方正楷体_GBK" w:eastAsia="方正楷体_GBK" w:cs="方正楷体_GBK"/>
          <w:b w:val="0"/>
          <w:bCs/>
          <w:sz w:val="32"/>
          <w:szCs w:val="32"/>
          <w:lang w:val="en-US" w:eastAsia="zh-CN"/>
        </w:rPr>
        <w:t>（二）绩效自评结果</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w:t>
      </w:r>
      <w:r>
        <w:rPr>
          <w:rFonts w:hint="eastAsia"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rPr>
        <w:t>绩效目标自评表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（1）公开范围。整体绩效自评表</w:t>
      </w:r>
      <w:r>
        <w:rPr>
          <w:rFonts w:hint="eastAsia" w:ascii="Times New Roman" w:hAnsi="Times New Roman" w:eastAsia="方正仿宋_GBK" w:cs="Times New Roman"/>
          <w:b w:val="0"/>
          <w:bCs/>
          <w:sz w:val="32"/>
          <w:szCs w:val="32"/>
          <w:lang w:eastAsia="zh-CN"/>
        </w:rPr>
        <w:t>（无）</w:t>
      </w:r>
      <w:r>
        <w:rPr>
          <w:rFonts w:hint="eastAsia" w:ascii="Times New Roman" w:hAnsi="Times New Roman" w:eastAsia="方正仿宋_GBK" w:cs="Times New Roman"/>
          <w:b w:val="0"/>
          <w:bCs/>
          <w:sz w:val="32"/>
          <w:szCs w:val="32"/>
        </w:rPr>
        <w:t>，部分项目绩效自评表。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（2）公开内容。详见</w:t>
      </w:r>
      <w:r>
        <w:rPr>
          <w:rFonts w:hint="eastAsia" w:ascii="Times New Roman" w:hAnsi="Times New Roman" w:eastAsia="方正仿宋_GBK" w:cs="Times New Roman"/>
          <w:b w:val="0"/>
          <w:bCs/>
          <w:sz w:val="32"/>
          <w:szCs w:val="32"/>
          <w:lang w:eastAsia="zh-CN"/>
        </w:rPr>
        <w:t>公开表</w:t>
      </w:r>
      <w:r>
        <w:rPr>
          <w:rFonts w:hint="eastAsia" w:ascii="Times New Roman" w:hAnsi="Times New Roman" w:eastAsia="方正仿宋_GBK" w:cs="Times New Roman"/>
          <w:b w:val="0"/>
          <w:bCs/>
          <w:sz w:val="32"/>
          <w:szCs w:val="32"/>
        </w:rPr>
        <w:t>。</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rPr>
        <w:t>2</w:t>
      </w:r>
      <w:r>
        <w:rPr>
          <w:rFonts w:hint="eastAsia" w:ascii="Times New Roman" w:hAnsi="Times New Roman" w:eastAsia="方正仿宋_GBK" w:cs="Times New Roman"/>
          <w:b w:val="0"/>
          <w:bCs/>
          <w:sz w:val="32"/>
          <w:szCs w:val="32"/>
          <w:lang w:eastAsia="zh-CN"/>
        </w:rPr>
        <w:t>．</w:t>
      </w:r>
      <w:r>
        <w:rPr>
          <w:rFonts w:hint="eastAsia" w:ascii="Times New Roman" w:hAnsi="Times New Roman" w:eastAsia="方正仿宋_GBK" w:cs="Times New Roman"/>
          <w:b w:val="0"/>
          <w:bCs/>
          <w:sz w:val="32"/>
          <w:szCs w:val="32"/>
        </w:rPr>
        <w:t>绩效自评报告或案例</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本单位无绩效自评报告。</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rPr>
      </w:pPr>
      <w:r>
        <w:rPr>
          <w:rFonts w:hint="eastAsia" w:ascii="Times New Roman" w:hAnsi="Times New Roman" w:eastAsia="方正仿宋_GBK" w:cs="Times New Roman"/>
          <w:b w:val="0"/>
          <w:bCs/>
          <w:sz w:val="32"/>
          <w:szCs w:val="32"/>
          <w:lang w:val="en-US" w:eastAsia="zh-CN"/>
        </w:rPr>
        <w:t>3．</w:t>
      </w:r>
      <w:r>
        <w:rPr>
          <w:rFonts w:hint="eastAsia" w:ascii="Times New Roman" w:hAnsi="Times New Roman" w:eastAsia="方正仿宋_GBK" w:cs="Times New Roman"/>
          <w:b w:val="0"/>
          <w:bCs/>
          <w:sz w:val="32"/>
          <w:szCs w:val="32"/>
        </w:rPr>
        <w:t>关于绩效自评结果的说明</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hint="eastAsia" w:ascii="Times New Roman" w:hAnsi="Times New Roman" w:eastAsia="方正仿宋_GBK" w:cs="Times New Roman"/>
          <w:b w:val="0"/>
          <w:bCs/>
          <w:sz w:val="32"/>
          <w:szCs w:val="32"/>
          <w:lang w:val="en-US" w:eastAsia="zh-CN"/>
        </w:rPr>
      </w:pPr>
      <w:r>
        <w:rPr>
          <w:rFonts w:hint="eastAsia" w:ascii="Times New Roman" w:hAnsi="Times New Roman" w:eastAsia="方正仿宋_GBK" w:cs="Times New Roman"/>
          <w:b w:val="0"/>
          <w:bCs/>
          <w:sz w:val="32"/>
          <w:szCs w:val="32"/>
          <w:lang w:val="en-US" w:eastAsia="zh-CN"/>
        </w:rPr>
        <w:t>全部</w:t>
      </w:r>
      <w:bookmarkStart w:id="0" w:name="_GoBack"/>
      <w:bookmarkEnd w:id="0"/>
      <w:r>
        <w:rPr>
          <w:rFonts w:hint="eastAsia" w:ascii="Times New Roman" w:hAnsi="Times New Roman" w:eastAsia="方正仿宋_GBK" w:cs="Times New Roman"/>
          <w:b w:val="0"/>
          <w:bCs/>
          <w:sz w:val="32"/>
          <w:szCs w:val="32"/>
          <w:lang w:val="en-US" w:eastAsia="zh-CN"/>
        </w:rPr>
        <w:t>项目都完成了绩效目标。</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480" w:firstLineChars="150"/>
        <w:jc w:val="both"/>
        <w:textAlignment w:val="auto"/>
        <w:rPr>
          <w:rFonts w:hint="eastAsia" w:ascii="Times New Roman" w:hAnsi="Times New Roman" w:eastAsia="方正仿宋_GBK" w:cs="Times New Roman"/>
          <w:b w:val="0"/>
          <w:bCs/>
          <w:sz w:val="32"/>
          <w:szCs w:val="32"/>
          <w:lang w:eastAsia="zh-CN"/>
        </w:rPr>
      </w:pPr>
      <w:r>
        <w:rPr>
          <w:rFonts w:hint="eastAsia" w:ascii="方正楷体_GBK" w:hAnsi="方正楷体_GBK" w:eastAsia="方正楷体_GBK" w:cs="方正楷体_GBK"/>
          <w:b w:val="0"/>
          <w:bCs/>
          <w:sz w:val="32"/>
          <w:szCs w:val="32"/>
          <w:lang w:val="en-US" w:eastAsia="zh-CN"/>
        </w:rPr>
        <w:t>（三）重点绩效评价结果</w:t>
      </w:r>
    </w:p>
    <w:p>
      <w:pPr>
        <w:keepNext w:val="0"/>
        <w:keepLines w:val="0"/>
        <w:pageBreakBefore w:val="0"/>
        <w:widowControl/>
        <w:numPr>
          <w:ilvl w:val="0"/>
          <w:numId w:val="0"/>
        </w:numPr>
        <w:kinsoku/>
        <w:wordWrap/>
        <w:overflowPunct/>
        <w:topLinePunct w:val="0"/>
        <w:autoSpaceDE/>
        <w:autoSpaceDN/>
        <w:bidi w:val="0"/>
        <w:adjustRightInd/>
        <w:snapToGrid/>
        <w:spacing w:line="576" w:lineRule="exact"/>
        <w:ind w:left="0" w:leftChars="0" w:firstLine="480" w:firstLineChars="150"/>
        <w:jc w:val="both"/>
        <w:textAlignment w:val="auto"/>
        <w:rPr>
          <w:rFonts w:hint="eastAsia" w:ascii="Times New Roman" w:hAnsi="Times New Roman" w:eastAsia="方正仿宋_GBK" w:cs="Times New Roman"/>
          <w:b w:val="0"/>
          <w:bCs/>
          <w:sz w:val="32"/>
          <w:szCs w:val="32"/>
          <w:lang w:eastAsia="zh-CN"/>
        </w:rPr>
      </w:pPr>
      <w:r>
        <w:rPr>
          <w:rFonts w:hint="eastAsia" w:ascii="Times New Roman" w:hAnsi="Times New Roman" w:eastAsia="方正仿宋_GBK" w:cs="Times New Roman"/>
          <w:b w:val="0"/>
          <w:bCs/>
          <w:sz w:val="32"/>
          <w:szCs w:val="32"/>
          <w:lang w:eastAsia="zh-CN"/>
        </w:rPr>
        <w:t>本单位无</w:t>
      </w:r>
      <w:r>
        <w:rPr>
          <w:rFonts w:hint="eastAsia" w:ascii="Times New Roman" w:hAnsi="Times New Roman" w:eastAsia="方正仿宋_GBK" w:cs="Times New Roman"/>
          <w:b w:val="0"/>
          <w:bCs/>
          <w:sz w:val="32"/>
          <w:szCs w:val="32"/>
        </w:rPr>
        <w:t>项目开展重点绩效评价</w:t>
      </w:r>
      <w:r>
        <w:rPr>
          <w:rFonts w:hint="eastAsia" w:ascii="Times New Roman" w:hAnsi="Times New Roman" w:eastAsia="方正仿宋_GBK" w:cs="Times New Roman"/>
          <w:b w:val="0"/>
          <w:bCs/>
          <w:sz w:val="32"/>
          <w:szCs w:val="32"/>
          <w:lang w:eastAsia="zh-CN"/>
        </w:rPr>
        <w:t>。</w:t>
      </w:r>
    </w:p>
    <w:p>
      <w:pPr>
        <w:pStyle w:val="12"/>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10"/>
          <w:rFonts w:hint="eastAsia" w:ascii="黑体" w:hAnsi="黑体" w:eastAsia="黑体" w:cs="黑体"/>
          <w:b w:val="0"/>
          <w:bCs/>
          <w:sz w:val="32"/>
          <w:szCs w:val="32"/>
          <w:shd w:val="clear" w:color="auto" w:fill="FFFFFF"/>
          <w:lang w:val="en-US" w:eastAsia="zh-CN" w:bidi="ar-SA"/>
        </w:rPr>
      </w:pPr>
      <w:r>
        <w:rPr>
          <w:rStyle w:val="10"/>
          <w:rFonts w:hint="eastAsia" w:ascii="黑体" w:hAnsi="黑体" w:eastAsia="黑体" w:cs="黑体"/>
          <w:b w:val="0"/>
          <w:bCs/>
          <w:sz w:val="32"/>
          <w:szCs w:val="32"/>
          <w:shd w:val="clear" w:color="auto" w:fill="FFFFFF"/>
          <w:lang w:val="en-US" w:eastAsia="zh-CN" w:bidi="ar-SA"/>
        </w:rPr>
        <w:t>六、专业名词解释</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（一）财政拨款收入：</w:t>
      </w:r>
      <w:r>
        <w:rPr>
          <w:rFonts w:hint="eastAsia" w:ascii="方正仿宋_GBK" w:hAnsi="方正仿宋_GBK" w:eastAsia="方正仿宋_GBK" w:cs="方正仿宋_GBK"/>
          <w:b w:val="0"/>
          <w:bCs/>
          <w:kern w:val="0"/>
          <w:sz w:val="32"/>
          <w:szCs w:val="32"/>
          <w:shd w:val="clear" w:fill="FFFFFF"/>
        </w:rPr>
        <w:t>指本年度从本级财政部门取得的财</w:t>
      </w:r>
      <w:r>
        <w:rPr>
          <w:rFonts w:hint="eastAsia" w:ascii="方正仿宋_GBK" w:hAnsi="方正仿宋_GBK" w:eastAsia="方正仿宋_GBK" w:cs="方正仿宋_GBK"/>
          <w:b w:val="0"/>
          <w:bCs/>
          <w:spacing w:val="-6"/>
          <w:kern w:val="0"/>
          <w:sz w:val="32"/>
          <w:szCs w:val="32"/>
          <w:shd w:val="clear" w:fill="FFFFFF"/>
        </w:rPr>
        <w:t>政拨款，包括一般公共预算财政拨款和政府性基金预算财政拨</w:t>
      </w:r>
      <w:r>
        <w:rPr>
          <w:rFonts w:hint="eastAsia" w:ascii="方正仿宋_GBK" w:hAnsi="方正仿宋_GBK" w:eastAsia="方正仿宋_GBK" w:cs="方正仿宋_GBK"/>
          <w:b w:val="0"/>
          <w:bCs/>
          <w:kern w:val="0"/>
          <w:sz w:val="32"/>
          <w:szCs w:val="32"/>
          <w:shd w:val="clear" w:fill="FFFFFF"/>
        </w:rPr>
        <w:t>款。</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（二）事业收入：</w:t>
      </w:r>
      <w:r>
        <w:rPr>
          <w:rFonts w:hint="eastAsia" w:ascii="方正仿宋_GBK" w:hAnsi="方正仿宋_GBK" w:eastAsia="方正仿宋_GBK" w:cs="方正仿宋_GBK"/>
          <w:b w:val="0"/>
          <w:bCs/>
          <w:kern w:val="0"/>
          <w:sz w:val="32"/>
          <w:szCs w:val="32"/>
          <w:shd w:val="clear" w:fill="FFFFFF"/>
        </w:rPr>
        <w:t>指事业单位开展专业业务活动及其辅助活动取得的现金流入；事业单位收到的财政专户实际核拨的教育收费等资金在此反映。</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（三）经营收入：</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指事业单位在专业业务活动及其辅助活动之外开展非独立核算经营活动取得的现金流入。</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（四）其他收入：</w:t>
      </w:r>
      <w:r>
        <w:rPr>
          <w:rFonts w:hint="eastAsia" w:ascii="方正仿宋_GBK" w:hAnsi="方正仿宋_GBK" w:eastAsia="方正仿宋_GBK" w:cs="方正仿宋_GBK"/>
          <w:b w:val="0"/>
          <w:bCs/>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b w:val="0"/>
          <w:bCs/>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（六）年初结转和结余：</w:t>
      </w:r>
      <w:r>
        <w:rPr>
          <w:rFonts w:hint="eastAsia" w:ascii="方正仿宋_GBK" w:hAnsi="方正仿宋_GBK" w:eastAsia="方正仿宋_GBK" w:cs="方正仿宋_GBK"/>
          <w:b w:val="0"/>
          <w:bCs/>
          <w:kern w:val="0"/>
          <w:sz w:val="32"/>
          <w:szCs w:val="32"/>
          <w:shd w:val="clear" w:fill="FFFFFF"/>
        </w:rPr>
        <w:t>指单位上年结转本年使用的基本支出结转、项目支出结转和结余、经营结余。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（七）结余分配：</w:t>
      </w:r>
      <w:r>
        <w:rPr>
          <w:rFonts w:hint="eastAsia" w:ascii="方正仿宋_GBK" w:hAnsi="方正仿宋_GBK" w:eastAsia="方正仿宋_GBK" w:cs="方正仿宋_GBK"/>
          <w:b w:val="0"/>
          <w:bCs/>
          <w:kern w:val="0"/>
          <w:sz w:val="32"/>
          <w:szCs w:val="32"/>
          <w:shd w:val="clear" w:fill="FFFFFF"/>
        </w:rPr>
        <w:t>指单位按照国家有关规定，缴纳所得税、提取专用基金、转入非财政拨款结余等当年结余的分配情况。</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（八）年末结转和结余：</w:t>
      </w:r>
      <w:r>
        <w:rPr>
          <w:rFonts w:hint="eastAsia" w:ascii="方正仿宋_GBK" w:hAnsi="方正仿宋_GBK" w:eastAsia="方正仿宋_GBK" w:cs="方正仿宋_GBK"/>
          <w:b w:val="0"/>
          <w:bCs/>
          <w:kern w:val="0"/>
          <w:sz w:val="32"/>
          <w:szCs w:val="32"/>
          <w:shd w:val="clear" w:fill="FFFFFF"/>
        </w:rPr>
        <w:t>指单位结转下年的基本支出结转、项目支出结转和结余、经营结余。</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（九）基本支出：</w:t>
      </w:r>
      <w:r>
        <w:rPr>
          <w:rFonts w:hint="eastAsia" w:ascii="方正仿宋_GBK" w:hAnsi="方正仿宋_GBK" w:eastAsia="方正仿宋_GBK" w:cs="方正仿宋_GBK"/>
          <w:b w:val="0"/>
          <w:bCs/>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（十）项目支出：</w:t>
      </w:r>
      <w:r>
        <w:rPr>
          <w:rFonts w:hint="eastAsia" w:ascii="方正仿宋_GBK" w:hAnsi="方正仿宋_GBK" w:eastAsia="方正仿宋_GBK" w:cs="方正仿宋_GBK"/>
          <w:b w:val="0"/>
          <w:bCs/>
          <w:kern w:val="0"/>
          <w:sz w:val="32"/>
          <w:szCs w:val="32"/>
          <w:shd w:val="clear" w:fill="FFFFFF"/>
        </w:rPr>
        <w:t>指在基本支出之外为完成特定行政任务和事业发展目标所发生的支出。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（十一）经营支出：</w:t>
      </w:r>
      <w:r>
        <w:rPr>
          <w:rFonts w:hint="eastAsia" w:ascii="方正仿宋_GBK" w:hAnsi="方正仿宋_GBK" w:eastAsia="方正仿宋_GBK" w:cs="方正仿宋_GBK"/>
          <w:b w:val="0"/>
          <w:bCs/>
          <w:kern w:val="0"/>
          <w:sz w:val="32"/>
          <w:szCs w:val="32"/>
          <w:shd w:val="clear" w:fill="FFFFFF"/>
        </w:rPr>
        <w:t>指事业单位在专业业务活动及其辅助活动之外开展非独立核算经营活动发生的支出。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（十二）“三公”经费：</w:t>
      </w:r>
      <w:r>
        <w:rPr>
          <w:rFonts w:hint="eastAsia" w:ascii="方正仿宋_GBK" w:hAnsi="方正仿宋_GBK" w:eastAsia="方正仿宋_GBK" w:cs="方正仿宋_GBK"/>
          <w:b w:val="0"/>
          <w:bCs/>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（十三）机关运行经费：</w:t>
      </w:r>
      <w:r>
        <w:rPr>
          <w:rFonts w:hint="eastAsia" w:ascii="方正仿宋_GBK" w:hAnsi="方正仿宋_GBK" w:eastAsia="方正仿宋_GBK" w:cs="方正仿宋_GBK"/>
          <w:b w:val="0"/>
          <w:bCs/>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b w:val="0"/>
          <w:bCs/>
          <w:kern w:val="0"/>
          <w:sz w:val="32"/>
          <w:szCs w:val="32"/>
          <w:shd w:val="clear" w:fill="FFFFFF"/>
        </w:rPr>
        <w:t>反映单位开支的在职职工和编制外长期聘用人员的各类劳动报酬，以及为上述人员缴纳的各项社会保险费等。</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b w:val="0"/>
          <w:bCs/>
          <w:kern w:val="0"/>
          <w:sz w:val="32"/>
          <w:szCs w:val="32"/>
          <w:shd w:val="clear" w:fill="FFFFFF"/>
        </w:rPr>
        <w:t>反映单位购买商品和服务的支出（不包括用于购置固定资产的支出、战略性和应急储备支出）。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b w:val="0"/>
          <w:bCs/>
          <w:kern w:val="0"/>
          <w:sz w:val="32"/>
          <w:szCs w:val="32"/>
          <w:shd w:val="clear" w:fill="FFFFFF"/>
        </w:rPr>
        <w:t>反映用于对个人和家庭的补助支出。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b w:val="0"/>
          <w:bCs/>
          <w:kern w:val="0"/>
          <w:sz w:val="32"/>
          <w:szCs w:val="32"/>
        </w:rPr>
      </w:pPr>
      <w:r>
        <w:rPr>
          <w:rStyle w:val="10"/>
          <w:rFonts w:hint="eastAsia" w:ascii="楷体" w:hAnsi="楷体" w:eastAsia="楷体" w:cs="楷体"/>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b w:val="0"/>
          <w:bCs/>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Style w:val="10"/>
          <w:rFonts w:hint="eastAsia" w:ascii="黑体" w:hAnsi="黑体" w:eastAsia="黑体" w:cs="黑体"/>
          <w:b w:val="0"/>
          <w:bCs/>
          <w:sz w:val="32"/>
          <w:szCs w:val="32"/>
          <w:shd w:val="clear" w:color="auto" w:fill="FFFFFF"/>
          <w:lang w:val="en-US" w:eastAsia="zh-CN" w:bidi="ar-SA"/>
        </w:rPr>
      </w:pPr>
      <w:r>
        <w:rPr>
          <w:rStyle w:val="10"/>
          <w:rFonts w:hint="eastAsia" w:ascii="黑体" w:hAnsi="黑体" w:eastAsia="黑体" w:cs="黑体"/>
          <w:b w:val="0"/>
          <w:bCs/>
          <w:sz w:val="32"/>
          <w:szCs w:val="32"/>
          <w:shd w:val="clear" w:color="auto" w:fill="FFFFFF"/>
          <w:lang w:val="en-US" w:eastAsia="zh-CN" w:bidi="ar-SA"/>
        </w:rPr>
        <w:t>七、决算公开联系方式及信息反馈渠道</w:t>
      </w:r>
    </w:p>
    <w:p>
      <w:pPr>
        <w:pStyle w:val="12"/>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kern w:val="0"/>
          <w:sz w:val="32"/>
          <w:szCs w:val="32"/>
          <w:lang w:val="en-US" w:eastAsia="zh-CN"/>
        </w:rPr>
      </w:pPr>
      <w:r>
        <w:rPr>
          <w:rFonts w:hint="default" w:ascii="Times New Roman" w:hAnsi="Times New Roman" w:eastAsia="方正仿宋_GBK" w:cs="Times New Roman"/>
          <w:b w:val="0"/>
          <w:bCs/>
          <w:kern w:val="0"/>
          <w:sz w:val="32"/>
          <w:szCs w:val="32"/>
          <w:shd w:val="clear" w:fill="FFFFFF"/>
        </w:rPr>
        <w:t>本单位决算公开信息反馈和联系方式：</w:t>
      </w:r>
      <w:r>
        <w:rPr>
          <w:rFonts w:hint="default" w:ascii="Times New Roman" w:hAnsi="Times New Roman" w:eastAsia="方正仿宋_GBK" w:cs="Times New Roman"/>
          <w:b w:val="0"/>
          <w:bCs/>
          <w:kern w:val="0"/>
          <w:sz w:val="32"/>
          <w:szCs w:val="32"/>
          <w:shd w:val="clear" w:fill="FFFFFF"/>
          <w:lang w:val="en-US" w:eastAsia="zh-CN"/>
        </w:rPr>
        <w:t>023</w:t>
      </w:r>
      <w:r>
        <w:rPr>
          <w:rFonts w:hint="eastAsia" w:ascii="Times New Roman" w:hAnsi="Times New Roman" w:eastAsia="方正仿宋_GBK" w:cs="Times New Roman"/>
          <w:b w:val="0"/>
          <w:bCs/>
          <w:kern w:val="0"/>
          <w:sz w:val="32"/>
          <w:szCs w:val="32"/>
          <w:shd w:val="clear" w:fill="FFFFFF"/>
          <w:lang w:val="en-US" w:eastAsia="zh-CN"/>
        </w:rPr>
        <w:t>—</w:t>
      </w:r>
      <w:r>
        <w:rPr>
          <w:rFonts w:hint="default" w:ascii="Times New Roman" w:hAnsi="Times New Roman" w:eastAsia="方正仿宋_GBK" w:cs="Times New Roman"/>
          <w:b w:val="0"/>
          <w:bCs/>
          <w:kern w:val="0"/>
          <w:sz w:val="32"/>
          <w:szCs w:val="32"/>
          <w:shd w:val="clear" w:fill="FFFFFF"/>
          <w:lang w:val="en-US" w:eastAsia="zh-CN"/>
        </w:rPr>
        <w:t>48663093</w:t>
      </w:r>
      <w:r>
        <w:rPr>
          <w:rFonts w:hint="eastAsia" w:ascii="Times New Roman" w:hAnsi="Times New Roman" w:eastAsia="方正仿宋_GBK" w:cs="Times New Roman"/>
          <w:b w:val="0"/>
          <w:bCs/>
          <w:kern w:val="0"/>
          <w:sz w:val="32"/>
          <w:szCs w:val="32"/>
          <w:shd w:val="clear" w:fill="FFFFFF"/>
          <w:lang w:val="en-US" w:eastAsia="zh-CN"/>
        </w:rPr>
        <w:t>。</w:t>
      </w:r>
    </w:p>
    <w:p>
      <w:pPr>
        <w:pStyle w:val="11"/>
        <w:autoSpaceDE w:val="0"/>
        <w:spacing w:line="596" w:lineRule="exact"/>
        <w:ind w:firstLine="640"/>
        <w:jc w:val="both"/>
        <w:rPr>
          <w:rStyle w:val="13"/>
          <w:rFonts w:hint="eastAsia" w:ascii="方正仿宋_GBK" w:hAnsi="方正仿宋_GBK" w:eastAsia="方正仿宋_GBK" w:cs="方正仿宋_GBK"/>
          <w:b/>
          <w:bCs/>
          <w:sz w:val="32"/>
          <w:szCs w:val="32"/>
          <w:shd w:val="clear" w:fill="FFFF00"/>
        </w:rPr>
      </w:pPr>
    </w:p>
    <w:p>
      <w:pPr>
        <w:rPr>
          <w:rFonts w:hint="default" w:cs="宋体"/>
          <w:sz w:val="18"/>
          <w:szCs w:val="18"/>
        </w:rPr>
      </w:pPr>
    </w:p>
    <w:sectPr>
      <w:headerReference r:id="rId3" w:type="default"/>
      <w:footerReference r:id="rId4" w:type="default"/>
      <w:pgSz w:w="11850" w:h="16783"/>
      <w:pgMar w:top="2098" w:right="1474" w:bottom="1984" w:left="1587" w:header="850" w:footer="1474" w:gutter="0"/>
      <w:pgNumType w:fmt="decimal"/>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172A27"/>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5E53F4A"/>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6A6EE2"/>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1B659B"/>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D485469"/>
    <w:rsid w:val="2EBF7B3E"/>
    <w:rsid w:val="2EDE1934"/>
    <w:rsid w:val="2FCA4B37"/>
    <w:rsid w:val="2FE029D7"/>
    <w:rsid w:val="2FF06E00"/>
    <w:rsid w:val="30562E26"/>
    <w:rsid w:val="30586FEC"/>
    <w:rsid w:val="30C90C6B"/>
    <w:rsid w:val="30EC7046"/>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A46C58"/>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CD7C8F"/>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76B78"/>
    <w:rsid w:val="558E4E05"/>
    <w:rsid w:val="55BE2E85"/>
    <w:rsid w:val="55D82B6C"/>
    <w:rsid w:val="561D52C4"/>
    <w:rsid w:val="5651697D"/>
    <w:rsid w:val="56530F5D"/>
    <w:rsid w:val="56692AE5"/>
    <w:rsid w:val="567700D3"/>
    <w:rsid w:val="56FF7E9E"/>
    <w:rsid w:val="578867FC"/>
    <w:rsid w:val="5842572D"/>
    <w:rsid w:val="5A3B59D6"/>
    <w:rsid w:val="5AB65273"/>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52349"/>
    <w:rsid w:val="6AAD2300"/>
    <w:rsid w:val="6B474EF5"/>
    <w:rsid w:val="6BBF53FD"/>
    <w:rsid w:val="6C560CAE"/>
    <w:rsid w:val="6C576495"/>
    <w:rsid w:val="6D903FF5"/>
    <w:rsid w:val="6DA955B8"/>
    <w:rsid w:val="6DE346AB"/>
    <w:rsid w:val="6DE5391A"/>
    <w:rsid w:val="6EFD1324"/>
    <w:rsid w:val="6F5A53AC"/>
    <w:rsid w:val="6FAB5E73"/>
    <w:rsid w:val="6FAC003D"/>
    <w:rsid w:val="6FE55E12"/>
    <w:rsid w:val="6FFB2E76"/>
    <w:rsid w:val="704F17AA"/>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8FA768E"/>
    <w:rsid w:val="796D60A4"/>
    <w:rsid w:val="79A031D5"/>
    <w:rsid w:val="7A1525F7"/>
    <w:rsid w:val="7B24540B"/>
    <w:rsid w:val="7B420052"/>
    <w:rsid w:val="7B861484"/>
    <w:rsid w:val="7BD06A28"/>
    <w:rsid w:val="7C3A7C0B"/>
    <w:rsid w:val="7C5248E4"/>
    <w:rsid w:val="7C566698"/>
    <w:rsid w:val="7C5866A3"/>
    <w:rsid w:val="7CBE2F89"/>
    <w:rsid w:val="7D7406BB"/>
    <w:rsid w:val="7DE94331"/>
    <w:rsid w:val="7EFBD4CF"/>
    <w:rsid w:val="7F446A19"/>
    <w:rsid w:val="7F7452B9"/>
    <w:rsid w:val="7F8401D1"/>
    <w:rsid w:val="7FAC32D7"/>
    <w:rsid w:val="BDD5F7A5"/>
    <w:rsid w:val="F5ED40FE"/>
    <w:rsid w:val="F7BF0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16</TotalTime>
  <ScaleCrop>false</ScaleCrop>
  <LinksUpToDate>false</LinksUpToDate>
  <CharactersWithSpaces>26302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2025-06-26T15:40:00Z</dcterms:created>
  <dc:creator>Administrator</dc:creator>
  <cp:lastModifiedBy>Administrator</cp:lastModifiedBy>
  <cp:lastPrinted>2025-10-21T11:09:00Z</cp:lastPrinted>
  <dcterms:modified xsi:type="dcterms:W3CDTF">2025-10-22T07:22:53Z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BB46EABDBB2749749395447164B066B3_12</vt:lpwstr>
  </property>
</Properties>
</file>