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0"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重庆市綦江区数字化城市运行和治理中心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0" w:firstLineChars="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仿宋_GBK" w:hAnsi="方正仿宋_GBK" w:eastAsia="方正仿宋_GBK" w:cs="方正仿宋_GBK"/>
          <w:b w:val="0"/>
          <w:bCs w:val="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
        </w:rPr>
      </w:pPr>
      <w:r>
        <w:rPr>
          <w:rFonts w:hint="eastAsia" w:ascii="方正黑体_GBK" w:hAnsi="方正黑体_GBK" w:eastAsia="方正黑体_GBK" w:cs="方正黑体_GBK"/>
          <w:b w:val="0"/>
          <w:bCs w:val="0"/>
          <w:kern w:val="2"/>
          <w:sz w:val="32"/>
          <w:szCs w:val="32"/>
          <w:lang w:val="en-US" w:eastAsia="zh-CN" w:bidi="ar"/>
        </w:rPr>
        <w:t>一、部门基本情况</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（一）职能职责</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根据《中共重庆市綦江区委机构编制委员会关于印发〈重庆市綦江区数字化城市运行和治理中心机构职能编制规定〉的通知》（綦委编〔2024〕1</w:t>
      </w:r>
      <w:r>
        <w:rPr>
          <w:rFonts w:hint="default" w:ascii="Times New Roman" w:hAnsi="Times New Roman" w:eastAsia="方正仿宋_GBK" w:cs="Times New Roman"/>
          <w:b w:val="0"/>
          <w:bCs w:val="0"/>
          <w:kern w:val="2"/>
          <w:sz w:val="32"/>
          <w:szCs w:val="32"/>
          <w:lang w:val="en-US" w:eastAsia="zh-CN" w:bidi="ar"/>
        </w:rPr>
        <w:t>0</w:t>
      </w:r>
      <w:r>
        <w:rPr>
          <w:rFonts w:hint="eastAsia" w:ascii="Times New Roman" w:hAnsi="Times New Roman" w:eastAsia="方正仿宋_GBK" w:cs="Times New Roman"/>
          <w:b w:val="0"/>
          <w:bCs w:val="0"/>
          <w:kern w:val="2"/>
          <w:sz w:val="32"/>
          <w:szCs w:val="32"/>
          <w:lang w:val="en-US" w:eastAsia="zh-CN" w:bidi="ar"/>
        </w:rPr>
        <w:t>号）精神，重庆市綦江区数字化城市运行和治理中心贯彻落实中央和市委关于中国特色超大城市治理现代化的部署要求，坚持和加强党对数字化城市运行和治理工作的集中统一领导，对照“实战枢纽”定位，发挥上下贯通、横向协同、系统集成作用，是区委、区政府推进数字重庆建设落实落地的支撑系统，是公共安全、群体性事件、生产事故、</w:t>
      </w:r>
      <w:r>
        <w:rPr>
          <w:rFonts w:hint="eastAsia" w:ascii="Times New Roman" w:hAnsi="Times New Roman" w:eastAsia="方正仿宋_GBK" w:cs="Times New Roman"/>
          <w:b w:val="0"/>
          <w:bCs w:val="0"/>
          <w:spacing w:val="-6"/>
          <w:kern w:val="2"/>
          <w:sz w:val="32"/>
          <w:szCs w:val="32"/>
          <w:lang w:val="en-US" w:eastAsia="zh-CN" w:bidi="ar"/>
        </w:rPr>
        <w:t>重大舆情等任务、事件、事项高效处置的主阵地。其主要职责</w:t>
      </w:r>
      <w:r>
        <w:rPr>
          <w:rFonts w:hint="eastAsia" w:ascii="Times New Roman" w:hAnsi="Times New Roman" w:eastAsia="方正仿宋_GBK" w:cs="Times New Roman"/>
          <w:b w:val="0"/>
          <w:bCs w:val="0"/>
          <w:kern w:val="2"/>
          <w:sz w:val="32"/>
          <w:szCs w:val="32"/>
          <w:lang w:val="en-US" w:eastAsia="zh-CN" w:bidi="ar"/>
        </w:rPr>
        <w:t>是：</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1．负责承接市级应用，建设区级特色应用，承担数字化城市运行和治理领域迭代集成的事务性工作。</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2．承担数字化城市运行和治理领域上传下达、监测预 警、快速响应、评价问效等方面的事务性工作，为实现平时保障城市高效运行、紧急突发事件高效协同处置提供支撑服务。</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3．完成市级数字化城市运行和治理中心下达的业务事项数</w:t>
      </w:r>
      <w:r>
        <w:rPr>
          <w:rFonts w:hint="eastAsia" w:ascii="Times New Roman" w:hAnsi="Times New Roman" w:eastAsia="方正仿宋_GBK" w:cs="Times New Roman"/>
          <w:b w:val="0"/>
          <w:bCs w:val="0"/>
          <w:spacing w:val="-6"/>
          <w:kern w:val="2"/>
          <w:sz w:val="32"/>
          <w:szCs w:val="32"/>
          <w:lang w:val="en-US" w:eastAsia="zh-CN" w:bidi="ar"/>
        </w:rPr>
        <w:t>字化任务，承担区级业务事项、事件梳理和数字化的事务性工</w:t>
      </w:r>
      <w:r>
        <w:rPr>
          <w:rFonts w:hint="eastAsia" w:ascii="Times New Roman" w:hAnsi="Times New Roman" w:eastAsia="方正仿宋_GBK" w:cs="Times New Roman"/>
          <w:b w:val="0"/>
          <w:bCs w:val="0"/>
          <w:kern w:val="2"/>
          <w:sz w:val="32"/>
          <w:szCs w:val="32"/>
          <w:lang w:val="en-US" w:eastAsia="zh-CN" w:bidi="ar"/>
        </w:rPr>
        <w:t>作。</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4．承担区级业务部门应用集成、业务贯通、按权责完成任务事件闭环处置等方面统筹协调的事务性工作。</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5．指导基层治理中心建设。</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6．完成主管部门交办的其他任务。</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7．有关职责分工。重庆市綦江区数字化城市运行和治理中心主要承担面上监测、指挥、调度、评价等方面的事务性、服务性工作，不替代、不包揽相关部门的日常管理、处置等具体工作。区数字化城市运行和治理中心按照设施运行、生产生活服务、生态景观、社会治理、应急动员、文明创建六大板块合理配置工作力量，根据工作需要可从有关部门、单位抽调人员组建工作专班，采取常驻、轮驻等方式入驻中心办公。区数字化城市运行和治理中心平台系统的技术支持和维护工作由区大数据发展局会同数字綦江公司负责。</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（二）单位构成</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2024年5月，为落实市委、市政府有关数字重庆建设工作部署，根据市委编委印发的《区县数字化城市运行和治理中心机构设置工作方案》（渝委编委〔2024〕52 号），《中共重庆市綦江区委机构编制委员会关于印发〈重庆市綦江区数字化城市运行和治理中心机构职能编制规定〉的通知》（綦委编〔2024〕10 号）精神，组建重庆市綦江区数字化城市运行和治理中心，为区政府办公室管理的副处级事业单位。</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76" w:lineRule="exact"/>
        <w:ind w:left="0"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内设机构：综合协调科、应用建设科、运行调度科、基础保障科4个科室。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
        </w:rPr>
      </w:pPr>
      <w:r>
        <w:rPr>
          <w:rFonts w:hint="eastAsia" w:ascii="方正黑体_GBK" w:hAnsi="方正黑体_GBK" w:eastAsia="方正黑体_GBK" w:cs="方正黑体_GBK"/>
          <w:b w:val="0"/>
          <w:bCs w:val="0"/>
          <w:kern w:val="2"/>
          <w:sz w:val="32"/>
          <w:szCs w:val="32"/>
          <w:lang w:val="en-US" w:eastAsia="zh-CN" w:bidi="ar"/>
        </w:rPr>
        <w:t>二、部门决算收支情况说明</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2024年度收、支总计均为160.04万元。收、支与2023年度相比，增加160.04万元，增长100.0%，主要原因是本单位是2024年5月机构改革新设立单位，没有上年数。</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1．收入情况。2024年度收入合计160.04万元，与2023年度相比，增加160.04万元，增长100.0%，主要原因是本单位是2024年5月机构改革新设立单位，没有上年数。其中：财政拨款收入160.04万元，占100.0%；事业收入0万元，经营收入0万元，其他收入0万元。此外，使用非财政拨款结余（含专用结余）0万元，年初结转和结余0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支出情况。2024年度支出合计160.04万元，与2023年度相比，增加160.04万元，增长100.0%，主要原因是本单位是2024年5月机构改革新设立单位，没有上年数。其中：基本支出105.16万元，占65.7%；项目支出54.88万元，占34.3%；经营支出0万元。此外，结余分配0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3．结转结余情况。2024年度年末结转和结余0万元，与2023年度相比，无增减。</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2024年度财政拨款收、支总计均为160.04万元。与2023年度相比，财政拨款收、支总计各增加160.04万元，增长100.0%。主要原因是本单位是2024年5月机构改革新设立单位，没有上年数。</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1．收入情况。2024年度一般公共预算财政拨款收入160.04万元，与2023年度相比，增加160.04万元，增长100.0%。主要原因是本单位是2024年5月机构改革新设立单位，没有上年数。较年初预算数增加160.04万元，增长100.0%。主要原因是本单位是2024年5月机构改革新设立单位，没有年初预算数。此外，年初财政拨款结转和结余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支出情况。2024年度一般公共预算财政拨款支出160.04万元，与2023年度相比，增加160.04万元，增长100.0%。主要原因是本单位是2024年5月机构改革新设立单位，没有上年数。较年初预算数增加160.04万元，增长100.0%。主要原因是本单位是2024年5月机构改革新设立单位，没有年初预算数。</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一般公共预算财政拨款支出主要用途如下：</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（1）一般公共服务支出140.08万元，占87.5%，较年初预算数增加140.08万元，增长100.0%，主要原因是本单位是2024年5月机构改革新设立单位，没有年初预算数。</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（2）社会保障和就业支出11.88万元，占7.4%，较年初预算数增加11.88万元，增长100.0%，主要原因是本单位是2024年5月机构改革新设立单位，没有年初预算数。</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（3）卫生健康支出3.71万元，占2.3%，较年初预算数增加3.71万元，增长100.0%，主要原因是本单位是2024年5月机构改革新设立单位，没有年初预算数。</w:t>
      </w:r>
    </w:p>
    <w:p>
      <w:pPr>
        <w:keepNext w:val="0"/>
        <w:keepLines w:val="0"/>
        <w:pageBreakBefore w:val="0"/>
        <w:kinsoku/>
        <w:wordWrap/>
        <w:overflowPunct/>
        <w:topLinePunct w:val="0"/>
        <w:autoSpaceDN/>
        <w:bidi w:val="0"/>
        <w:adjustRightInd/>
        <w:spacing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（4）住房保障支出4.38万元，占2.7%，较年初预算数增加4.38万元，增长100.0%，主要原因是本单位是2024年5月机构改革新设立单位，没有年初预算数。</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3.结转结余情况。2024年度年末一般公共预算财政拨款结转和结余0.00万元，与2023年度相比，无增减。</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2024年度一般公共财政拨款基本支出105.16万元。</w:t>
      </w:r>
      <w:bookmarkStart w:id="0" w:name="_GoBack"/>
      <w:bookmarkEnd w:id="0"/>
      <w:r>
        <w:rPr>
          <w:rFonts w:hint="eastAsia" w:ascii="Times New Roman" w:hAnsi="Times New Roman" w:eastAsia="方正仿宋_GBK" w:cs="Times New Roman"/>
          <w:b w:val="0"/>
          <w:bCs w:val="0"/>
          <w:kern w:val="2"/>
          <w:sz w:val="32"/>
          <w:szCs w:val="32"/>
          <w:lang w:val="en-US" w:eastAsia="zh-CN" w:bidi="ar"/>
        </w:rPr>
        <w:t>其中：</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人员经费79.14万元，与2023年度相比，增加79.14万元，增长100.0%，主要原因是本单位是2024年5月机构改革新设立单位，没有上年数。人员经费用途主要包括基本工资、津贴补贴、绩效工资、社会保障缴费、住房公积金等。</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公用经费26.02万元，与2023年度相比，增加26.02万元，增长100.0%，主要原因是本单位是2024年5月机构改革新设立单位，没有上年数。公用经费用途主要包括办公费、培训费、劳务费、工会经费、公务用车运行维护费等。</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本单位2024年度无政府性基金预算财政拨款收支。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
        </w:rPr>
      </w:pPr>
      <w:r>
        <w:rPr>
          <w:rFonts w:hint="eastAsia" w:ascii="方正黑体_GBK" w:hAnsi="方正黑体_GBK" w:eastAsia="方正黑体_GBK" w:cs="方正黑体_GBK"/>
          <w:b w:val="0"/>
          <w:bCs w:val="0"/>
          <w:kern w:val="2"/>
          <w:sz w:val="32"/>
          <w:szCs w:val="32"/>
          <w:lang w:val="en-US" w:eastAsia="zh-CN" w:bidi="ar"/>
        </w:rPr>
        <w:t>三、财政拨款“三公”经费情况说明</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2024年度“三公”经费支出共计2.46万元，较年初预算数增加2.46万元，增长100.0%，主要原因是本单位是2024年5月机构改革新设立单位，没有年初预算数。较上年支出数增加2.46万元，增长100.0%，主要原因是本单位是2024年5月机构改革新设立单位，没有上年数。</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（二）“三公”经费分项支出情况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2024年度本单位因公出国（境）费用0万元，费用支出较年初预算数无增减，较上年支出数无增减，主要原因是严格控制因公出国（境），全年未批因公出国（境）。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 公务车购置费0万元，费用支出较年初预算数无增减，较上年支出数无增减，主要原因是严格控制公务车辆购置，全年未购置公务车辆。</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公务用车运行维护费1.48万元，主要用于应急保障、市内因公出行等工作所需车辆的燃料费、维修费、过桥过路费、保险费等。费用支出较年初预算数增加1.48万元，增长100.0%，主要原因是本单位是2024年5月机构改革新设立单位，没有年初预算数。较上年支出数增加1.48万元，增长100.0%，主要原因是本单位是2024年5月机构改革新设立单位，没有上年数。</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公务接待费0.98万元，主要用于接待招商引资企业发生的支出。费用支出较年初预算数增加0.98万元，增长100.0%，主要原因是本单位是2024年5月机构改革新设立单位，没有年初预算数。较上年支出数增加0.98万元，增长100.0%，主要原因是本单位是2024年5月机构改革新设立单位，没有上年数。</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2024年度本单位因公出国（境）共计0个团组，0人；公务用车购置0辆，公务车保有量为1辆；国内公务接待9批次99人，其中：国内外事接待0批次，0人；国（境）外公务接待0批次，0人。2024年本单位人均接待费98.79元，车均购置费0万元，车均维护费1.48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
        </w:rPr>
      </w:pPr>
      <w:r>
        <w:rPr>
          <w:rFonts w:hint="eastAsia" w:ascii="方正黑体_GBK" w:hAnsi="方正黑体_GBK" w:eastAsia="方正黑体_GBK" w:cs="方正黑体_GBK"/>
          <w:b w:val="0"/>
          <w:bCs w:val="0"/>
          <w:kern w:val="2"/>
          <w:sz w:val="32"/>
          <w:szCs w:val="32"/>
          <w:lang w:val="en-US" w:eastAsia="zh-CN" w:bidi="ar"/>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（一）财政拨款会议费、培训费和差旅费情况说明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本年度会议费支出0.31万元，与2023年度相比，增加0.31万元，增长100.0%，主要原因是本单位是2024年5月机构改革新设立单位，没有上年数。本年度培训费支出0.19万元，与2023年度相比，增加0.19万元，增长100.0%，主要原因是本单位是2024年5月机构改革新设立单位，没有上年数。本年度差旅费支出0.00万元，与2023年度相比，无变化，主要原因是本单位是2024年5月机构改革新设立单位，没有上年数。</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2024年度我单位未发生政府采购事项，无相关经费支出。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
        </w:rPr>
      </w:pPr>
      <w:r>
        <w:rPr>
          <w:rFonts w:hint="default" w:ascii="Times New Roman" w:hAnsi="Times New Roman" w:eastAsia="方正黑体_GBK" w:cs="Times New Roman"/>
          <w:b w:val="0"/>
          <w:bCs w:val="0"/>
          <w:kern w:val="2"/>
          <w:sz w:val="32"/>
          <w:szCs w:val="32"/>
          <w:lang w:val="en-US" w:eastAsia="zh-CN" w:bidi="ar"/>
        </w:rPr>
        <w:t>五、2024年度预算绩效管理情况说明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（一）预算绩效管理工作开展情况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根据预算绩效管理要求，我中心对2个项目开展了绩效自评，其中，以填报绩效自评表形式开展自评2项，涉及资金54.88万元。从评价情况来看2个项目都100%完成了预期绩效目标。</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（二）绩效自评结果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1．绩效目标自评表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（1）公开范围。整体绩效自评表（无），部分项目绩效自评表。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（2）公开内容。详见附件。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2．绩效自评报告或案例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本单位无绩效自评报告。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3．关于绩效自评结果的说明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全部项目都完成了绩效目标。</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（三）重点绩效评价结果</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本单位无项目开展重点绩效评价。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firstLine="640" w:firstLineChars="200"/>
        <w:textAlignment w:val="auto"/>
        <w:rPr>
          <w:rFonts w:hint="eastAsia" w:ascii="方正黑体_GBK" w:hAnsi="方正黑体_GBK" w:eastAsia="方正黑体_GBK" w:cs="方正黑体_GBK"/>
          <w:b w:val="0"/>
          <w:bCs w:val="0"/>
          <w:kern w:val="2"/>
          <w:sz w:val="32"/>
          <w:szCs w:val="32"/>
          <w:lang w:val="en-US" w:eastAsia="zh-CN" w:bidi="ar"/>
        </w:rPr>
      </w:pPr>
      <w:r>
        <w:rPr>
          <w:rFonts w:hint="eastAsia" w:ascii="方正黑体_GBK" w:hAnsi="方正黑体_GBK" w:eastAsia="方正黑体_GBK" w:cs="方正黑体_GBK"/>
          <w:b w:val="0"/>
          <w:bCs w:val="0"/>
          <w:kern w:val="2"/>
          <w:sz w:val="32"/>
          <w:szCs w:val="32"/>
          <w:lang w:val="en-US" w:eastAsia="zh-CN" w:bidi="ar"/>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spacing w:val="-6"/>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（一）财政拨款收入：</w:t>
      </w:r>
      <w:r>
        <w:rPr>
          <w:rFonts w:hint="eastAsia" w:ascii="Times New Roman" w:hAnsi="Times New Roman" w:eastAsia="方正仿宋_GBK" w:cs="Times New Roman"/>
          <w:b w:val="0"/>
          <w:bCs w:val="0"/>
          <w:kern w:val="2"/>
          <w:sz w:val="32"/>
          <w:szCs w:val="32"/>
          <w:lang w:val="en-US" w:eastAsia="zh-CN" w:bidi="ar"/>
        </w:rPr>
        <w:t>指本年度从本级财政部门取得的财政</w:t>
      </w:r>
      <w:r>
        <w:rPr>
          <w:rFonts w:hint="eastAsia" w:ascii="Times New Roman" w:hAnsi="Times New Roman" w:eastAsia="方正仿宋_GBK" w:cs="Times New Roman"/>
          <w:b w:val="0"/>
          <w:bCs w:val="0"/>
          <w:spacing w:val="-6"/>
          <w:kern w:val="2"/>
          <w:sz w:val="32"/>
          <w:szCs w:val="32"/>
          <w:lang w:val="en-US" w:eastAsia="zh-CN" w:bidi="ar"/>
        </w:rPr>
        <w:t>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（二）事业收入：</w:t>
      </w:r>
      <w:r>
        <w:rPr>
          <w:rFonts w:hint="eastAsia" w:ascii="Times New Roman" w:hAnsi="Times New Roman" w:eastAsia="方正仿宋_GBK" w:cs="Times New Roman"/>
          <w:b w:val="0"/>
          <w:bCs w:val="0"/>
          <w:kern w:val="2"/>
          <w:sz w:val="32"/>
          <w:szCs w:val="32"/>
          <w:lang w:val="en-US" w:eastAsia="zh-CN" w:bidi="ar"/>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（三）经营收入：</w:t>
      </w:r>
      <w:r>
        <w:rPr>
          <w:rFonts w:hint="eastAsia" w:ascii="Times New Roman" w:hAnsi="Times New Roman" w:eastAsia="方正仿宋_GBK" w:cs="Times New Roman"/>
          <w:b w:val="0"/>
          <w:bCs w:val="0"/>
          <w:kern w:val="2"/>
          <w:sz w:val="32"/>
          <w:szCs w:val="32"/>
          <w:lang w:val="en-US" w:eastAsia="zh-CN" w:bidi="ar"/>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（四）其他收入：</w:t>
      </w:r>
      <w:r>
        <w:rPr>
          <w:rFonts w:hint="eastAsia" w:ascii="Times New Roman" w:hAnsi="Times New Roman" w:eastAsia="方正仿宋_GBK" w:cs="Times New Roman"/>
          <w:b w:val="0"/>
          <w:bCs w:val="0"/>
          <w:kern w:val="2"/>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（五）使用非财政拨款结余（含专用结余）：</w:t>
      </w:r>
      <w:r>
        <w:rPr>
          <w:rFonts w:hint="eastAsia" w:ascii="Times New Roman" w:hAnsi="Times New Roman" w:eastAsia="方正仿宋_GBK" w:cs="Times New Roman"/>
          <w:b w:val="0"/>
          <w:bCs w:val="0"/>
          <w:kern w:val="2"/>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（六）年初结转和结余：</w:t>
      </w:r>
      <w:r>
        <w:rPr>
          <w:rFonts w:hint="eastAsia" w:ascii="Times New Roman" w:hAnsi="Times New Roman" w:eastAsia="方正仿宋_GBK" w:cs="Times New Roman"/>
          <w:b w:val="0"/>
          <w:bCs w:val="0"/>
          <w:kern w:val="2"/>
          <w:sz w:val="32"/>
          <w:szCs w:val="32"/>
          <w:lang w:val="en-US" w:eastAsia="zh-CN" w:bidi="ar"/>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（七）结余分配：</w:t>
      </w:r>
      <w:r>
        <w:rPr>
          <w:rFonts w:hint="eastAsia" w:ascii="Times New Roman" w:hAnsi="Times New Roman" w:eastAsia="方正仿宋_GBK" w:cs="Times New Roman"/>
          <w:b w:val="0"/>
          <w:bCs w:val="0"/>
          <w:kern w:val="2"/>
          <w:sz w:val="32"/>
          <w:szCs w:val="32"/>
          <w:lang w:val="en-US" w:eastAsia="zh-CN" w:bidi="ar"/>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（八）年末结转和结余：</w:t>
      </w:r>
      <w:r>
        <w:rPr>
          <w:rFonts w:hint="eastAsia" w:ascii="Times New Roman" w:hAnsi="Times New Roman" w:eastAsia="方正仿宋_GBK" w:cs="Times New Roman"/>
          <w:b w:val="0"/>
          <w:bCs w:val="0"/>
          <w:kern w:val="2"/>
          <w:sz w:val="32"/>
          <w:szCs w:val="32"/>
          <w:lang w:val="en-US" w:eastAsia="zh-CN" w:bidi="ar"/>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（九）基本支出：</w:t>
      </w:r>
      <w:r>
        <w:rPr>
          <w:rFonts w:hint="eastAsia" w:ascii="Times New Roman" w:hAnsi="Times New Roman" w:eastAsia="方正仿宋_GBK" w:cs="Times New Roman"/>
          <w:b w:val="0"/>
          <w:bCs w:val="0"/>
          <w:kern w:val="2"/>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（十）项目支出：</w:t>
      </w:r>
      <w:r>
        <w:rPr>
          <w:rFonts w:hint="eastAsia" w:ascii="Times New Roman" w:hAnsi="Times New Roman" w:eastAsia="方正仿宋_GBK" w:cs="Times New Roman"/>
          <w:b w:val="0"/>
          <w:bCs w:val="0"/>
          <w:kern w:val="2"/>
          <w:sz w:val="32"/>
          <w:szCs w:val="32"/>
          <w:lang w:val="en-US" w:eastAsia="zh-CN" w:bidi="ar"/>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（十一）经营支出：</w:t>
      </w:r>
      <w:r>
        <w:rPr>
          <w:rFonts w:hint="eastAsia" w:ascii="Times New Roman" w:hAnsi="Times New Roman" w:eastAsia="方正仿宋_GBK" w:cs="Times New Roman"/>
          <w:b w:val="0"/>
          <w:bCs w:val="0"/>
          <w:kern w:val="2"/>
          <w:sz w:val="32"/>
          <w:szCs w:val="32"/>
          <w:lang w:val="en-US" w:eastAsia="zh-CN" w:bidi="ar"/>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（十二）“三公”经费：</w:t>
      </w:r>
      <w:r>
        <w:rPr>
          <w:rFonts w:hint="eastAsia" w:ascii="Times New Roman" w:hAnsi="Times New Roman" w:eastAsia="方正仿宋_GBK" w:cs="Times New Roman"/>
          <w:b w:val="0"/>
          <w:bCs w:val="0"/>
          <w:kern w:val="2"/>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（十三）机关运行经费：</w:t>
      </w:r>
      <w:r>
        <w:rPr>
          <w:rFonts w:hint="eastAsia" w:ascii="Times New Roman" w:hAnsi="Times New Roman" w:eastAsia="方正仿宋_GBK" w:cs="Times New Roman"/>
          <w:b w:val="0"/>
          <w:bCs w:val="0"/>
          <w:kern w:val="2"/>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（十四）工资福利支出（支出经济分类科目类级）：</w:t>
      </w:r>
      <w:r>
        <w:rPr>
          <w:rFonts w:hint="eastAsia" w:ascii="Times New Roman" w:hAnsi="Times New Roman" w:eastAsia="方正仿宋_GBK" w:cs="Times New Roman"/>
          <w:b w:val="0"/>
          <w:bCs w:val="0"/>
          <w:kern w:val="2"/>
          <w:sz w:val="32"/>
          <w:szCs w:val="32"/>
          <w:lang w:val="en-US" w:eastAsia="zh-CN" w:bidi="ar"/>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（十五）商品和服务支出（支出经济分类科目类级）：</w:t>
      </w:r>
      <w:r>
        <w:rPr>
          <w:rFonts w:hint="eastAsia" w:ascii="Times New Roman" w:hAnsi="Times New Roman" w:eastAsia="方正仿宋_GBK" w:cs="Times New Roman"/>
          <w:b w:val="0"/>
          <w:bCs w:val="0"/>
          <w:kern w:val="2"/>
          <w:sz w:val="32"/>
          <w:szCs w:val="32"/>
          <w:lang w:val="en-US" w:eastAsia="zh-CN" w:bidi="ar"/>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（十六）对个人和家庭的补助（支出经济分类科目类级）：</w:t>
      </w:r>
      <w:r>
        <w:rPr>
          <w:rFonts w:hint="eastAsia" w:ascii="Times New Roman" w:hAnsi="Times New Roman" w:eastAsia="方正仿宋_GBK" w:cs="Times New Roman"/>
          <w:b w:val="0"/>
          <w:bCs w:val="0"/>
          <w:kern w:val="2"/>
          <w:sz w:val="32"/>
          <w:szCs w:val="32"/>
          <w:lang w:val="en-US" w:eastAsia="zh-CN" w:bidi="ar"/>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（十七）其他资本性支出（支出经济分类科目类级）：</w:t>
      </w:r>
      <w:r>
        <w:rPr>
          <w:rFonts w:hint="eastAsia" w:ascii="Times New Roman" w:hAnsi="Times New Roman" w:eastAsia="方正仿宋_GBK" w:cs="Times New Roman"/>
          <w:b w:val="0"/>
          <w:bCs w:val="0"/>
          <w:kern w:val="2"/>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
        </w:rPr>
      </w:pPr>
      <w:r>
        <w:rPr>
          <w:rFonts w:hint="eastAsia" w:ascii="方正黑体_GBK" w:hAnsi="方正黑体_GBK" w:eastAsia="方正黑体_GBK" w:cs="方正黑体_GBK"/>
          <w:b w:val="0"/>
          <w:bCs w:val="0"/>
          <w:kern w:val="2"/>
          <w:sz w:val="32"/>
          <w:szCs w:val="32"/>
          <w:lang w:val="en-US" w:eastAsia="zh-CN" w:bidi="ar"/>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firstLine="640" w:firstLineChars="20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本单位决算公开信息反馈和联系方式：023—48663093。</w:t>
      </w:r>
    </w:p>
    <w:p>
      <w:pPr>
        <w:rPr>
          <w:rFonts w:hint="default" w:ascii="Times New Roman" w:hAnsi="Times New Roman" w:eastAsia="方正仿宋_GBK" w:cs="Times New Roman"/>
          <w:b w:val="0"/>
          <w:bCs w:val="0"/>
          <w:kern w:val="2"/>
          <w:sz w:val="32"/>
          <w:szCs w:val="32"/>
          <w:lang w:val="en-US" w:eastAsia="zh-CN" w:bidi="ar"/>
        </w:rPr>
      </w:pPr>
    </w:p>
    <w:sectPr>
      <w:headerReference r:id="rId3" w:type="default"/>
      <w:footerReference r:id="rId4" w:type="default"/>
      <w:pgSz w:w="11850" w:h="16783"/>
      <w:pgMar w:top="2098" w:right="1474" w:bottom="1984" w:left="1587" w:header="850" w:footer="1474" w:gutter="0"/>
      <w:pgNumType w:fmt="decimal"/>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0E15CB"/>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401D9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0228BD"/>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5B234"/>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5C2499"/>
    <w:rsid w:val="4B7951CB"/>
    <w:rsid w:val="4B7C315C"/>
    <w:rsid w:val="4CCF773C"/>
    <w:rsid w:val="4CE37501"/>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ED011A"/>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792FE3"/>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67452"/>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9</TotalTime>
  <ScaleCrop>false</ScaleCrop>
  <LinksUpToDate>false</LinksUpToDate>
  <CharactersWithSpaces>26302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Administrator</cp:lastModifiedBy>
  <dcterms:modified xsi:type="dcterms:W3CDTF">2025-10-22T07:27:11Z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BB46EABDBB2749749395447164B066B3_12</vt:lpwstr>
  </property>
</Properties>
</file>