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600" w:lineRule="exact"/>
        <w:ind w:left="0"/>
        <w:jc w:val="center"/>
        <w:textAlignment w:val="auto"/>
        <w:rPr>
          <w:rFonts w:hint="eastAsia" w:ascii="方正小标宋_GBK" w:hAnsi="方正小标宋_GBK" w:eastAsia="方正小标宋_GBK" w:cs="方正小标宋_GBK"/>
          <w:b w:val="0"/>
          <w:bCs w:val="0"/>
          <w:color w:val="auto"/>
          <w:sz w:val="44"/>
          <w:szCs w:val="44"/>
          <w:highlight w:val="none"/>
          <w:shd w:val="clear" w:color="auto" w:fill="FFFFFF"/>
          <w:lang w:eastAsia="zh-CN"/>
        </w:rPr>
      </w:pP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綦江区医药价格和招标采购服务中心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line="600" w:lineRule="exact"/>
        <w:ind w:left="0"/>
        <w:jc w:val="center"/>
        <w:textAlignment w:val="auto"/>
        <w:rPr>
          <w:rFonts w:hint="eastAsia" w:ascii="方正小标宋_GBK" w:hAnsi="方正小标宋_GBK" w:eastAsia="方正小标宋_GBK" w:cs="方正小标宋_GBK"/>
          <w:b w:val="0"/>
          <w:bCs w:val="0"/>
          <w:color w:val="auto"/>
          <w:sz w:val="44"/>
          <w:szCs w:val="44"/>
          <w:highlight w:val="none"/>
          <w:shd w:val="clear" w:color="auto" w:fill="FFFFFF"/>
        </w:rPr>
      </w:pP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202</w:t>
      </w:r>
      <w:r>
        <w:rPr>
          <w:rFonts w:hint="eastAsia" w:ascii="方正小标宋_GBK" w:hAnsi="方正小标宋_GBK" w:eastAsia="方正小标宋_GBK" w:cs="方正小标宋_GBK"/>
          <w:b w:val="0"/>
          <w:bCs w:val="0"/>
          <w:color w:val="auto"/>
          <w:sz w:val="44"/>
          <w:szCs w:val="44"/>
          <w:highlight w:val="none"/>
          <w:shd w:val="clear" w:color="auto" w:fill="FFFFFF"/>
          <w:lang w:val="en-US" w:eastAsia="zh-CN"/>
        </w:rPr>
        <w:t>4</w:t>
      </w:r>
      <w:r>
        <w:rPr>
          <w:rFonts w:hint="eastAsia" w:ascii="方正小标宋_GBK" w:hAnsi="方正小标宋_GBK" w:eastAsia="方正小标宋_GBK" w:cs="方正小标宋_GBK"/>
          <w:b w:val="0"/>
          <w:bCs w:val="0"/>
          <w:color w:val="auto"/>
          <w:sz w:val="44"/>
          <w:szCs w:val="44"/>
          <w:highlight w:val="none"/>
          <w:shd w:val="clear" w:color="auto" w:fill="FFFFFF"/>
          <w:lang w:eastAsia="zh-CN"/>
        </w:rPr>
        <w:t>年</w:t>
      </w:r>
      <w:r>
        <w:rPr>
          <w:rFonts w:hint="eastAsia" w:ascii="方正小标宋_GBK" w:hAnsi="方正小标宋_GBK" w:eastAsia="方正小标宋_GBK" w:cs="方正小标宋_GBK"/>
          <w:b w:val="0"/>
          <w:bCs w:val="0"/>
          <w:color w:val="auto"/>
          <w:sz w:val="44"/>
          <w:szCs w:val="44"/>
          <w:highlight w:val="none"/>
          <w:shd w:val="clear" w:color="auto" w:fill="FFFFFF"/>
        </w:rPr>
        <w:t>度部门决算情况说明</w:t>
      </w:r>
    </w:p>
    <w:p>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一、单位基本情况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eastAsia="方正仿宋_GBK" w:cs="方正仿宋_GBK"/>
          <w:color w:val="auto"/>
          <w:sz w:val="32"/>
          <w:szCs w:val="32"/>
          <w:highlight w:val="none"/>
          <w:lang w:eastAsia="zh-CN"/>
        </w:rPr>
        <w:t>根据《</w:t>
      </w:r>
      <w:r>
        <w:rPr>
          <w:rFonts w:hint="eastAsia" w:eastAsia="方正仿宋_GBK" w:cs="方正仿宋_GBK"/>
          <w:color w:val="auto"/>
          <w:sz w:val="32"/>
          <w:szCs w:val="32"/>
          <w:highlight w:val="none"/>
        </w:rPr>
        <w:t>中共重庆市綦江区委机构编制委员会关于设立重庆市綦江区医药价格和招标采购服务中心的通知</w:t>
      </w:r>
      <w:r>
        <w:rPr>
          <w:rFonts w:hint="eastAsia" w:eastAsia="方正仿宋_GBK" w:cs="方正仿宋_GBK"/>
          <w:color w:val="auto"/>
          <w:sz w:val="32"/>
          <w:szCs w:val="32"/>
          <w:highlight w:val="none"/>
          <w:lang w:eastAsia="zh-CN"/>
        </w:rPr>
        <w:t>》</w:t>
      </w:r>
      <w:r>
        <w:rPr>
          <w:rFonts w:hint="eastAsia" w:eastAsia="方正仿宋_GBK" w:cs="方正仿宋_GBK"/>
          <w:color w:val="auto"/>
          <w:sz w:val="32"/>
          <w:szCs w:val="32"/>
          <w:highlight w:val="none"/>
        </w:rPr>
        <w:t>綦委编〔2020〕23号</w:t>
      </w:r>
      <w:r>
        <w:rPr>
          <w:rFonts w:hint="eastAsia" w:eastAsia="方正仿宋_GBK" w:cs="方正仿宋_GBK"/>
          <w:color w:val="auto"/>
          <w:sz w:val="32"/>
          <w:szCs w:val="32"/>
          <w:highlight w:val="none"/>
          <w:lang w:eastAsia="zh-CN"/>
        </w:rPr>
        <w:t>新设立的</w:t>
      </w:r>
      <w:r>
        <w:rPr>
          <w:rFonts w:hint="eastAsia" w:eastAsia="方正仿宋_GBK" w:cs="方正仿宋_GBK"/>
          <w:color w:val="auto"/>
          <w:sz w:val="32"/>
          <w:szCs w:val="32"/>
          <w:highlight w:val="none"/>
        </w:rPr>
        <w:t>公益一类事业单位正科级财政全额拨款</w:t>
      </w:r>
      <w:r>
        <w:rPr>
          <w:rFonts w:hint="eastAsia" w:eastAsia="方正仿宋_GBK" w:cs="方正仿宋_GBK"/>
          <w:color w:val="auto"/>
          <w:sz w:val="32"/>
          <w:szCs w:val="32"/>
          <w:highlight w:val="none"/>
          <w:lang w:eastAsia="zh-CN"/>
        </w:rPr>
        <w:t>单位。</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1、负责贯彻执行医药</w:t>
      </w:r>
      <w:r>
        <w:rPr>
          <w:rFonts w:hint="eastAsia" w:ascii="方正仿宋_GBK" w:hAnsi="仿宋_GB2312" w:eastAsia="方正仿宋_GBK" w:cs="仿宋_GB2312"/>
          <w:color w:val="auto"/>
          <w:sz w:val="32"/>
          <w:szCs w:val="24"/>
          <w:highlight w:val="none"/>
          <w:lang w:val="en-US" w:eastAsia="zh-CN" w:bidi="ar-SA"/>
        </w:rPr>
        <w:t>价格及医药招标采购制度规范。</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2、承担监督、指导医药招标采购的具体事务性工作。</w:t>
      </w:r>
    </w:p>
    <w:p>
      <w:pPr>
        <w:keepNext w:val="0"/>
        <w:keepLines w:val="0"/>
        <w:pageBreakBefore w:val="0"/>
        <w:widowControl/>
        <w:kinsoku/>
        <w:wordWrap/>
        <w:overflowPunct/>
        <w:topLinePunct w:val="0"/>
        <w:autoSpaceDE/>
        <w:autoSpaceDN/>
        <w:bidi w:val="0"/>
        <w:adjustRightInd/>
        <w:snapToGrid/>
        <w:spacing w:beforeAutospacing="0" w:line="600" w:lineRule="exact"/>
        <w:ind w:firstLine="640" w:firstLineChars="200"/>
        <w:textAlignment w:val="auto"/>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3、承担医药成本调查统计、医药价格监测分析、医药价格信息发布、医药价格政策咨询等事务性工作。</w:t>
      </w:r>
    </w:p>
    <w:p>
      <w:pPr>
        <w:keepNext w:val="0"/>
        <w:keepLines w:val="0"/>
        <w:pageBreakBefore w:val="0"/>
        <w:widowControl/>
        <w:kinsoku/>
        <w:wordWrap/>
        <w:overflowPunct/>
        <w:topLinePunct w:val="0"/>
        <w:autoSpaceDN/>
        <w:bidi w:val="0"/>
        <w:adjustRightInd/>
        <w:snapToGrid/>
        <w:spacing w:beforeAutospacing="0" w:line="600" w:lineRule="exact"/>
        <w:ind w:firstLine="640" w:firstLineChars="200"/>
        <w:textAlignment w:val="auto"/>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4、完成主管部门交办的其他工作。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（二）单位构成</w:t>
      </w:r>
    </w:p>
    <w:p>
      <w:pPr>
        <w:keepNext w:val="0"/>
        <w:keepLines w:val="0"/>
        <w:pageBreakBefore w:val="0"/>
        <w:widowControl/>
        <w:kinsoku/>
        <w:wordWrap/>
        <w:overflowPunct/>
        <w:topLinePunct w:val="0"/>
        <w:autoSpaceDN/>
        <w:bidi w:val="0"/>
        <w:adjustRightInd/>
        <w:snapToGrid/>
        <w:spacing w:beforeAutospacing="0" w:line="60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仿宋_GB2312" w:eastAsia="方正仿宋_GBK" w:cs="仿宋_GB2312"/>
          <w:color w:val="auto"/>
          <w:sz w:val="32"/>
          <w:szCs w:val="24"/>
          <w:highlight w:val="none"/>
          <w:lang w:val="en-US" w:eastAsia="zh-CN" w:bidi="ar-SA"/>
        </w:rPr>
        <w:t>重庆市綦江区医</w:t>
      </w:r>
      <w:r>
        <w:rPr>
          <w:rFonts w:hint="eastAsia" w:ascii="方正仿宋_GBK" w:hAnsi="仿宋_GB2312" w:eastAsia="方正仿宋_GBK" w:cs="仿宋_GB2312"/>
          <w:color w:val="auto"/>
          <w:sz w:val="32"/>
          <w:highlight w:val="none"/>
        </w:rPr>
        <w:t>药价格和招标采购服务中心，事业单位，财政全额拨款事业编制</w:t>
      </w:r>
      <w:r>
        <w:rPr>
          <w:rFonts w:hint="eastAsia" w:ascii="方正仿宋_GBK" w:hAnsi="仿宋_GB2312" w:eastAsia="方正仿宋_GBK" w:cs="仿宋_GB2312"/>
          <w:color w:val="auto"/>
          <w:sz w:val="32"/>
          <w:highlight w:val="none"/>
          <w:lang w:val="en-US" w:eastAsia="zh-CN"/>
        </w:rPr>
        <w:t>4</w:t>
      </w:r>
      <w:r>
        <w:rPr>
          <w:rFonts w:hint="eastAsia" w:ascii="方正仿宋_GBK" w:hAnsi="仿宋_GB2312" w:eastAsia="方正仿宋_GBK" w:cs="仿宋_GB2312"/>
          <w:color w:val="auto"/>
          <w:sz w:val="32"/>
          <w:highlight w:val="none"/>
        </w:rPr>
        <w:t>名。设主任1名。</w:t>
      </w:r>
      <w:r>
        <w:rPr>
          <w:rFonts w:hint="eastAsia" w:ascii="方正仿宋_GBK" w:hAnsi="仿宋_GB2312" w:eastAsia="方正仿宋_GBK" w:cs="仿宋_GB2312"/>
          <w:color w:val="auto"/>
          <w:sz w:val="32"/>
          <w:highlight w:val="none"/>
          <w:lang w:val="en-US" w:eastAsia="zh-CN"/>
        </w:rPr>
        <w:t>2024年12月在编在岗4人。</w:t>
      </w:r>
    </w:p>
    <w:p>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二、部门决算收支情况说明</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（一）收入支出决算总体情况说明</w:t>
      </w:r>
    </w:p>
    <w:p>
      <w:pPr>
        <w:pStyle w:val="4"/>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年度收、支总计均为</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收、支与2023年度相比，增加5.25万元，增长9</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要原因是</w:t>
      </w:r>
      <w:r>
        <w:rPr>
          <w:rFonts w:hint="eastAsia" w:ascii="Times New Roman" w:hAnsi="Times New Roman" w:eastAsia="方正仿宋_GBK"/>
          <w:sz w:val="32"/>
          <w:szCs w:val="32"/>
          <w:shd w:val="clear" w:color="auto" w:fill="FFFFFF"/>
          <w:lang w:eastAsia="zh-CN"/>
        </w:rPr>
        <w:t>新录用员工</w:t>
      </w:r>
      <w:r>
        <w:rPr>
          <w:rFonts w:hint="eastAsia" w:ascii="Times New Roman" w:hAnsi="Times New Roman" w:eastAsia="方正仿宋_GBK"/>
          <w:sz w:val="32"/>
          <w:szCs w:val="32"/>
          <w:shd w:val="clear" w:color="auto" w:fill="FFFFFF"/>
          <w:lang w:val="en-US" w:eastAsia="zh-CN"/>
        </w:rPr>
        <w:t>1人所致。</w:t>
      </w:r>
    </w:p>
    <w:p>
      <w:pPr>
        <w:pStyle w:val="4"/>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仿宋_GB2312" w:eastAsia="方正仿宋_GBK" w:cs="仿宋_GB2312"/>
          <w:color w:val="auto"/>
          <w:sz w:val="32"/>
          <w:szCs w:val="24"/>
          <w:highlight w:val="none"/>
          <w:lang w:val="en-US" w:eastAsia="zh-CN" w:bidi="ar-SA"/>
        </w:rPr>
        <w:t>1.收入情况。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年度收入合计</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与2023年度相比，增加5.25万元，增长9.4%</w:t>
      </w:r>
      <w:r>
        <w:rPr>
          <w:rFonts w:hint="eastAsia" w:ascii="方正仿宋_GBK" w:hAnsi="仿宋_GB2312" w:eastAsia="方正仿宋_GBK" w:cs="仿宋_GB2312"/>
          <w:color w:val="auto"/>
          <w:sz w:val="32"/>
          <w:szCs w:val="24"/>
          <w:highlight w:val="none"/>
          <w:lang w:val="en-US" w:eastAsia="zh-CN" w:bidi="ar-SA"/>
        </w:rPr>
        <w:t>，主要原因是新录用员工1人所致。其中：财政拨款收入</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100.0%</w:t>
      </w:r>
      <w:r>
        <w:rPr>
          <w:rFonts w:hint="eastAsia" w:ascii="方正仿宋_GBK" w:hAnsi="仿宋_GB2312" w:eastAsia="方正仿宋_GBK" w:cs="仿宋_GB2312"/>
          <w:color w:val="auto"/>
          <w:sz w:val="32"/>
          <w:szCs w:val="24"/>
          <w:highlight w:val="none"/>
          <w:lang w:val="en-US" w:eastAsia="zh-CN" w:bidi="ar-SA"/>
        </w:rPr>
        <w:t>；事业收入</w:t>
      </w:r>
      <w:r>
        <w:rPr>
          <w:rFonts w:hint="default" w:ascii="方正仿宋_GBK" w:hAnsi="仿宋_GB2312" w:eastAsia="方正仿宋_GBK" w:cs="仿宋_GB2312"/>
          <w:color w:val="auto"/>
          <w:sz w:val="32"/>
          <w:szCs w:val="24"/>
          <w:highlight w:val="none"/>
          <w:lang w:val="en-US" w:eastAsia="zh-CN" w:bidi="ar-SA"/>
        </w:rPr>
        <w:t>0.00</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0.0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4"/>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仿宋_GB2312" w:eastAsia="方正仿宋_GBK" w:cs="仿宋_GB2312"/>
          <w:color w:val="auto"/>
          <w:sz w:val="32"/>
          <w:szCs w:val="24"/>
          <w:highlight w:val="none"/>
          <w:lang w:val="en-US" w:eastAsia="zh-CN" w:bidi="ar-SA"/>
        </w:rPr>
        <w:t>2.支出情况。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年度支出合计</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与2023年度相比，增加5.25万元，增长9.4%</w:t>
      </w:r>
      <w:r>
        <w:rPr>
          <w:rFonts w:hint="eastAsia" w:ascii="方正仿宋_GBK" w:hAnsi="仿宋_GB2312" w:eastAsia="方正仿宋_GBK" w:cs="仿宋_GB2312"/>
          <w:color w:val="auto"/>
          <w:sz w:val="32"/>
          <w:szCs w:val="24"/>
          <w:highlight w:val="none"/>
          <w:lang w:val="en-US" w:eastAsia="zh-CN" w:bidi="ar-SA"/>
        </w:rPr>
        <w:t>，主要原因是新录用员工1人所致。其中：基本支出</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100.0%</w:t>
      </w:r>
      <w:r>
        <w:rPr>
          <w:rFonts w:hint="eastAsia" w:ascii="方正仿宋_GBK" w:hAnsi="仿宋_GB2312" w:eastAsia="方正仿宋_GBK" w:cs="仿宋_GB2312"/>
          <w:color w:val="auto"/>
          <w:sz w:val="32"/>
          <w:szCs w:val="24"/>
          <w:highlight w:val="none"/>
          <w:lang w:val="en-US" w:eastAsia="zh-CN" w:bidi="ar-SA"/>
        </w:rPr>
        <w:t>；项目支出</w:t>
      </w:r>
      <w:r>
        <w:rPr>
          <w:rFonts w:hint="default" w:ascii="方正仿宋_GBK" w:hAnsi="仿宋_GB2312" w:eastAsia="方正仿宋_GBK" w:cs="仿宋_GB2312"/>
          <w:color w:val="auto"/>
          <w:sz w:val="32"/>
          <w:szCs w:val="24"/>
          <w:highlight w:val="none"/>
          <w:lang w:val="en-US" w:eastAsia="zh-CN" w:bidi="ar-SA"/>
        </w:rPr>
        <w:t>0.00</w:t>
      </w:r>
      <w:r>
        <w:rPr>
          <w:rFonts w:hint="eastAsia" w:ascii="方正仿宋_GBK" w:hAnsi="仿宋_GB2312" w:eastAsia="方正仿宋_GBK" w:cs="仿宋_GB2312"/>
          <w:color w:val="auto"/>
          <w:sz w:val="32"/>
          <w:szCs w:val="24"/>
          <w:highlight w:val="none"/>
          <w:lang w:val="en-US" w:eastAsia="zh-CN" w:bidi="ar-SA"/>
        </w:rPr>
        <w:t>万</w:t>
      </w:r>
      <w:r>
        <w:rPr>
          <w:rFonts w:ascii="方正仿宋_GBK" w:hAnsi="方正仿宋_GBK" w:eastAsia="方正仿宋_GBK" w:cs="方正仿宋_GBK"/>
          <w:sz w:val="32"/>
          <w:szCs w:val="32"/>
          <w:shd w:val="clear" w:color="auto" w:fill="FFFFFF"/>
        </w:rPr>
        <w:t>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3.结转结余情况。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年度年末结转和结余</w:t>
      </w:r>
      <w:r>
        <w:rPr>
          <w:rFonts w:hint="default" w:ascii="方正仿宋_GBK" w:hAnsi="仿宋_GB2312" w:eastAsia="方正仿宋_GBK" w:cs="仿宋_GB2312"/>
          <w:color w:val="auto"/>
          <w:sz w:val="32"/>
          <w:szCs w:val="24"/>
          <w:highlight w:val="none"/>
          <w:lang w:val="en-US" w:eastAsia="zh-CN" w:bidi="ar-SA"/>
        </w:rPr>
        <w:t>0.00</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与2023年度相比，无增减</w:t>
      </w:r>
      <w:r>
        <w:rPr>
          <w:rFonts w:hint="eastAsia" w:ascii="方正仿宋_GBK" w:hAnsi="仿宋_GB2312" w:eastAsia="方正仿宋_GBK" w:cs="仿宋_GB2312"/>
          <w:color w:val="auto"/>
          <w:sz w:val="32"/>
          <w:szCs w:val="24"/>
          <w:highlight w:val="none"/>
          <w:lang w:val="en-US" w:eastAsia="zh-CN" w:bidi="ar-SA"/>
        </w:rPr>
        <w:t>，主要原因是新录用员工1人所致。</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年度财政拨款收、支总计均为</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万元。与</w:t>
      </w:r>
      <w:r>
        <w:rPr>
          <w:rFonts w:hint="default" w:ascii="方正仿宋_GBK" w:hAnsi="仿宋_GB2312" w:eastAsia="方正仿宋_GBK" w:cs="仿宋_GB2312"/>
          <w:color w:val="auto"/>
          <w:sz w:val="32"/>
          <w:szCs w:val="24"/>
          <w:highlight w:val="none"/>
          <w:lang w:val="en-US" w:eastAsia="zh-CN" w:bidi="ar-SA"/>
        </w:rPr>
        <w:t>2023</w:t>
      </w:r>
      <w:r>
        <w:rPr>
          <w:rFonts w:hint="eastAsia" w:ascii="方正仿宋_GBK" w:hAnsi="仿宋_GB2312" w:eastAsia="方正仿宋_GBK" w:cs="仿宋_GB2312"/>
          <w:color w:val="auto"/>
          <w:sz w:val="32"/>
          <w:szCs w:val="24"/>
          <w:highlight w:val="none"/>
          <w:lang w:val="en-US" w:eastAsia="zh-CN" w:bidi="ar-SA"/>
        </w:rPr>
        <w:t>年度相比，</w:t>
      </w:r>
      <w:r>
        <w:rPr>
          <w:rFonts w:hint="default" w:ascii="方正仿宋_GBK" w:hAnsi="仿宋_GB2312" w:eastAsia="方正仿宋_GBK" w:cs="仿宋_GB2312"/>
          <w:color w:val="auto"/>
          <w:sz w:val="32"/>
          <w:szCs w:val="24"/>
          <w:highlight w:val="none"/>
          <w:lang w:val="en-US" w:eastAsia="zh-CN" w:bidi="ar-SA"/>
        </w:rPr>
        <w:t>财政拨款收、支总计各增加5.25万元，增长9.4%</w:t>
      </w:r>
      <w:r>
        <w:rPr>
          <w:rFonts w:hint="eastAsia" w:ascii="方正仿宋_GBK" w:hAnsi="仿宋_GB2312" w:eastAsia="方正仿宋_GBK" w:cs="仿宋_GB2312"/>
          <w:color w:val="auto"/>
          <w:sz w:val="32"/>
          <w:szCs w:val="24"/>
          <w:highlight w:val="none"/>
          <w:lang w:val="en-US" w:eastAsia="zh-CN" w:bidi="ar-SA"/>
        </w:rPr>
        <w:t>。主要原因是新录用员工1人所致。</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1</w:t>
      </w:r>
      <w:r>
        <w:rPr>
          <w:rFonts w:hint="eastAsia" w:ascii="方正仿宋_GBK" w:hAnsi="仿宋_GB2312" w:eastAsia="方正仿宋_GBK" w:cs="仿宋_GB2312"/>
          <w:color w:val="auto"/>
          <w:sz w:val="32"/>
          <w:szCs w:val="24"/>
          <w:highlight w:val="none"/>
          <w:lang w:val="en-US" w:eastAsia="zh-CN" w:bidi="ar-SA"/>
        </w:rPr>
        <w:t>.收入情况。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年度一般公共预算财政拨款收入</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与2023年度相比，增加5.25万元，增长9.4%</w:t>
      </w:r>
      <w:r>
        <w:rPr>
          <w:rFonts w:hint="eastAsia" w:ascii="方正仿宋_GBK" w:hAnsi="仿宋_GB2312" w:eastAsia="方正仿宋_GBK" w:cs="仿宋_GB2312"/>
          <w:color w:val="auto"/>
          <w:sz w:val="32"/>
          <w:szCs w:val="24"/>
          <w:highlight w:val="none"/>
          <w:lang w:val="en-US" w:eastAsia="zh-CN" w:bidi="ar-SA"/>
        </w:rPr>
        <w:t>。主要原因是新录用员工1人所致。</w:t>
      </w:r>
      <w:r>
        <w:rPr>
          <w:rFonts w:hint="default" w:ascii="方正仿宋_GBK" w:hAnsi="仿宋_GB2312" w:eastAsia="方正仿宋_GBK" w:cs="仿宋_GB2312"/>
          <w:color w:val="auto"/>
          <w:sz w:val="32"/>
          <w:szCs w:val="24"/>
          <w:highlight w:val="none"/>
          <w:lang w:val="en-US" w:eastAsia="zh-CN" w:bidi="ar-SA"/>
        </w:rPr>
        <w:t>较年初预算数增加3.75万元，增长6.5%</w:t>
      </w:r>
      <w:r>
        <w:rPr>
          <w:rFonts w:hint="eastAsia" w:ascii="方正仿宋_GBK" w:hAnsi="仿宋_GB2312" w:eastAsia="方正仿宋_GBK" w:cs="仿宋_GB2312"/>
          <w:color w:val="auto"/>
          <w:sz w:val="32"/>
          <w:szCs w:val="24"/>
          <w:highlight w:val="none"/>
          <w:lang w:val="en-US" w:eastAsia="zh-CN" w:bidi="ar-SA"/>
        </w:rPr>
        <w:t>。主要原因是新录用员工1人所致。此外，年初财政拨款结转和结余</w:t>
      </w:r>
      <w:r>
        <w:rPr>
          <w:rFonts w:hint="default" w:ascii="方正仿宋_GBK" w:hAnsi="仿宋_GB2312" w:eastAsia="方正仿宋_GBK" w:cs="仿宋_GB2312"/>
          <w:color w:val="auto"/>
          <w:sz w:val="32"/>
          <w:szCs w:val="24"/>
          <w:highlight w:val="none"/>
          <w:lang w:val="en-US" w:eastAsia="zh-CN" w:bidi="ar-SA"/>
        </w:rPr>
        <w:t>0.00</w:t>
      </w:r>
      <w:r>
        <w:rPr>
          <w:rFonts w:hint="eastAsia" w:ascii="方正仿宋_GBK" w:hAnsi="仿宋_GB2312" w:eastAsia="方正仿宋_GBK" w:cs="仿宋_GB2312"/>
          <w:color w:val="auto"/>
          <w:sz w:val="32"/>
          <w:szCs w:val="24"/>
          <w:highlight w:val="none"/>
          <w:lang w:val="en-US" w:eastAsia="zh-CN" w:bidi="ar-SA"/>
        </w:rPr>
        <w:t>万元。</w:t>
      </w:r>
    </w:p>
    <w:p>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2</w:t>
      </w:r>
      <w:r>
        <w:rPr>
          <w:rFonts w:hint="eastAsia" w:ascii="方正仿宋_GBK" w:hAnsi="仿宋_GB2312" w:eastAsia="方正仿宋_GBK" w:cs="仿宋_GB2312"/>
          <w:color w:val="auto"/>
          <w:sz w:val="32"/>
          <w:szCs w:val="24"/>
          <w:highlight w:val="none"/>
          <w:lang w:val="en-US" w:eastAsia="zh-CN" w:bidi="ar-SA"/>
        </w:rPr>
        <w:t>.支出情况。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年度一般公共预算财政拨款支出</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与2023年度相比，增加5.25万元，增长9.4%</w:t>
      </w:r>
      <w:r>
        <w:rPr>
          <w:rFonts w:hint="eastAsia" w:ascii="方正仿宋_GBK" w:hAnsi="仿宋_GB2312" w:eastAsia="方正仿宋_GBK" w:cs="仿宋_GB2312"/>
          <w:color w:val="auto"/>
          <w:sz w:val="32"/>
          <w:szCs w:val="24"/>
          <w:highlight w:val="none"/>
          <w:lang w:val="en-US" w:eastAsia="zh-CN" w:bidi="ar-SA"/>
        </w:rPr>
        <w:t>。主要原因是新录用员工1人所致。</w:t>
      </w:r>
      <w:r>
        <w:rPr>
          <w:rFonts w:hint="default" w:ascii="方正仿宋_GBK" w:hAnsi="仿宋_GB2312" w:eastAsia="方正仿宋_GBK" w:cs="仿宋_GB2312"/>
          <w:color w:val="auto"/>
          <w:sz w:val="32"/>
          <w:szCs w:val="24"/>
          <w:highlight w:val="none"/>
          <w:lang w:val="en-US" w:eastAsia="zh-CN" w:bidi="ar-SA"/>
        </w:rPr>
        <w:t>较年初预算数增加3.75万元，增长6.5%</w:t>
      </w:r>
      <w:r>
        <w:rPr>
          <w:rFonts w:hint="eastAsia" w:ascii="方正仿宋_GBK" w:hAnsi="仿宋_GB2312" w:eastAsia="方正仿宋_GBK" w:cs="仿宋_GB2312"/>
          <w:color w:val="auto"/>
          <w:sz w:val="32"/>
          <w:szCs w:val="24"/>
          <w:highlight w:val="none"/>
          <w:lang w:val="en-US" w:eastAsia="zh-CN" w:bidi="ar-SA"/>
        </w:rPr>
        <w:t>。主要原因是新录用员工1人所致。</w:t>
      </w:r>
    </w:p>
    <w:p>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一般公共预算财政拨款支出主要用途如下：</w:t>
      </w:r>
    </w:p>
    <w:p>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社会保障和就业支出</w:t>
      </w:r>
      <w:r>
        <w:rPr>
          <w:rFonts w:hint="default" w:ascii="方正仿宋_GBK" w:hAnsi="仿宋_GB2312" w:eastAsia="方正仿宋_GBK" w:cs="仿宋_GB2312"/>
          <w:color w:val="auto"/>
          <w:sz w:val="32"/>
          <w:szCs w:val="24"/>
          <w:highlight w:val="none"/>
          <w:lang w:val="en-US" w:eastAsia="zh-CN" w:bidi="ar-SA"/>
        </w:rPr>
        <w:t>7.74</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12.7%</w:t>
      </w: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较年初预算数增加3.01万元，增长63.6%</w:t>
      </w:r>
      <w:r>
        <w:rPr>
          <w:rFonts w:hint="eastAsia" w:ascii="方正仿宋_GBK" w:hAnsi="仿宋_GB2312" w:eastAsia="方正仿宋_GBK" w:cs="仿宋_GB2312"/>
          <w:color w:val="auto"/>
          <w:sz w:val="32"/>
          <w:szCs w:val="24"/>
          <w:highlight w:val="none"/>
          <w:lang w:val="en-US" w:eastAsia="zh-CN" w:bidi="ar-SA"/>
        </w:rPr>
        <w:t>，主要原因是新录用员工1人所致。</w:t>
      </w:r>
    </w:p>
    <w:p>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2</w:t>
      </w:r>
      <w:r>
        <w:rPr>
          <w:rFonts w:hint="eastAsia" w:ascii="方正仿宋_GBK" w:hAnsi="仿宋_GB2312" w:eastAsia="方正仿宋_GBK" w:cs="仿宋_GB2312"/>
          <w:color w:val="auto"/>
          <w:sz w:val="32"/>
          <w:szCs w:val="24"/>
          <w:highlight w:val="none"/>
          <w:lang w:val="en-US" w:eastAsia="zh-CN" w:bidi="ar-SA"/>
        </w:rPr>
        <w:t>）卫生健康支出</w:t>
      </w:r>
      <w:r>
        <w:rPr>
          <w:rFonts w:hint="default" w:ascii="方正仿宋_GBK" w:hAnsi="仿宋_GB2312" w:eastAsia="方正仿宋_GBK" w:cs="仿宋_GB2312"/>
          <w:color w:val="auto"/>
          <w:sz w:val="32"/>
          <w:szCs w:val="24"/>
          <w:highlight w:val="none"/>
          <w:lang w:val="en-US" w:eastAsia="zh-CN" w:bidi="ar-SA"/>
        </w:rPr>
        <w:t>50.73</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83.1%</w:t>
      </w: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较年初预算数增加0.49万元，增长1.0%</w:t>
      </w:r>
      <w:r>
        <w:rPr>
          <w:rFonts w:hint="eastAsia" w:ascii="方正仿宋_GBK" w:hAnsi="仿宋_GB2312" w:eastAsia="方正仿宋_GBK" w:cs="仿宋_GB2312"/>
          <w:color w:val="auto"/>
          <w:sz w:val="32"/>
          <w:szCs w:val="24"/>
          <w:highlight w:val="none"/>
          <w:lang w:val="en-US" w:eastAsia="zh-CN" w:bidi="ar-SA"/>
        </w:rPr>
        <w:t>，主要原因是新录用员工1人所致。</w:t>
      </w:r>
    </w:p>
    <w:p>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3</w:t>
      </w:r>
      <w:r>
        <w:rPr>
          <w:rFonts w:hint="eastAsia" w:ascii="方正仿宋_GBK" w:hAnsi="仿宋_GB2312" w:eastAsia="方正仿宋_GBK" w:cs="仿宋_GB2312"/>
          <w:color w:val="auto"/>
          <w:sz w:val="32"/>
          <w:szCs w:val="24"/>
          <w:highlight w:val="none"/>
          <w:lang w:val="en-US" w:eastAsia="zh-CN" w:bidi="ar-SA"/>
        </w:rPr>
        <w:t>）住房保障支出</w:t>
      </w:r>
      <w:r>
        <w:rPr>
          <w:rFonts w:hint="default" w:ascii="方正仿宋_GBK" w:hAnsi="仿宋_GB2312" w:eastAsia="方正仿宋_GBK" w:cs="仿宋_GB2312"/>
          <w:color w:val="auto"/>
          <w:sz w:val="32"/>
          <w:szCs w:val="24"/>
          <w:highlight w:val="none"/>
          <w:lang w:val="en-US" w:eastAsia="zh-CN" w:bidi="ar-SA"/>
        </w:rPr>
        <w:t>2.61</w:t>
      </w:r>
      <w:r>
        <w:rPr>
          <w:rFonts w:hint="eastAsia" w:ascii="方正仿宋_GBK" w:hAnsi="仿宋_GB2312" w:eastAsia="方正仿宋_GBK" w:cs="仿宋_GB2312"/>
          <w:color w:val="auto"/>
          <w:sz w:val="32"/>
          <w:szCs w:val="24"/>
          <w:highlight w:val="none"/>
          <w:lang w:val="en-US" w:eastAsia="zh-CN" w:bidi="ar-SA"/>
        </w:rPr>
        <w:t>万元，占</w:t>
      </w:r>
      <w:r>
        <w:rPr>
          <w:rFonts w:hint="default" w:ascii="方正仿宋_GBK" w:hAnsi="仿宋_GB2312" w:eastAsia="方正仿宋_GBK" w:cs="仿宋_GB2312"/>
          <w:color w:val="auto"/>
          <w:sz w:val="32"/>
          <w:szCs w:val="24"/>
          <w:highlight w:val="none"/>
          <w:lang w:val="en-US" w:eastAsia="zh-CN" w:bidi="ar-SA"/>
        </w:rPr>
        <w:t>4.3%</w:t>
      </w: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较年初预算数增加0.25万元，增长10.6%</w:t>
      </w:r>
      <w:r>
        <w:rPr>
          <w:rFonts w:hint="eastAsia" w:ascii="方正仿宋_GBK" w:hAnsi="仿宋_GB2312" w:eastAsia="方正仿宋_GBK" w:cs="仿宋_GB2312"/>
          <w:color w:val="auto"/>
          <w:sz w:val="32"/>
          <w:szCs w:val="24"/>
          <w:highlight w:val="none"/>
          <w:lang w:val="en-US" w:eastAsia="zh-CN" w:bidi="ar-SA"/>
        </w:rPr>
        <w:t>，主要原因是新录用员工1人所致</w:t>
      </w:r>
    </w:p>
    <w:p>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3</w:t>
      </w:r>
      <w:r>
        <w:rPr>
          <w:rFonts w:hint="eastAsia" w:ascii="方正仿宋_GBK" w:hAnsi="仿宋_GB2312" w:eastAsia="方正仿宋_GBK" w:cs="仿宋_GB2312"/>
          <w:color w:val="auto"/>
          <w:sz w:val="32"/>
          <w:szCs w:val="24"/>
          <w:highlight w:val="none"/>
          <w:lang w:val="en-US" w:eastAsia="zh-CN" w:bidi="ar-SA"/>
        </w:rPr>
        <w:t>.结转结余情况。</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年度年末一般公共预算财政拨款结转和结余</w:t>
      </w:r>
      <w:r>
        <w:rPr>
          <w:rFonts w:hint="default" w:ascii="方正仿宋_GBK" w:hAnsi="仿宋_GB2312" w:eastAsia="方正仿宋_GBK" w:cs="仿宋_GB2312"/>
          <w:color w:val="auto"/>
          <w:sz w:val="32"/>
          <w:szCs w:val="24"/>
          <w:highlight w:val="none"/>
          <w:lang w:val="en-US" w:eastAsia="zh-CN" w:bidi="ar-SA"/>
        </w:rPr>
        <w:t>0.00</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与2023年度相比，无增减</w:t>
      </w: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主要原因是厉行节约，压缩一般性开支。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年度一般公共财政拨款基本支出</w:t>
      </w:r>
      <w:r>
        <w:rPr>
          <w:rFonts w:hint="default" w:ascii="方正仿宋_GBK" w:hAnsi="仿宋_GB2312" w:eastAsia="方正仿宋_GBK" w:cs="仿宋_GB2312"/>
          <w:color w:val="auto"/>
          <w:sz w:val="32"/>
          <w:szCs w:val="24"/>
          <w:highlight w:val="none"/>
          <w:lang w:val="en-US" w:eastAsia="zh-CN" w:bidi="ar-SA"/>
        </w:rPr>
        <w:t>61.08</w:t>
      </w:r>
      <w:r>
        <w:rPr>
          <w:rFonts w:hint="eastAsia" w:ascii="方正仿宋_GBK" w:hAnsi="仿宋_GB2312" w:eastAsia="方正仿宋_GBK" w:cs="仿宋_GB2312"/>
          <w:color w:val="auto"/>
          <w:sz w:val="32"/>
          <w:szCs w:val="24"/>
          <w:highlight w:val="none"/>
          <w:lang w:val="en-US" w:eastAsia="zh-CN" w:bidi="ar-SA"/>
        </w:rPr>
        <w:t>万元。其中：</w:t>
      </w:r>
    </w:p>
    <w:p>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人员经费</w:t>
      </w:r>
      <w:r>
        <w:rPr>
          <w:rFonts w:hint="default" w:ascii="方正仿宋_GBK" w:hAnsi="仿宋_GB2312" w:eastAsia="方正仿宋_GBK" w:cs="仿宋_GB2312"/>
          <w:color w:val="auto"/>
          <w:sz w:val="32"/>
          <w:szCs w:val="24"/>
          <w:highlight w:val="none"/>
          <w:lang w:val="en-US" w:eastAsia="zh-CN" w:bidi="ar-SA"/>
        </w:rPr>
        <w:t>52.28</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与2023年度相比，增加11.13万元，增长27.1%</w:t>
      </w:r>
      <w:r>
        <w:rPr>
          <w:rFonts w:hint="eastAsia" w:ascii="方正仿宋_GBK" w:hAnsi="仿宋_GB2312" w:eastAsia="方正仿宋_GBK" w:cs="仿宋_GB2312"/>
          <w:color w:val="auto"/>
          <w:sz w:val="32"/>
          <w:szCs w:val="24"/>
          <w:highlight w:val="none"/>
          <w:lang w:val="en-US" w:eastAsia="zh-CN" w:bidi="ar-SA"/>
        </w:rPr>
        <w:t>，主要原因是新录用员工1人所致。人员经费用途主要包括基本工资、津贴补贴、绩效工资、机关事业单位社会保障缴费、住房公积金等。</w:t>
      </w:r>
    </w:p>
    <w:p>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公用经费</w:t>
      </w:r>
      <w:r>
        <w:rPr>
          <w:rFonts w:hint="default" w:ascii="方正仿宋_GBK" w:hAnsi="仿宋_GB2312" w:eastAsia="方正仿宋_GBK" w:cs="仿宋_GB2312"/>
          <w:color w:val="auto"/>
          <w:sz w:val="32"/>
          <w:szCs w:val="24"/>
          <w:highlight w:val="none"/>
          <w:lang w:val="en-US" w:eastAsia="zh-CN" w:bidi="ar-SA"/>
        </w:rPr>
        <w:t>8.80</w:t>
      </w:r>
      <w:r>
        <w:rPr>
          <w:rFonts w:hint="eastAsia" w:ascii="方正仿宋_GBK" w:hAnsi="仿宋_GB2312" w:eastAsia="方正仿宋_GBK" w:cs="仿宋_GB2312"/>
          <w:color w:val="auto"/>
          <w:sz w:val="32"/>
          <w:szCs w:val="24"/>
          <w:highlight w:val="none"/>
          <w:lang w:val="en-US" w:eastAsia="zh-CN" w:bidi="ar-SA"/>
        </w:rPr>
        <w:t>万元，</w:t>
      </w:r>
      <w:r>
        <w:rPr>
          <w:rFonts w:hint="default" w:ascii="方正仿宋_GBK" w:hAnsi="仿宋_GB2312" w:eastAsia="方正仿宋_GBK" w:cs="仿宋_GB2312"/>
          <w:color w:val="auto"/>
          <w:sz w:val="32"/>
          <w:szCs w:val="24"/>
          <w:highlight w:val="none"/>
          <w:lang w:val="en-US" w:eastAsia="zh-CN" w:bidi="ar-SA"/>
        </w:rPr>
        <w:t>与2023年度相比，增加0.58万元，增长7.1%</w:t>
      </w:r>
      <w:r>
        <w:rPr>
          <w:rFonts w:hint="eastAsia" w:ascii="方正仿宋_GBK" w:hAnsi="仿宋_GB2312" w:eastAsia="方正仿宋_GBK" w:cs="仿宋_GB2312"/>
          <w:color w:val="auto"/>
          <w:sz w:val="32"/>
          <w:szCs w:val="24"/>
          <w:highlight w:val="none"/>
          <w:lang w:val="en-US" w:eastAsia="zh-CN" w:bidi="ar-SA"/>
        </w:rPr>
        <w:t>，主要原因是新录用员工1人所致。公用经费用途主要包括</w:t>
      </w:r>
      <w:r>
        <w:rPr>
          <w:rFonts w:hint="default" w:ascii="方正仿宋_GBK" w:hAnsi="仿宋_GB2312" w:eastAsia="方正仿宋_GBK" w:cs="仿宋_GB2312"/>
          <w:color w:val="auto"/>
          <w:sz w:val="32"/>
          <w:szCs w:val="24"/>
          <w:highlight w:val="none"/>
          <w:lang w:val="en-US" w:eastAsia="zh-CN" w:bidi="ar-SA"/>
        </w:rPr>
        <w:t>邮电费、工会经费、其他交通费用。</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本部门</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年度无政府性基金预算财政拨款收支。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（六）国有资本经营预算财政拨款支出决算情况说明</w:t>
      </w:r>
    </w:p>
    <w:p>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本部门</w:t>
      </w:r>
      <w:r>
        <w:rPr>
          <w:rFonts w:hint="default" w:ascii="方正仿宋_GBK" w:hAnsi="仿宋_GB2312" w:eastAsia="方正仿宋_GBK" w:cs="仿宋_GB2312"/>
          <w:color w:val="auto"/>
          <w:sz w:val="32"/>
          <w:szCs w:val="24"/>
          <w:highlight w:val="none"/>
          <w:lang w:val="en-US" w:eastAsia="zh-CN" w:bidi="ar-SA"/>
        </w:rPr>
        <w:t>2024</w:t>
      </w:r>
      <w:r>
        <w:rPr>
          <w:rFonts w:hint="eastAsia" w:ascii="方正仿宋_GBK" w:hAnsi="仿宋_GB2312" w:eastAsia="方正仿宋_GBK" w:cs="仿宋_GB2312"/>
          <w:color w:val="auto"/>
          <w:sz w:val="32"/>
          <w:szCs w:val="24"/>
          <w:highlight w:val="none"/>
          <w:lang w:val="en-US" w:eastAsia="zh-CN" w:bidi="ar-SA"/>
        </w:rPr>
        <w:t>年度无国有资本经营预算财政拨款支出。</w:t>
      </w:r>
    </w:p>
    <w:p>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4"/>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我单位属于</w:t>
      </w:r>
      <w:r>
        <w:rPr>
          <w:rFonts w:hint="eastAsia" w:ascii="方正仿宋_GBK" w:hAnsi="方正仿宋_GBK" w:eastAsia="方正仿宋_GBK" w:cs="方正仿宋_GBK"/>
          <w:sz w:val="32"/>
          <w:szCs w:val="32"/>
          <w:shd w:val="clear" w:color="auto" w:fill="FFFFFF"/>
          <w:lang w:eastAsia="zh-CN"/>
        </w:rPr>
        <w:t>二级事业单位</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未使用财政资金保障</w:t>
      </w:r>
      <w:r>
        <w:rPr>
          <w:rFonts w:ascii="方正仿宋_GBK" w:hAnsi="方正仿宋_GBK" w:eastAsia="方正仿宋_GBK" w:cs="方正仿宋_GBK"/>
          <w:sz w:val="32"/>
          <w:szCs w:val="32"/>
          <w:shd w:val="clear" w:color="auto" w:fill="FFFFFF"/>
        </w:rPr>
        <w:t>“三公”经费。</w:t>
      </w:r>
    </w:p>
    <w:p>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（一）财政拨款会议费、培训费和差旅费情况说明</w:t>
      </w:r>
    </w:p>
    <w:p>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因</w:t>
      </w:r>
      <w:r>
        <w:rPr>
          <w:rFonts w:hint="eastAsia" w:ascii="方正仿宋_GBK" w:hAnsi="仿宋_GB2312" w:eastAsia="方正仿宋_GBK" w:cs="仿宋_GB2312"/>
          <w:color w:val="auto"/>
          <w:sz w:val="32"/>
          <w:szCs w:val="24"/>
          <w:highlight w:val="none"/>
          <w:lang w:val="en-US" w:eastAsia="zh-CN" w:bidi="ar-SA"/>
        </w:rPr>
        <w:t>我单位由主管部门统一管理</w:t>
      </w:r>
      <w:r>
        <w:rPr>
          <w:rFonts w:hint="default" w:ascii="方正仿宋_GBK" w:hAnsi="仿宋_GB2312" w:eastAsia="方正仿宋_GBK" w:cs="仿宋_GB2312"/>
          <w:color w:val="auto"/>
          <w:sz w:val="32"/>
          <w:szCs w:val="24"/>
          <w:highlight w:val="none"/>
          <w:lang w:val="en-US" w:eastAsia="zh-CN" w:bidi="ar-SA"/>
        </w:rPr>
        <w:t>，</w:t>
      </w:r>
      <w:r>
        <w:rPr>
          <w:rFonts w:hint="eastAsia" w:ascii="方正仿宋_GBK" w:hAnsi="仿宋_GB2312" w:eastAsia="方正仿宋_GBK" w:cs="仿宋_GB2312"/>
          <w:color w:val="auto"/>
          <w:sz w:val="32"/>
          <w:szCs w:val="24"/>
          <w:highlight w:val="none"/>
          <w:lang w:val="en-US" w:eastAsia="zh-CN" w:bidi="ar-SA"/>
        </w:rPr>
        <w:t>未使用财政资金保障</w:t>
      </w:r>
      <w:r>
        <w:rPr>
          <w:rFonts w:hint="default" w:ascii="方正仿宋_GBK" w:hAnsi="仿宋_GB2312" w:eastAsia="方正仿宋_GBK" w:cs="仿宋_GB2312"/>
          <w:color w:val="auto"/>
          <w:sz w:val="32"/>
          <w:szCs w:val="24"/>
          <w:highlight w:val="none"/>
          <w:lang w:val="en-US" w:eastAsia="zh-CN" w:bidi="ar-SA"/>
        </w:rPr>
        <w:t>会议费</w:t>
      </w:r>
      <w:r>
        <w:rPr>
          <w:rFonts w:hint="eastAsia" w:ascii="方正仿宋_GBK" w:hAnsi="仿宋_GB2312" w:eastAsia="方正仿宋_GBK" w:cs="仿宋_GB2312"/>
          <w:color w:val="auto"/>
          <w:sz w:val="32"/>
          <w:szCs w:val="24"/>
          <w:highlight w:val="none"/>
          <w:lang w:val="en-US" w:eastAsia="zh-CN" w:bidi="ar-SA"/>
        </w:rPr>
        <w:t>、</w:t>
      </w:r>
      <w:r>
        <w:rPr>
          <w:rFonts w:hint="default" w:ascii="方正仿宋_GBK" w:hAnsi="仿宋_GB2312" w:eastAsia="方正仿宋_GBK" w:cs="仿宋_GB2312"/>
          <w:color w:val="auto"/>
          <w:sz w:val="32"/>
          <w:szCs w:val="24"/>
          <w:highlight w:val="none"/>
          <w:lang w:val="en-US" w:eastAsia="zh-CN" w:bidi="ar-SA"/>
        </w:rPr>
        <w:t>培训费</w:t>
      </w:r>
      <w:r>
        <w:rPr>
          <w:rFonts w:hint="eastAsia" w:ascii="方正仿宋_GBK" w:hAnsi="仿宋_GB2312" w:eastAsia="方正仿宋_GBK" w:cs="仿宋_GB2312"/>
          <w:color w:val="auto"/>
          <w:sz w:val="32"/>
          <w:szCs w:val="24"/>
          <w:highlight w:val="none"/>
          <w:lang w:val="en-US" w:eastAsia="zh-CN" w:bidi="ar-SA"/>
        </w:rPr>
        <w:t>和差旅费</w:t>
      </w:r>
      <w:r>
        <w:rPr>
          <w:rFonts w:hint="default" w:ascii="方正仿宋_GBK" w:hAnsi="仿宋_GB2312" w:eastAsia="方正仿宋_GBK" w:cs="仿宋_GB2312"/>
          <w:color w:val="auto"/>
          <w:sz w:val="32"/>
          <w:szCs w:val="24"/>
          <w:highlight w:val="none"/>
          <w:lang w:val="en-US" w:eastAsia="zh-CN" w:bidi="ar-SA"/>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按照部门决算列报口径，我</w:t>
      </w:r>
      <w:r>
        <w:rPr>
          <w:rFonts w:hint="eastAsia" w:ascii="方正仿宋_GBK" w:hAnsi="仿宋_GB2312" w:eastAsia="方正仿宋_GBK" w:cs="仿宋_GB2312"/>
          <w:color w:val="auto"/>
          <w:sz w:val="32"/>
          <w:szCs w:val="24"/>
          <w:highlight w:val="none"/>
          <w:lang w:val="en-US" w:eastAsia="zh-CN" w:bidi="ar-SA"/>
        </w:rPr>
        <w:t>部门</w:t>
      </w:r>
      <w:r>
        <w:rPr>
          <w:rFonts w:hint="default" w:ascii="方正仿宋_GBK" w:hAnsi="仿宋_GB2312" w:eastAsia="方正仿宋_GBK" w:cs="仿宋_GB2312"/>
          <w:color w:val="auto"/>
          <w:sz w:val="32"/>
          <w:szCs w:val="24"/>
          <w:highlight w:val="none"/>
          <w:lang w:val="en-US" w:eastAsia="zh-CN" w:bidi="ar-SA"/>
        </w:rPr>
        <w:t>不在机关运行经费统计范围之内。</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pPr>
        <w:pStyle w:val="4"/>
        <w:snapToGrid w:val="0"/>
        <w:spacing w:before="0" w:beforeAutospacing="0" w:after="0" w:afterAutospacing="0" w:line="596" w:lineRule="exact"/>
        <w:ind w:firstLine="640" w:firstLineChars="200"/>
        <w:jc w:val="both"/>
        <w:rPr>
          <w:rFonts w:hint="default" w:ascii="方正仿宋_GBK" w:hAnsi="仿宋_GB2312" w:eastAsia="方正仿宋_GBK" w:cs="仿宋_GB2312"/>
          <w:color w:val="auto"/>
          <w:sz w:val="32"/>
          <w:szCs w:val="24"/>
          <w:highlight w:val="none"/>
          <w:lang w:val="en-US" w:eastAsia="zh-CN" w:bidi="ar-SA"/>
        </w:rPr>
      </w:pPr>
      <w:r>
        <w:rPr>
          <w:rFonts w:hint="default" w:ascii="方正仿宋_GBK" w:hAnsi="仿宋_GB2312" w:eastAsia="方正仿宋_GBK" w:cs="仿宋_GB2312"/>
          <w:color w:val="auto"/>
          <w:sz w:val="32"/>
          <w:szCs w:val="24"/>
          <w:highlight w:val="none"/>
          <w:lang w:val="en-US" w:eastAsia="zh-CN" w:bidi="ar-SA"/>
        </w:rPr>
        <w:t>因</w:t>
      </w:r>
      <w:r>
        <w:rPr>
          <w:rFonts w:hint="eastAsia" w:ascii="方正仿宋_GBK" w:hAnsi="仿宋_GB2312" w:eastAsia="方正仿宋_GBK" w:cs="仿宋_GB2312"/>
          <w:color w:val="auto"/>
          <w:sz w:val="32"/>
          <w:szCs w:val="24"/>
          <w:highlight w:val="none"/>
          <w:lang w:val="en-US" w:eastAsia="zh-CN" w:bidi="ar-SA"/>
        </w:rPr>
        <w:t>我单位由主管部门统一管理</w:t>
      </w:r>
      <w:r>
        <w:rPr>
          <w:rFonts w:hint="default" w:ascii="方正仿宋_GBK" w:hAnsi="仿宋_GB2312" w:eastAsia="方正仿宋_GBK" w:cs="仿宋_GB2312"/>
          <w:color w:val="auto"/>
          <w:sz w:val="32"/>
          <w:szCs w:val="24"/>
          <w:highlight w:val="none"/>
          <w:lang w:val="en-US" w:eastAsia="zh-CN" w:bidi="ar-SA"/>
        </w:rPr>
        <w:t>原因，我</w:t>
      </w:r>
      <w:r>
        <w:rPr>
          <w:rFonts w:hint="eastAsia" w:ascii="方正仿宋_GBK" w:hAnsi="仿宋_GB2312" w:eastAsia="方正仿宋_GBK" w:cs="仿宋_GB2312"/>
          <w:color w:val="auto"/>
          <w:sz w:val="32"/>
          <w:szCs w:val="24"/>
          <w:highlight w:val="none"/>
          <w:lang w:val="en-US" w:eastAsia="zh-CN" w:bidi="ar-SA"/>
        </w:rPr>
        <w:t>单位</w:t>
      </w:r>
      <w:r>
        <w:rPr>
          <w:rFonts w:hint="default" w:ascii="方正仿宋_GBK" w:hAnsi="仿宋_GB2312" w:eastAsia="方正仿宋_GBK" w:cs="仿宋_GB2312"/>
          <w:color w:val="auto"/>
          <w:sz w:val="32"/>
          <w:szCs w:val="24"/>
          <w:highlight w:val="none"/>
          <w:lang w:val="en-US" w:eastAsia="zh-CN" w:bidi="ar-SA"/>
        </w:rPr>
        <w:t>资产未纳入部门决算报表。</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2024年度我部门未发生政府采购事项，无相关经费支出。</w:t>
      </w:r>
    </w:p>
    <w:p>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五、预算绩效管理情况说明</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（一）单位自评情况</w:t>
      </w:r>
    </w:p>
    <w:p>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根据预算绩效管理要求，因本单位与医保局机关合署办公，未安排相关项目支出，故不涉及项目绩效评价。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（二）单位绩效评价情况</w:t>
      </w:r>
    </w:p>
    <w:p>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我单位未组织开展绩效评价。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（三）财政绩效评价情况</w:t>
      </w:r>
    </w:p>
    <w:p>
      <w:pPr>
        <w:pStyle w:val="4"/>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sz w:val="32"/>
          <w:szCs w:val="24"/>
          <w:highlight w:val="none"/>
          <w:lang w:val="en-US" w:eastAsia="zh-CN" w:bidi="ar-SA"/>
        </w:rPr>
      </w:pPr>
      <w:r>
        <w:rPr>
          <w:rFonts w:hint="eastAsia" w:ascii="方正仿宋_GBK" w:hAnsi="仿宋_GB2312" w:eastAsia="方正仿宋_GBK" w:cs="仿宋_GB2312"/>
          <w:color w:val="auto"/>
          <w:sz w:val="32"/>
          <w:szCs w:val="24"/>
          <w:highlight w:val="none"/>
          <w:lang w:val="en-US" w:eastAsia="zh-CN" w:bidi="ar-SA"/>
        </w:rPr>
        <w:t>无。</w:t>
      </w:r>
    </w:p>
    <w:p>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 六、专业名词解释</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（一）财政拨款收入</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指本年度从本级财政部门取得的财政拨款，包括一般公共预算财政拨款和政府性基金预算财政拨款。</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（二）事业收入：</w:t>
      </w:r>
      <w:r>
        <w:rPr>
          <w:rFonts w:hint="eastAsia" w:ascii="方正仿宋_GBK" w:hAnsi="方正仿宋_GBK" w:eastAsia="方正仿宋_GBK" w:cs="方正仿宋_GBK"/>
          <w:b w:val="0"/>
          <w:bCs w:val="0"/>
          <w:color w:val="auto"/>
          <w:sz w:val="32"/>
          <w:szCs w:val="32"/>
          <w:highlight w:val="none"/>
          <w:shd w:val="clear" w:color="auto" w:fill="FFFFFF"/>
        </w:rPr>
        <w:t>指事业单位开展专业业务活动及其辅助活动取得的现金流入；事业单位收到的财政专户实际核拨的教育收费等资金在此反映。</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（三）经营收入</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指事业单位在专业业务活动及其辅助活动之外开展非独立核算经营活动取得的现金流入。</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（四）其他收入</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（六）年初结转和结余</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指单位上年结转本年使用的基本支出结转、项目支出结转和结余、经营结余。</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（七）结余分配</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指单位按照国家有关规定，缴纳所得税、提取专用基金、转入非财政拨款结余等当年结余的分配情况。</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（八）年末结转和结余</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指单位结转下年的基本支出结转、项目支出结转和结余、经营结余。</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（九）基本支出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（十）项目支出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指在基本支出之外为完成特定行政任务和事业发展目标所发生的支出。</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（十一）经营支出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指事业单位在专业业务活动及其辅助活动之外开展非独立核算经营活动发生的支出。</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（十二）“三公”经费</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（十三）机关运行经费</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（十四）工资福利支出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（支出经济分类科目类级）：</w:t>
      </w:r>
      <w:r>
        <w:rPr>
          <w:rFonts w:hint="eastAsia" w:ascii="方正仿宋_GBK" w:hAnsi="方正仿宋_GBK" w:eastAsia="方正仿宋_GBK" w:cs="方正仿宋_GBK"/>
          <w:b w:val="0"/>
          <w:bCs w:val="0"/>
          <w:color w:val="auto"/>
          <w:sz w:val="32"/>
          <w:szCs w:val="32"/>
          <w:highlight w:val="none"/>
          <w:shd w:val="clear" w:color="auto" w:fill="FFFFFF"/>
        </w:rPr>
        <w:t>反映单位开支的在职职工和编制外长期聘用人员的各类劳动报酬，以及为上述人员缴纳的各项社会保险费等。</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 </w:t>
      </w:r>
      <w:r>
        <w:rPr>
          <w:rFonts w:hint="eastAsia" w:ascii="方正楷体_GBK" w:hAnsi="Times New Roman" w:eastAsia="方正楷体_GBK" w:cs="Times New Roman"/>
          <w:kern w:val="2"/>
          <w:sz w:val="32"/>
          <w:szCs w:val="32"/>
          <w:lang w:val="en-US" w:eastAsia="zh-CN" w:bidi="ar-SA"/>
        </w:rPr>
        <w:t>（十五）商品和服务支出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（支出经济分类科目类级）：</w:t>
      </w:r>
      <w:r>
        <w:rPr>
          <w:rFonts w:hint="eastAsia" w:ascii="方正仿宋_GBK" w:hAnsi="方正仿宋_GBK" w:eastAsia="方正仿宋_GBK" w:cs="方正仿宋_GBK"/>
          <w:b w:val="0"/>
          <w:bCs w:val="0"/>
          <w:color w:val="auto"/>
          <w:sz w:val="32"/>
          <w:szCs w:val="32"/>
          <w:highlight w:val="none"/>
          <w:shd w:val="clear" w:color="auto" w:fill="FFFFFF"/>
        </w:rPr>
        <w:t>反映单位购买商品和服务的支出（不包括用于购置固定资产的支出、战略性和应急储备支出）。</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（十六）对个人和家庭的补助</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（支出经济分类科目类级）：</w:t>
      </w:r>
      <w:r>
        <w:rPr>
          <w:rFonts w:hint="eastAsia" w:ascii="方正仿宋_GBK" w:hAnsi="方正仿宋_GBK" w:eastAsia="方正仿宋_GBK" w:cs="方正仿宋_GBK"/>
          <w:b w:val="0"/>
          <w:bCs w:val="0"/>
          <w:color w:val="auto"/>
          <w:sz w:val="32"/>
          <w:szCs w:val="32"/>
          <w:highlight w:val="none"/>
          <w:shd w:val="clear" w:color="auto" w:fill="FFFFFF"/>
        </w:rPr>
        <w:t>反映用于对个人和家庭的补助支出。</w:t>
      </w:r>
    </w:p>
    <w:p>
      <w:pPr>
        <w:pStyle w:val="4"/>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楷体_GBK" w:hAnsi="Times New Roman" w:eastAsia="方正楷体_GBK" w:cs="Times New Roman"/>
          <w:kern w:val="2"/>
          <w:sz w:val="32"/>
          <w:szCs w:val="32"/>
          <w:lang w:val="en-US" w:eastAsia="zh-CN" w:bidi="ar-SA"/>
        </w:rPr>
        <w:t> （十七）其他资本性支出</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（支</w:t>
      </w:r>
      <w:bookmarkStart w:id="0" w:name="_GoBack"/>
      <w:bookmarkEnd w:id="0"/>
      <w:r>
        <w:rPr>
          <w:rFonts w:hint="eastAsia" w:ascii="方正仿宋_GBK" w:hAnsi="方正仿宋_GBK" w:eastAsia="方正仿宋_GBK" w:cs="方正仿宋_GBK"/>
          <w:b w:val="0"/>
          <w:bCs w:val="0"/>
          <w:color w:val="auto"/>
          <w:sz w:val="32"/>
          <w:szCs w:val="32"/>
          <w:highlight w:val="none"/>
          <w:shd w:val="clear" w:color="auto" w:fill="FFFFFF"/>
          <w:lang w:val="en-US" w:eastAsia="zh-CN"/>
        </w:rPr>
        <w:t>出经济分类科目类级）：</w:t>
      </w:r>
      <w:r>
        <w:rPr>
          <w:rFonts w:hint="eastAsia" w:ascii="方正仿宋_GBK" w:hAnsi="方正仿宋_GBK" w:eastAsia="方正仿宋_GBK" w:cs="方正仿宋_GBK"/>
          <w:b w:val="0"/>
          <w:bCs w:val="0"/>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widowControl/>
        <w:shd w:val="clear" w:color="auto" w:fill="FFFFFF"/>
        <w:kinsoku/>
        <w:wordWrap/>
        <w:overflowPunct/>
        <w:topLinePunct w:val="0"/>
        <w:autoSpaceDN/>
        <w:bidi w:val="0"/>
        <w:spacing w:before="0" w:beforeAutospacing="0" w:after="0" w:afterAutospacing="0" w:line="600" w:lineRule="exact"/>
        <w:ind w:firstLine="643" w:firstLineChars="200"/>
        <w:textAlignment w:val="auto"/>
        <w:rPr>
          <w:rFonts w:hint="default" w:ascii="方正黑体_GBK" w:hAnsi="方正黑体_GBK" w:eastAsia="方正黑体_GBK" w:cs="方正黑体_GBK"/>
          <w:b/>
          <w:color w:val="auto"/>
          <w:sz w:val="32"/>
          <w:szCs w:val="24"/>
          <w:highlight w:val="none"/>
          <w:lang w:val="en-US" w:eastAsia="zh-CN" w:bidi="ar-SA"/>
        </w:rPr>
      </w:pPr>
      <w:r>
        <w:rPr>
          <w:rFonts w:hint="eastAsia" w:ascii="方正黑体_GBK" w:hAnsi="方正黑体_GBK" w:eastAsia="方正黑体_GBK" w:cs="方正黑体_GBK"/>
          <w:b/>
          <w:color w:val="auto"/>
          <w:sz w:val="32"/>
          <w:szCs w:val="24"/>
          <w:highlight w:val="none"/>
          <w:lang w:val="en-US" w:eastAsia="zh-CN" w:bidi="ar-SA"/>
        </w:rPr>
        <w:t> </w:t>
      </w:r>
      <w:r>
        <w:rPr>
          <w:rFonts w:hint="eastAsia" w:ascii="方正黑体_GBK" w:hAnsi="Times New Roman" w:eastAsia="方正黑体_GBK" w:cs="Times New Roman"/>
          <w:kern w:val="2"/>
          <w:sz w:val="32"/>
          <w:szCs w:val="32"/>
          <w:lang w:val="en-US" w:eastAsia="zh-CN" w:bidi="ar-SA"/>
        </w:rPr>
        <w:t>七、决算公开联系方式及信息反馈渠道</w:t>
      </w:r>
    </w:p>
    <w:p>
      <w:pPr>
        <w:pStyle w:val="8"/>
        <w:keepNext w:val="0"/>
        <w:keepLines w:val="0"/>
        <w:pageBreakBefore w:val="0"/>
        <w:widowControl/>
        <w:kinsoku/>
        <w:wordWrap/>
        <w:overflowPunct/>
        <w:topLinePunct w:val="0"/>
        <w:autoSpaceDE w:val="0"/>
        <w:autoSpaceDN/>
        <w:bidi w:val="0"/>
        <w:spacing w:beforeAutospacing="0" w:line="600" w:lineRule="exact"/>
        <w:textAlignment w:val="auto"/>
      </w:pPr>
      <w:r>
        <w:rPr>
          <w:rFonts w:ascii="方正仿宋_GBK" w:hAnsi="方正仿宋_GBK" w:eastAsia="方正仿宋_GBK" w:cs="方正仿宋_GBK"/>
          <w:color w:val="auto"/>
          <w:sz w:val="32"/>
          <w:szCs w:val="32"/>
          <w:highlight w:val="none"/>
          <w:shd w:val="clear" w:color="auto" w:fill="FFFFFF"/>
        </w:rPr>
        <w:t>本单位决算公开信息反馈和联系方式：023-</w:t>
      </w:r>
      <w:r>
        <w:rPr>
          <w:rFonts w:hint="eastAsia" w:ascii="方正仿宋_GBK" w:hAnsi="方正仿宋_GBK" w:eastAsia="方正仿宋_GBK" w:cs="方正仿宋_GBK"/>
          <w:color w:val="auto"/>
          <w:sz w:val="32"/>
          <w:szCs w:val="32"/>
          <w:highlight w:val="none"/>
          <w:shd w:val="clear" w:color="auto" w:fill="FFFFFF"/>
          <w:lang w:val="en-US" w:eastAsia="zh-CN"/>
        </w:rPr>
        <w:t>8171033</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96622"/>
    <w:rsid w:val="00150D10"/>
    <w:rsid w:val="00A16F22"/>
    <w:rsid w:val="012F05F5"/>
    <w:rsid w:val="01953616"/>
    <w:rsid w:val="01A42E67"/>
    <w:rsid w:val="037564AC"/>
    <w:rsid w:val="03C83C96"/>
    <w:rsid w:val="05DD630A"/>
    <w:rsid w:val="07297AEA"/>
    <w:rsid w:val="084277E2"/>
    <w:rsid w:val="086B5A9E"/>
    <w:rsid w:val="08C61CE5"/>
    <w:rsid w:val="0A5C4DBF"/>
    <w:rsid w:val="0B7379FE"/>
    <w:rsid w:val="0B987A77"/>
    <w:rsid w:val="0C0A2924"/>
    <w:rsid w:val="0C0A6C58"/>
    <w:rsid w:val="0C2C6A67"/>
    <w:rsid w:val="0C6F3E70"/>
    <w:rsid w:val="0D2B03ED"/>
    <w:rsid w:val="0D361B8E"/>
    <w:rsid w:val="0D6A410C"/>
    <w:rsid w:val="0D800A2B"/>
    <w:rsid w:val="0E6052D0"/>
    <w:rsid w:val="0F181A6F"/>
    <w:rsid w:val="0F4B6BB6"/>
    <w:rsid w:val="0FB62025"/>
    <w:rsid w:val="115B6C02"/>
    <w:rsid w:val="1184452F"/>
    <w:rsid w:val="11F60EC2"/>
    <w:rsid w:val="12312D9A"/>
    <w:rsid w:val="12632AFF"/>
    <w:rsid w:val="147A2291"/>
    <w:rsid w:val="15C44075"/>
    <w:rsid w:val="162B6AB5"/>
    <w:rsid w:val="181C6A28"/>
    <w:rsid w:val="18D70E97"/>
    <w:rsid w:val="19D9454E"/>
    <w:rsid w:val="1A061FE7"/>
    <w:rsid w:val="1ADA4599"/>
    <w:rsid w:val="1B456747"/>
    <w:rsid w:val="1D272BCE"/>
    <w:rsid w:val="1E8E1147"/>
    <w:rsid w:val="1EEC436B"/>
    <w:rsid w:val="1F8A0730"/>
    <w:rsid w:val="1FC233BD"/>
    <w:rsid w:val="200D39B0"/>
    <w:rsid w:val="20175F16"/>
    <w:rsid w:val="203615E0"/>
    <w:rsid w:val="20E66ACE"/>
    <w:rsid w:val="212D3637"/>
    <w:rsid w:val="2235774D"/>
    <w:rsid w:val="244908EA"/>
    <w:rsid w:val="265D2E95"/>
    <w:rsid w:val="279C0EE8"/>
    <w:rsid w:val="283E0CE0"/>
    <w:rsid w:val="284274AD"/>
    <w:rsid w:val="286E3605"/>
    <w:rsid w:val="2A962BE6"/>
    <w:rsid w:val="2AD6032D"/>
    <w:rsid w:val="2AF241E9"/>
    <w:rsid w:val="2CAD038D"/>
    <w:rsid w:val="2D217A5C"/>
    <w:rsid w:val="304E49AB"/>
    <w:rsid w:val="308D6BFD"/>
    <w:rsid w:val="313D3ED6"/>
    <w:rsid w:val="32954472"/>
    <w:rsid w:val="33396622"/>
    <w:rsid w:val="335F54D3"/>
    <w:rsid w:val="33EE6BDC"/>
    <w:rsid w:val="33F90C7C"/>
    <w:rsid w:val="34E74472"/>
    <w:rsid w:val="36381168"/>
    <w:rsid w:val="36CC250D"/>
    <w:rsid w:val="36E06743"/>
    <w:rsid w:val="36F831B4"/>
    <w:rsid w:val="37A63B0A"/>
    <w:rsid w:val="37D742B9"/>
    <w:rsid w:val="37EE4385"/>
    <w:rsid w:val="382D6993"/>
    <w:rsid w:val="3B186EB7"/>
    <w:rsid w:val="3B916D5B"/>
    <w:rsid w:val="3C0D3357"/>
    <w:rsid w:val="3D2341EE"/>
    <w:rsid w:val="3D4D3C40"/>
    <w:rsid w:val="3D7971BA"/>
    <w:rsid w:val="3EA04398"/>
    <w:rsid w:val="3F3D4622"/>
    <w:rsid w:val="40C370EF"/>
    <w:rsid w:val="40D4708C"/>
    <w:rsid w:val="41136BBC"/>
    <w:rsid w:val="41DD1993"/>
    <w:rsid w:val="425D1718"/>
    <w:rsid w:val="451415E0"/>
    <w:rsid w:val="45BC01FD"/>
    <w:rsid w:val="45DF7E19"/>
    <w:rsid w:val="46481068"/>
    <w:rsid w:val="473156CD"/>
    <w:rsid w:val="475B3C91"/>
    <w:rsid w:val="4779346E"/>
    <w:rsid w:val="47924A22"/>
    <w:rsid w:val="47F02335"/>
    <w:rsid w:val="48FB1073"/>
    <w:rsid w:val="4A46106F"/>
    <w:rsid w:val="4A530C52"/>
    <w:rsid w:val="4A9A285C"/>
    <w:rsid w:val="4AC016F4"/>
    <w:rsid w:val="4BBD36C0"/>
    <w:rsid w:val="4C9F1A6D"/>
    <w:rsid w:val="4CE05C38"/>
    <w:rsid w:val="4CED6034"/>
    <w:rsid w:val="4D010014"/>
    <w:rsid w:val="4D203E09"/>
    <w:rsid w:val="4F954B79"/>
    <w:rsid w:val="4FF36686"/>
    <w:rsid w:val="5074693E"/>
    <w:rsid w:val="51EF0A71"/>
    <w:rsid w:val="52081B3B"/>
    <w:rsid w:val="52585D60"/>
    <w:rsid w:val="527074E5"/>
    <w:rsid w:val="52B85B6A"/>
    <w:rsid w:val="5380366E"/>
    <w:rsid w:val="539F63A4"/>
    <w:rsid w:val="55690B7B"/>
    <w:rsid w:val="55AC0728"/>
    <w:rsid w:val="56440D05"/>
    <w:rsid w:val="56B635DC"/>
    <w:rsid w:val="56C53350"/>
    <w:rsid w:val="593D1C96"/>
    <w:rsid w:val="59B349AF"/>
    <w:rsid w:val="5B0D1D90"/>
    <w:rsid w:val="5BA20F4B"/>
    <w:rsid w:val="5D9D0CB5"/>
    <w:rsid w:val="5DBF284D"/>
    <w:rsid w:val="5DEE2C89"/>
    <w:rsid w:val="5F374940"/>
    <w:rsid w:val="62015CA0"/>
    <w:rsid w:val="62AC16B4"/>
    <w:rsid w:val="62D53DC6"/>
    <w:rsid w:val="64D14752"/>
    <w:rsid w:val="658B0501"/>
    <w:rsid w:val="65F55E3E"/>
    <w:rsid w:val="667559C7"/>
    <w:rsid w:val="667B0509"/>
    <w:rsid w:val="66A75303"/>
    <w:rsid w:val="66D23153"/>
    <w:rsid w:val="678A7E49"/>
    <w:rsid w:val="680A32C5"/>
    <w:rsid w:val="68182CF8"/>
    <w:rsid w:val="68302705"/>
    <w:rsid w:val="68376863"/>
    <w:rsid w:val="685314C7"/>
    <w:rsid w:val="68AD3802"/>
    <w:rsid w:val="6A0474F0"/>
    <w:rsid w:val="6A80630E"/>
    <w:rsid w:val="6A9A003E"/>
    <w:rsid w:val="6AEC4908"/>
    <w:rsid w:val="6AFC4426"/>
    <w:rsid w:val="6B3B7E32"/>
    <w:rsid w:val="6BA91EED"/>
    <w:rsid w:val="6D4A315A"/>
    <w:rsid w:val="6E6C7B25"/>
    <w:rsid w:val="6E70469F"/>
    <w:rsid w:val="6F80600E"/>
    <w:rsid w:val="6FA62E9D"/>
    <w:rsid w:val="70544A5F"/>
    <w:rsid w:val="70D60562"/>
    <w:rsid w:val="725F0E65"/>
    <w:rsid w:val="734D0AE5"/>
    <w:rsid w:val="73B37B6B"/>
    <w:rsid w:val="74C45F26"/>
    <w:rsid w:val="75094506"/>
    <w:rsid w:val="75116193"/>
    <w:rsid w:val="75FD5028"/>
    <w:rsid w:val="76162D5F"/>
    <w:rsid w:val="764B1535"/>
    <w:rsid w:val="76514ADB"/>
    <w:rsid w:val="76572D6F"/>
    <w:rsid w:val="76A77B77"/>
    <w:rsid w:val="76BB021E"/>
    <w:rsid w:val="77AD1ABB"/>
    <w:rsid w:val="77DD6B9F"/>
    <w:rsid w:val="79B458E1"/>
    <w:rsid w:val="79DA3723"/>
    <w:rsid w:val="7A2C5B9F"/>
    <w:rsid w:val="7A92129E"/>
    <w:rsid w:val="7B9E4E1E"/>
    <w:rsid w:val="7D507632"/>
    <w:rsid w:val="7E083653"/>
    <w:rsid w:val="7E743147"/>
    <w:rsid w:val="7EE036B5"/>
    <w:rsid w:val="7FC0440C"/>
    <w:rsid w:val="7FF10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before="0" w:beforeAutospacing="0" w:after="0" w:afterAutospacing="0" w:line="480" w:lineRule="auto"/>
      <w:ind w:left="0" w:right="0"/>
      <w:jc w:val="left"/>
    </w:pPr>
    <w:rPr>
      <w:rFonts w:hint="eastAsia" w:ascii="宋体" w:hAnsi="宋体" w:eastAsia="宋体" w:cs="宋体"/>
      <w:kern w:val="0"/>
      <w:sz w:val="32"/>
      <w:szCs w:val="32"/>
      <w:lang w:val="en-US" w:eastAsia="zh-CN" w:bidi="ar"/>
    </w:rPr>
  </w:style>
  <w:style w:type="paragraph" w:styleId="3">
    <w:name w:val="footer"/>
    <w:basedOn w:val="1"/>
    <w:qFormat/>
    <w:uiPriority w:val="0"/>
    <w:pPr>
      <w:tabs>
        <w:tab w:val="center" w:pos="4153"/>
        <w:tab w:val="right" w:pos="8306"/>
      </w:tabs>
      <w:snapToGrid w:val="0"/>
    </w:pPr>
    <w:rPr>
      <w:sz w:val="18"/>
      <w:szCs w:val="18"/>
    </w:rPr>
  </w:style>
  <w:style w:type="paragraph" w:styleId="4">
    <w:name w:val="Normal (Web)"/>
    <w:basedOn w:val="1"/>
    <w:unhideWhenUsed/>
    <w:qFormat/>
    <w:uiPriority w:val="0"/>
    <w:pPr>
      <w:spacing w:before="100" w:beforeAutospacing="1" w:after="100" w:afterAutospacing="1"/>
    </w:pPr>
  </w:style>
  <w:style w:type="character" w:styleId="7">
    <w:name w:val="Strong"/>
    <w:basedOn w:val="6"/>
    <w:qFormat/>
    <w:uiPriority w:val="0"/>
    <w:rPr>
      <w:b/>
    </w:rPr>
  </w:style>
  <w:style w:type="paragraph" w:customStyle="1" w:styleId="8">
    <w:name w:val="列出段落1"/>
    <w:basedOn w:val="1"/>
    <w:qFormat/>
    <w:uiPriority w:val="99"/>
    <w:pPr>
      <w:ind w:firstLine="420" w:firstLineChars="200"/>
    </w:pPr>
    <w:rPr>
      <w:rFonts w:hint="default"/>
    </w:rPr>
  </w:style>
  <w:style w:type="character" w:customStyle="1" w:styleId="9">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2025-10-14T09:04:00Z</dcterms:created>
  <dc:creator>Administrator</dc:creator>
  <cp:lastModifiedBy>Administrator</cp:lastModifiedBy>
  <dcterms:modified xsi:type="dcterms:W3CDTF">2025-10-22T03:25:52Z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