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ageBreakBefore w:val="0"/>
        <w:widowControl/>
        <w:kinsoku/>
        <w:wordWrap/>
        <w:overflowPunct/>
        <w:topLinePunct w:val="0"/>
        <w:autoSpaceDN/>
        <w:bidi w:val="0"/>
        <w:spacing w:line="600" w:lineRule="exact"/>
        <w:jc w:val="center"/>
        <w:textAlignment w:val="auto"/>
        <w:rPr>
          <w:rFonts w:ascii="方正小标宋_GBK" w:hAnsi="方正小标宋_GBK" w:eastAsia="方正小标宋_GBK" w:cs="方正小标宋_GBK"/>
          <w:color w:val="auto"/>
          <w:sz w:val="36"/>
          <w:szCs w:val="36"/>
        </w:rPr>
      </w:pPr>
      <w:r>
        <w:rPr>
          <w:rFonts w:ascii="方正小标宋_GBK" w:hAnsi="方正小标宋_GBK" w:eastAsia="方正小标宋_GBK" w:cs="方正小标宋_GBK"/>
          <w:color w:val="auto"/>
          <w:sz w:val="36"/>
          <w:szCs w:val="36"/>
        </w:rPr>
        <w:t>重庆市綦江区医疗保障局</w:t>
      </w:r>
    </w:p>
    <w:p>
      <w:pPr>
        <w:pStyle w:val="7"/>
        <w:pageBreakBefore w:val="0"/>
        <w:widowControl/>
        <w:kinsoku/>
        <w:wordWrap/>
        <w:overflowPunct/>
        <w:topLinePunct w:val="0"/>
        <w:autoSpaceDN/>
        <w:bidi w:val="0"/>
        <w:spacing w:line="600" w:lineRule="exact"/>
        <w:jc w:val="center"/>
        <w:textAlignment w:val="auto"/>
        <w:rPr>
          <w:rFonts w:hint="default" w:ascii="方正小标宋_GBK" w:hAnsi="方正小标宋_GBK" w:eastAsia="方正小标宋_GBK" w:cs="方正小标宋_GBK"/>
          <w:color w:val="auto"/>
          <w:sz w:val="36"/>
          <w:szCs w:val="36"/>
          <w:shd w:val="clear" w:color="auto" w:fill="FFFFFF"/>
        </w:rPr>
      </w:pPr>
      <w:r>
        <w:rPr>
          <w:rFonts w:ascii="方正小标宋_GBK" w:hAnsi="方正小标宋_GBK" w:eastAsia="方正小标宋_GBK" w:cs="方正小标宋_GBK"/>
          <w:color w:val="auto"/>
          <w:sz w:val="36"/>
          <w:szCs w:val="36"/>
          <w:shd w:val="clear" w:color="auto" w:fill="FFFFFF"/>
        </w:rPr>
        <w:t>202</w:t>
      </w:r>
      <w:r>
        <w:rPr>
          <w:rFonts w:hint="eastAsia" w:ascii="方正小标宋_GBK" w:hAnsi="方正小标宋_GBK" w:eastAsia="方正小标宋_GBK" w:cs="方正小标宋_GBK"/>
          <w:color w:val="auto"/>
          <w:sz w:val="36"/>
          <w:szCs w:val="36"/>
          <w:shd w:val="clear" w:color="auto" w:fill="FFFFFF"/>
          <w:lang w:val="en-US" w:eastAsia="zh-CN"/>
        </w:rPr>
        <w:t>4</w:t>
      </w:r>
      <w:r>
        <w:rPr>
          <w:rFonts w:ascii="方正小标宋_GBK" w:hAnsi="方正小标宋_GBK" w:eastAsia="方正小标宋_GBK" w:cs="方正小标宋_GBK"/>
          <w:color w:val="auto"/>
          <w:sz w:val="36"/>
          <w:szCs w:val="36"/>
          <w:shd w:val="clear" w:color="auto" w:fill="FFFFFF"/>
        </w:rPr>
        <w:t>年度决算情况说明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一、部门基本情况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根据党的十九届三中全会审议通过的《中共中央关于深化党和国家机构改革的决定》《深化党和国家机构改革方案》和党中央、国务院批准的《重庆市机构改革方案》，以及市委、市政府批准的《重庆市綦江区机构改革方案》和《重庆市綦江区人民政府办公室关于印发《重庆市綦江区医疗保障局职能配置、内设机构和人员编制规定》的通知》（</w:t>
      </w:r>
      <w:r>
        <w:rPr>
          <w:rFonts w:hint="default" w:ascii="宋体" w:hAnsi="宋体" w:eastAsia="方正仿宋_GBK" w:cs="方正仿宋_GBK"/>
          <w:kern w:val="0"/>
          <w:sz w:val="32"/>
          <w:szCs w:val="32"/>
          <w:lang w:val="en-US" w:eastAsia="zh-CN" w:bidi="ar"/>
        </w:rPr>
        <w:t>綦江委办发〔201</w:t>
      </w:r>
      <w:r>
        <w:rPr>
          <w:rFonts w:hint="eastAsia" w:ascii="宋体" w:hAnsi="宋体" w:eastAsia="方正仿宋_GBK" w:cs="方正仿宋_GBK"/>
          <w:kern w:val="0"/>
          <w:sz w:val="32"/>
          <w:szCs w:val="32"/>
          <w:lang w:val="en-US" w:eastAsia="zh-CN" w:bidi="ar"/>
        </w:rPr>
        <w:t>9</w:t>
      </w:r>
      <w:r>
        <w:rPr>
          <w:rFonts w:hint="default" w:ascii="宋体" w:hAnsi="宋体" w:eastAsia="方正仿宋_GBK" w:cs="方正仿宋_GBK"/>
          <w:kern w:val="0"/>
          <w:sz w:val="32"/>
          <w:szCs w:val="32"/>
          <w:lang w:val="en-US" w:eastAsia="zh-CN" w:bidi="ar"/>
        </w:rPr>
        <w:t>〕</w:t>
      </w:r>
      <w:r>
        <w:rPr>
          <w:rFonts w:hint="eastAsia" w:ascii="宋体" w:hAnsi="宋体" w:eastAsia="方正仿宋_GBK" w:cs="方正仿宋_GBK"/>
          <w:kern w:val="0"/>
          <w:sz w:val="32"/>
          <w:szCs w:val="32"/>
          <w:lang w:val="en-US" w:eastAsia="zh-CN" w:bidi="ar"/>
        </w:rPr>
        <w:t>19</w:t>
      </w:r>
      <w:r>
        <w:rPr>
          <w:rFonts w:hint="default" w:ascii="宋体" w:hAnsi="宋体" w:eastAsia="方正仿宋_GBK" w:cs="方正仿宋_GBK"/>
          <w:kern w:val="0"/>
          <w:sz w:val="32"/>
          <w:szCs w:val="32"/>
          <w:lang w:val="en-US" w:eastAsia="zh-CN" w:bidi="ar"/>
        </w:rPr>
        <w:t>号</w:t>
      </w:r>
      <w:r>
        <w:rPr>
          <w:rFonts w:hint="eastAsia" w:ascii="宋体" w:hAnsi="宋体" w:eastAsia="方正仿宋_GBK" w:cs="方正仿宋_GBK"/>
          <w:kern w:val="0"/>
          <w:sz w:val="32"/>
          <w:szCs w:val="32"/>
          <w:lang w:val="en-US" w:eastAsia="zh-CN" w:bidi="ar"/>
        </w:rPr>
        <w:t>）文件精神，设立重庆市綦江区医疗保障局，为区政府工作部门。</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outlineLvl w:val="0"/>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职能职责</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1.贯彻执行国家和市医疗保险、生育保险、医疗救助等医疗保障制度的法律法规、政策、规划和标准，拟订相关规划、政策、标准并组织实施。</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2.组织实施医疗保障基金监督管理办法，建立健全医疗保障基金安全防控机制，推进医疗保障基金支付方式改革。</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3.组织实施医疗保障筹资和待遇落实，完善动态调整，落实统筹城乡医疗保障待遇标准，组织实施长期护理保险政策。</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4.贯彻执行国家和市药品、医用耗材、医疗服务项目、医疗服务设施等医保目录和支付标准。执行医保目录准入谈判地方规则。</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5.贯彻执行药品、医用耗材价格和医疗服务项目、医疗服务设施收费等政策，推动建立医保支付医药服务价格的合理确定和动态调整机制，推动建立市场主导的社会医药服务价格形成机制，建立价格信息监测和信息发布制度。</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6.监督实施药品、医用耗材的招标采购政策，指导药品、医用耗材的招标采购平台建设。</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7.组织实施定点医药机构协议和支付管理办法，建立健全医疗保障信用评价体系和信息披露制度，监督管理纳入医保范围内的医疗服务行为和医疗费用，依法查处医疗保障领域违法违规行为。</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8.负责医疗保障经办管理、公共服务体系和信息化建设。组织实施异地就医管理和费用结算政策。建立健全医疗保障关系转移接续制度。</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9.完成区委、区政府交办的其他任务。</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10.职能转变。重庆市綦江区医疗保障局要贯彻执行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11.与有关部门的职责分工。重庆市綦江区医疗保障局要建立与重庆市綦江区发展和改革委员会、重庆市綦江区财政局、重庆市綦江区卫生健康委员会、重庆市綦江区市场监督管理局、重庆市綦江区税务局等部门的沟通协商机制，加强制度、政策衔接，协同推进改革，提高医疗资源使用效率和医疗保障水平。</w:t>
      </w:r>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outlineLvl w:val="0"/>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机构设置</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eastAsia="zh-CN" w:bidi="ar"/>
        </w:rPr>
      </w:pPr>
      <w:r>
        <w:rPr>
          <w:rFonts w:hint="default" w:ascii="宋体" w:hAnsi="宋体" w:eastAsia="方正仿宋_GBK" w:cs="方正仿宋_GBK"/>
          <w:kern w:val="0"/>
          <w:sz w:val="32"/>
          <w:szCs w:val="32"/>
          <w:lang w:eastAsia="zh-CN" w:bidi="ar"/>
        </w:rPr>
        <w:t>重庆市綦江区医疗保障局下属：</w:t>
      </w:r>
      <w:r>
        <w:rPr>
          <w:rFonts w:hint="default" w:ascii="宋体" w:hAnsi="宋体" w:eastAsia="方正仿宋_GBK" w:cs="方正仿宋_GBK"/>
          <w:kern w:val="0"/>
          <w:sz w:val="32"/>
          <w:szCs w:val="32"/>
          <w:lang w:val="en-US" w:eastAsia="zh-CN" w:bidi="ar"/>
        </w:rPr>
        <w:t>重庆市綦江区医疗保障局</w:t>
      </w:r>
      <w:r>
        <w:rPr>
          <w:rFonts w:hint="default" w:ascii="宋体" w:hAnsi="宋体" w:eastAsia="方正仿宋_GBK" w:cs="方正仿宋_GBK"/>
          <w:kern w:val="0"/>
          <w:sz w:val="32"/>
          <w:szCs w:val="32"/>
          <w:lang w:eastAsia="zh-CN" w:bidi="ar"/>
        </w:rPr>
        <w:t>本级</w:t>
      </w:r>
      <w:r>
        <w:rPr>
          <w:rFonts w:hint="eastAsia" w:ascii="宋体" w:hAnsi="宋体" w:eastAsia="方正仿宋_GBK" w:cs="方正仿宋_GBK"/>
          <w:kern w:val="0"/>
          <w:sz w:val="32"/>
          <w:szCs w:val="32"/>
          <w:lang w:val="en-US" w:eastAsia="zh-CN" w:bidi="ar"/>
        </w:rPr>
        <w:t>行政编制8名。设局长1名、副局长2名；内设机构科级领导职数4名。2024年年末实有工作人员8名</w:t>
      </w:r>
      <w:r>
        <w:rPr>
          <w:rFonts w:hint="default" w:ascii="宋体" w:hAnsi="宋体" w:eastAsia="方正仿宋_GBK" w:cs="方正仿宋_GBK"/>
          <w:kern w:val="0"/>
          <w:sz w:val="32"/>
          <w:szCs w:val="32"/>
          <w:lang w:eastAsia="zh-CN" w:bidi="ar"/>
        </w:rPr>
        <w:t>；</w:t>
      </w:r>
      <w:r>
        <w:rPr>
          <w:rFonts w:hint="default" w:ascii="宋体" w:hAnsi="宋体" w:eastAsia="方正仿宋_GBK" w:cs="方正仿宋_GBK"/>
          <w:kern w:val="0"/>
          <w:sz w:val="32"/>
          <w:szCs w:val="32"/>
          <w:lang w:val="en-US" w:eastAsia="zh-CN" w:bidi="ar"/>
        </w:rPr>
        <w:t>重庆市綦江区医疗保障事务中心，为参公单位，财政全额拨款事业编制24名。设主任1名，副主任</w:t>
      </w:r>
      <w:r>
        <w:rPr>
          <w:rFonts w:hint="eastAsia" w:ascii="宋体" w:hAnsi="宋体" w:eastAsia="方正仿宋_GBK" w:cs="方正仿宋_GBK"/>
          <w:kern w:val="0"/>
          <w:sz w:val="32"/>
          <w:szCs w:val="32"/>
          <w:lang w:val="en-US" w:eastAsia="zh-CN" w:bidi="ar"/>
        </w:rPr>
        <w:t>2</w:t>
      </w:r>
      <w:r>
        <w:rPr>
          <w:rFonts w:hint="default" w:ascii="宋体" w:hAnsi="宋体" w:eastAsia="方正仿宋_GBK" w:cs="方正仿宋_GBK"/>
          <w:kern w:val="0"/>
          <w:sz w:val="32"/>
          <w:szCs w:val="32"/>
          <w:lang w:val="en-US" w:eastAsia="zh-CN" w:bidi="ar"/>
        </w:rPr>
        <w:t>名；内设机构科级领导职数</w:t>
      </w:r>
      <w:r>
        <w:rPr>
          <w:rFonts w:hint="eastAsia" w:ascii="宋体" w:hAnsi="宋体" w:eastAsia="方正仿宋_GBK" w:cs="方正仿宋_GBK"/>
          <w:kern w:val="0"/>
          <w:sz w:val="32"/>
          <w:szCs w:val="32"/>
          <w:lang w:val="en-US" w:eastAsia="zh-CN" w:bidi="ar"/>
        </w:rPr>
        <w:t>7</w:t>
      </w:r>
      <w:r>
        <w:rPr>
          <w:rFonts w:hint="default" w:ascii="宋体" w:hAnsi="宋体" w:eastAsia="方正仿宋_GBK" w:cs="方正仿宋_GBK"/>
          <w:kern w:val="0"/>
          <w:sz w:val="32"/>
          <w:szCs w:val="32"/>
          <w:lang w:val="en-US" w:eastAsia="zh-CN" w:bidi="ar"/>
        </w:rPr>
        <w:t>名。2024年年末实有工作人员23名</w:t>
      </w:r>
      <w:r>
        <w:rPr>
          <w:rFonts w:hint="default" w:ascii="宋体" w:hAnsi="宋体" w:eastAsia="方正仿宋_GBK" w:cs="方正仿宋_GBK"/>
          <w:kern w:val="0"/>
          <w:sz w:val="32"/>
          <w:szCs w:val="32"/>
          <w:lang w:eastAsia="zh-CN" w:bidi="ar"/>
        </w:rPr>
        <w:t>；</w:t>
      </w:r>
      <w:r>
        <w:rPr>
          <w:rFonts w:hint="default" w:ascii="宋体" w:hAnsi="宋体" w:eastAsia="方正仿宋_GBK" w:cs="方正仿宋_GBK"/>
          <w:kern w:val="0"/>
          <w:sz w:val="32"/>
          <w:szCs w:val="32"/>
          <w:lang w:val="en-US" w:eastAsia="zh-CN" w:bidi="ar"/>
        </w:rPr>
        <w:t>重庆市綦江区医药价格和招标采购服务中心，事业单位，财政全额拨款事业编制4名。设主任1名。2024年12月在编在岗4人。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二、部门决算收支情况说明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（一）收入支出决算总体情况说明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2024年度收</w:t>
      </w:r>
      <w:r>
        <w:rPr>
          <w:rFonts w:hint="eastAsia" w:ascii="宋体" w:hAnsi="宋体" w:eastAsia="方正仿宋_GBK" w:cs="方正仿宋_GBK"/>
          <w:kern w:val="0"/>
          <w:sz w:val="32"/>
          <w:szCs w:val="32"/>
          <w:lang w:val="en-US" w:eastAsia="zh-CN" w:bidi="ar"/>
        </w:rPr>
        <w:t>、支</w:t>
      </w:r>
      <w:r>
        <w:rPr>
          <w:rFonts w:hint="default" w:ascii="宋体" w:hAnsi="宋体" w:eastAsia="方正仿宋_GBK" w:cs="方正仿宋_GBK"/>
          <w:kern w:val="0"/>
          <w:sz w:val="32"/>
          <w:szCs w:val="32"/>
          <w:lang w:val="en-US" w:eastAsia="zh-CN" w:bidi="ar"/>
        </w:rPr>
        <w:t>总计</w:t>
      </w:r>
      <w:r>
        <w:rPr>
          <w:rFonts w:hint="eastAsia" w:ascii="宋体" w:hAnsi="宋体" w:eastAsia="方正仿宋_GBK" w:cs="方正仿宋_GBK"/>
          <w:kern w:val="0"/>
          <w:sz w:val="32"/>
          <w:szCs w:val="32"/>
          <w:lang w:val="en-US" w:eastAsia="zh-CN" w:bidi="ar"/>
        </w:rPr>
        <w:t>均为</w:t>
      </w:r>
      <w:r>
        <w:rPr>
          <w:rFonts w:hint="default" w:ascii="宋体" w:hAnsi="宋体" w:eastAsia="方正仿宋_GBK" w:cs="方正仿宋_GBK"/>
          <w:kern w:val="0"/>
          <w:sz w:val="32"/>
          <w:szCs w:val="32"/>
          <w:lang w:val="en-US" w:eastAsia="zh-CN" w:bidi="ar"/>
        </w:rPr>
        <w:t>7</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459.69万元。收、支与2023年度相比，减少66.43万元，下降0.9%，主要原因是公务员医疗补助</w:t>
      </w:r>
      <w:r>
        <w:rPr>
          <w:rFonts w:hint="default" w:ascii="宋体" w:hAnsi="宋体" w:eastAsia="方正仿宋_GBK" w:cs="方正仿宋_GBK"/>
          <w:kern w:val="0"/>
          <w:sz w:val="32"/>
          <w:szCs w:val="32"/>
          <w:lang w:eastAsia="zh-CN" w:bidi="ar"/>
        </w:rPr>
        <w:t>（</w:t>
      </w:r>
      <w:r>
        <w:rPr>
          <w:rFonts w:hint="default" w:ascii="宋体" w:hAnsi="宋体" w:eastAsia="方正仿宋_GBK" w:cs="方正仿宋_GBK"/>
          <w:kern w:val="0"/>
          <w:sz w:val="32"/>
          <w:szCs w:val="32"/>
          <w:lang w:val="en-US" w:eastAsia="zh-CN" w:bidi="ar"/>
        </w:rPr>
        <w:t>住院及特病门诊补助</w:t>
      </w:r>
      <w:r>
        <w:rPr>
          <w:rFonts w:hint="default" w:ascii="宋体" w:hAnsi="宋体" w:eastAsia="方正仿宋_GBK" w:cs="方正仿宋_GBK"/>
          <w:kern w:val="0"/>
          <w:sz w:val="32"/>
          <w:szCs w:val="32"/>
          <w:lang w:eastAsia="zh-CN" w:bidi="ar"/>
        </w:rPr>
        <w:t>）</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eastAsia="zh-CN" w:bidi="ar"/>
        </w:rPr>
      </w:pPr>
      <w:r>
        <w:rPr>
          <w:rFonts w:hint="eastAsia" w:ascii="宋体" w:hAnsi="宋体" w:eastAsia="方正仿宋_GBK" w:cs="方正仿宋_GBK"/>
          <w:kern w:val="0"/>
          <w:sz w:val="32"/>
          <w:szCs w:val="32"/>
          <w:lang w:val="en-US" w:eastAsia="zh-CN" w:bidi="ar"/>
        </w:rPr>
        <w:t>1</w:t>
      </w:r>
      <w:r>
        <w:rPr>
          <w:rFonts w:hint="default" w:ascii="宋体" w:hAnsi="宋体" w:eastAsia="方正仿宋_GBK" w:cs="方正仿宋_GBK"/>
          <w:kern w:val="0"/>
          <w:sz w:val="32"/>
          <w:szCs w:val="32"/>
          <w:lang w:val="en-US" w:eastAsia="zh-CN" w:bidi="ar"/>
        </w:rPr>
        <w:t>.收入情况。2024年度收入合计7</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459.69万元，与2023年度相比，减少66.43万元，下降0.9%，主要原因是公务员医疗补助</w:t>
      </w:r>
      <w:r>
        <w:rPr>
          <w:rFonts w:hint="default" w:ascii="宋体" w:hAnsi="宋体" w:eastAsia="方正仿宋_GBK" w:cs="方正仿宋_GBK"/>
          <w:kern w:val="0"/>
          <w:sz w:val="32"/>
          <w:szCs w:val="32"/>
          <w:lang w:eastAsia="zh-CN" w:bidi="ar"/>
        </w:rPr>
        <w:t>（</w:t>
      </w:r>
      <w:r>
        <w:rPr>
          <w:rFonts w:hint="default" w:ascii="宋体" w:hAnsi="宋体" w:eastAsia="方正仿宋_GBK" w:cs="方正仿宋_GBK"/>
          <w:kern w:val="0"/>
          <w:sz w:val="32"/>
          <w:szCs w:val="32"/>
          <w:lang w:val="en-US" w:eastAsia="zh-CN" w:bidi="ar"/>
        </w:rPr>
        <w:t>住院及特病门诊补助</w:t>
      </w:r>
      <w:r>
        <w:rPr>
          <w:rFonts w:hint="default" w:ascii="宋体" w:hAnsi="宋体" w:eastAsia="方正仿宋_GBK" w:cs="方正仿宋_GBK"/>
          <w:kern w:val="0"/>
          <w:sz w:val="32"/>
          <w:szCs w:val="32"/>
          <w:lang w:eastAsia="zh-CN" w:bidi="ar"/>
        </w:rPr>
        <w:t>）</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。其中：财政拨款收入7</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459.69万元，占100.0%；事业收入</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，占0.0%；经营收入</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，占0.0%；其他收入</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，占0.0%。此外，</w:t>
      </w:r>
      <w:r>
        <w:rPr>
          <w:rFonts w:hint="eastAsia" w:ascii="宋体" w:hAnsi="宋体" w:eastAsia="方正仿宋_GBK" w:cs="方正仿宋_GBK"/>
          <w:kern w:val="0"/>
          <w:sz w:val="32"/>
          <w:szCs w:val="32"/>
          <w:lang w:val="en-US" w:eastAsia="zh-CN" w:bidi="ar"/>
        </w:rPr>
        <w:t>使用非财政拨款结余（含专用结余）</w:t>
      </w:r>
      <w:r>
        <w:rPr>
          <w:rFonts w:hint="default" w:ascii="宋体" w:hAnsi="宋体" w:eastAsia="方正仿宋_GBK" w:cs="方正仿宋_GBK"/>
          <w:kern w:val="0"/>
          <w:sz w:val="32"/>
          <w:szCs w:val="32"/>
          <w:lang w:eastAsia="zh-CN" w:bidi="ar"/>
        </w:rPr>
        <w:t>0万元，年初结转和结余0万元。</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2</w:t>
      </w:r>
      <w:r>
        <w:rPr>
          <w:rFonts w:hint="default" w:ascii="宋体" w:hAnsi="宋体" w:eastAsia="方正仿宋_GBK" w:cs="方正仿宋_GBK"/>
          <w:kern w:val="0"/>
          <w:sz w:val="32"/>
          <w:szCs w:val="32"/>
          <w:lang w:eastAsia="zh-CN" w:bidi="ar"/>
        </w:rPr>
        <w:t>.支出情况。</w:t>
      </w:r>
      <w:r>
        <w:rPr>
          <w:rFonts w:hint="default" w:ascii="宋体" w:hAnsi="宋体" w:eastAsia="方正仿宋_GBK" w:cs="方正仿宋_GBK"/>
          <w:kern w:val="0"/>
          <w:sz w:val="32"/>
          <w:szCs w:val="32"/>
          <w:lang w:val="en-US" w:eastAsia="zh-CN" w:bidi="ar"/>
        </w:rPr>
        <w:t>2024年度支出合计7</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459.69万元，与2023年度相比，减少66.43万元，下降0.9%，主要原因是公务员医疗补助</w:t>
      </w:r>
      <w:r>
        <w:rPr>
          <w:rFonts w:hint="default" w:ascii="宋体" w:hAnsi="宋体" w:eastAsia="方正仿宋_GBK" w:cs="方正仿宋_GBK"/>
          <w:kern w:val="0"/>
          <w:sz w:val="32"/>
          <w:szCs w:val="32"/>
          <w:lang w:eastAsia="zh-CN" w:bidi="ar"/>
        </w:rPr>
        <w:t>（</w:t>
      </w:r>
      <w:r>
        <w:rPr>
          <w:rFonts w:hint="default" w:ascii="宋体" w:hAnsi="宋体" w:eastAsia="方正仿宋_GBK" w:cs="方正仿宋_GBK"/>
          <w:kern w:val="0"/>
          <w:sz w:val="32"/>
          <w:szCs w:val="32"/>
          <w:lang w:val="en-US" w:eastAsia="zh-CN" w:bidi="ar"/>
        </w:rPr>
        <w:t>住院及特病门诊补助</w:t>
      </w:r>
      <w:r>
        <w:rPr>
          <w:rFonts w:hint="default" w:ascii="宋体" w:hAnsi="宋体" w:eastAsia="方正仿宋_GBK" w:cs="方正仿宋_GBK"/>
          <w:kern w:val="0"/>
          <w:sz w:val="32"/>
          <w:szCs w:val="32"/>
          <w:lang w:eastAsia="zh-CN" w:bidi="ar"/>
        </w:rPr>
        <w:t>）</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。其中：基本支出850.14万元，占11.4%；项目支出6</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609.55万元，占88.6%；经营支出</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，占0.0%。此外，结余分配</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eastAsia="zh-CN" w:bidi="ar"/>
        </w:rPr>
      </w:pPr>
      <w:r>
        <w:rPr>
          <w:rFonts w:hint="eastAsia" w:ascii="宋体" w:hAnsi="宋体" w:eastAsia="方正仿宋_GBK" w:cs="方正仿宋_GBK"/>
          <w:kern w:val="0"/>
          <w:sz w:val="32"/>
          <w:szCs w:val="32"/>
          <w:lang w:val="en-US" w:eastAsia="zh-CN" w:bidi="ar"/>
        </w:rPr>
        <w:t>3</w:t>
      </w:r>
      <w:r>
        <w:rPr>
          <w:rFonts w:hint="default" w:ascii="宋体" w:hAnsi="宋体" w:eastAsia="方正仿宋_GBK" w:cs="方正仿宋_GBK"/>
          <w:kern w:val="0"/>
          <w:sz w:val="32"/>
          <w:szCs w:val="32"/>
          <w:lang w:eastAsia="zh-CN" w:bidi="ar"/>
        </w:rPr>
        <w:t>.结转结余情况。2024年度年末结转和结余0万元，与2023年度相比，无增减</w:t>
      </w:r>
      <w:r>
        <w:rPr>
          <w:rFonts w:hint="eastAsia" w:ascii="宋体" w:hAnsi="宋体" w:eastAsia="方正仿宋_GBK" w:cs="方正仿宋_GBK"/>
          <w:kern w:val="0"/>
          <w:sz w:val="32"/>
          <w:szCs w:val="32"/>
          <w:lang w:eastAsia="zh-CN" w:bidi="ar"/>
        </w:rPr>
        <w:t>。</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（二）财政拨款收入支出决算总体情况说明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2024年度财政拨款收、支总计均为7</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459.69万元。与2023年</w:t>
      </w:r>
      <w:r>
        <w:rPr>
          <w:rFonts w:hint="eastAsia" w:ascii="宋体" w:hAnsi="宋体" w:eastAsia="方正仿宋_GBK" w:cs="方正仿宋_GBK"/>
          <w:kern w:val="0"/>
          <w:sz w:val="32"/>
          <w:szCs w:val="32"/>
          <w:lang w:val="en-US" w:eastAsia="zh-CN" w:bidi="ar"/>
        </w:rPr>
        <w:t>度</w:t>
      </w:r>
      <w:r>
        <w:rPr>
          <w:rFonts w:hint="default" w:ascii="宋体" w:hAnsi="宋体" w:eastAsia="方正仿宋_GBK" w:cs="方正仿宋_GBK"/>
          <w:kern w:val="0"/>
          <w:sz w:val="32"/>
          <w:szCs w:val="32"/>
          <w:lang w:val="en-US" w:eastAsia="zh-CN" w:bidi="ar"/>
        </w:rPr>
        <w:t>相比，财政拨款收、支总计各减少66.43万元，下降0.9%。主要原因是公务员医疗补助</w:t>
      </w:r>
      <w:r>
        <w:rPr>
          <w:rFonts w:hint="default" w:ascii="宋体" w:hAnsi="宋体" w:eastAsia="方正仿宋_GBK" w:cs="方正仿宋_GBK"/>
          <w:kern w:val="0"/>
          <w:sz w:val="32"/>
          <w:szCs w:val="32"/>
          <w:lang w:eastAsia="zh-CN" w:bidi="ar"/>
        </w:rPr>
        <w:t>（</w:t>
      </w:r>
      <w:r>
        <w:rPr>
          <w:rFonts w:hint="default" w:ascii="宋体" w:hAnsi="宋体" w:eastAsia="方正仿宋_GBK" w:cs="方正仿宋_GBK"/>
          <w:kern w:val="0"/>
          <w:sz w:val="32"/>
          <w:szCs w:val="32"/>
          <w:lang w:val="en-US" w:eastAsia="zh-CN" w:bidi="ar"/>
        </w:rPr>
        <w:t>住院及特病门诊补助</w:t>
      </w:r>
      <w:r>
        <w:rPr>
          <w:rFonts w:hint="default" w:ascii="宋体" w:hAnsi="宋体" w:eastAsia="方正仿宋_GBK" w:cs="方正仿宋_GBK"/>
          <w:kern w:val="0"/>
          <w:sz w:val="32"/>
          <w:szCs w:val="32"/>
          <w:lang w:eastAsia="zh-CN" w:bidi="ar"/>
        </w:rPr>
        <w:t>）</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1.收入情况。2024年度一般公共预算财政拨款收入7</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459.69万元，与2023年度相比，减少66.43万元，下降0.9%。主要原因是公务员医疗补助</w:t>
      </w:r>
      <w:r>
        <w:rPr>
          <w:rFonts w:hint="default" w:ascii="宋体" w:hAnsi="宋体" w:eastAsia="方正仿宋_GBK" w:cs="方正仿宋_GBK"/>
          <w:kern w:val="0"/>
          <w:sz w:val="32"/>
          <w:szCs w:val="32"/>
          <w:lang w:eastAsia="zh-CN" w:bidi="ar"/>
        </w:rPr>
        <w:t>（</w:t>
      </w:r>
      <w:r>
        <w:rPr>
          <w:rFonts w:hint="default" w:ascii="宋体" w:hAnsi="宋体" w:eastAsia="方正仿宋_GBK" w:cs="方正仿宋_GBK"/>
          <w:kern w:val="0"/>
          <w:sz w:val="32"/>
          <w:szCs w:val="32"/>
          <w:lang w:val="en-US" w:eastAsia="zh-CN" w:bidi="ar"/>
        </w:rPr>
        <w:t>住院及特病门诊补助</w:t>
      </w:r>
      <w:r>
        <w:rPr>
          <w:rFonts w:hint="default" w:ascii="宋体" w:hAnsi="宋体" w:eastAsia="方正仿宋_GBK" w:cs="方正仿宋_GBK"/>
          <w:kern w:val="0"/>
          <w:sz w:val="32"/>
          <w:szCs w:val="32"/>
          <w:lang w:eastAsia="zh-CN" w:bidi="ar"/>
        </w:rPr>
        <w:t>）</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。较年初预算数减少4</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466.80万元，下降37.5%。主要原因是</w:t>
      </w:r>
      <w:r>
        <w:rPr>
          <w:rFonts w:hint="default" w:ascii="宋体" w:hAnsi="宋体" w:eastAsia="方正仿宋_GBK" w:cs="方正仿宋_GBK"/>
          <w:kern w:val="0"/>
          <w:sz w:val="32"/>
          <w:szCs w:val="32"/>
          <w:lang w:eastAsia="zh-CN" w:bidi="ar"/>
        </w:rPr>
        <w:t>年中调</w:t>
      </w:r>
      <w:r>
        <w:rPr>
          <w:rFonts w:hint="default" w:ascii="宋体" w:hAnsi="宋体" w:eastAsia="方正仿宋_GBK" w:cs="方正仿宋_GBK"/>
          <w:kern w:val="0"/>
          <w:sz w:val="32"/>
          <w:szCs w:val="32"/>
          <w:lang w:val="en-US" w:eastAsia="zh-CN" w:bidi="ar"/>
        </w:rPr>
        <w:t>减城乡居民医疗保险基金区级补助（预安排）</w:t>
      </w:r>
      <w:r>
        <w:rPr>
          <w:rFonts w:hint="default" w:ascii="宋体" w:hAnsi="宋体" w:eastAsia="方正仿宋_GBK" w:cs="方正仿宋_GBK"/>
          <w:kern w:val="0"/>
          <w:sz w:val="32"/>
          <w:szCs w:val="32"/>
          <w:lang w:eastAsia="zh-CN" w:bidi="ar"/>
        </w:rPr>
        <w:t>和</w:t>
      </w:r>
      <w:r>
        <w:rPr>
          <w:rFonts w:hint="default" w:ascii="宋体" w:hAnsi="宋体" w:eastAsia="方正仿宋_GBK" w:cs="方正仿宋_GBK"/>
          <w:kern w:val="0"/>
          <w:sz w:val="32"/>
          <w:szCs w:val="32"/>
          <w:lang w:val="en-US" w:eastAsia="zh-CN" w:bidi="ar"/>
        </w:rPr>
        <w:t>居民医保市级转移支付补助资金</w:t>
      </w:r>
      <w:r>
        <w:rPr>
          <w:rFonts w:hint="default" w:eastAsia="方正仿宋_GBK" w:cs="方正仿宋_GBK"/>
          <w:kern w:val="0"/>
          <w:sz w:val="32"/>
          <w:szCs w:val="32"/>
          <w:lang w:eastAsia="zh-CN" w:bidi="ar"/>
        </w:rPr>
        <w:t>项目</w:t>
      </w:r>
      <w:r>
        <w:rPr>
          <w:rFonts w:hint="default" w:ascii="宋体" w:hAnsi="宋体" w:eastAsia="方正仿宋_GBK" w:cs="方正仿宋_GBK"/>
          <w:kern w:val="0"/>
          <w:sz w:val="32"/>
          <w:szCs w:val="32"/>
          <w:lang w:val="en-US" w:eastAsia="zh-CN" w:bidi="ar"/>
        </w:rPr>
        <w:t>。此外，年初财政拨款结转和结余</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2.支出情况。2024年度一般公共预算财政拨款支出7</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459.69万元，与2023年度相比，减少66.43万元，下降0.9%。主要原因是公务员医疗补助（住院及特病门诊补助）</w:t>
      </w:r>
      <w:r>
        <w:rPr>
          <w:rFonts w:hint="eastAsia" w:ascii="宋体" w:hAnsi="宋体" w:eastAsia="方正仿宋_GBK" w:cs="方正仿宋_GBK"/>
          <w:kern w:val="0"/>
          <w:sz w:val="32"/>
          <w:szCs w:val="32"/>
          <w:lang w:val="en-US" w:eastAsia="zh-CN" w:bidi="ar"/>
        </w:rPr>
        <w:t>支出减少</w:t>
      </w:r>
      <w:r>
        <w:rPr>
          <w:rFonts w:hint="default" w:ascii="宋体" w:hAnsi="宋体" w:eastAsia="方正仿宋_GBK" w:cs="方正仿宋_GBK"/>
          <w:kern w:val="0"/>
          <w:sz w:val="32"/>
          <w:szCs w:val="32"/>
          <w:lang w:val="en-US" w:eastAsia="zh-CN" w:bidi="ar"/>
        </w:rPr>
        <w:t>。较年初预算数减少4</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466.80万元，下降37.5%。年中调减城乡居民医疗保险基金区级补助（预安排）</w:t>
      </w:r>
      <w:r>
        <w:rPr>
          <w:rFonts w:hint="default" w:ascii="宋体" w:hAnsi="宋体" w:eastAsia="方正仿宋_GBK" w:cs="方正仿宋_GBK"/>
          <w:kern w:val="0"/>
          <w:sz w:val="32"/>
          <w:szCs w:val="32"/>
          <w:lang w:eastAsia="zh-CN" w:bidi="ar"/>
        </w:rPr>
        <w:t>和</w:t>
      </w:r>
      <w:r>
        <w:rPr>
          <w:rFonts w:hint="default" w:ascii="宋体" w:hAnsi="宋体" w:eastAsia="方正仿宋_GBK" w:cs="方正仿宋_GBK"/>
          <w:kern w:val="0"/>
          <w:sz w:val="32"/>
          <w:szCs w:val="32"/>
          <w:lang w:val="en-US" w:eastAsia="zh-CN" w:bidi="ar"/>
        </w:rPr>
        <w:t>居民医保市级转移支付补助资金</w:t>
      </w:r>
      <w:r>
        <w:rPr>
          <w:rFonts w:hint="default" w:eastAsia="方正仿宋_GBK" w:cs="方正仿宋_GBK"/>
          <w:kern w:val="0"/>
          <w:sz w:val="32"/>
          <w:szCs w:val="32"/>
          <w:lang w:eastAsia="zh-CN" w:bidi="ar"/>
        </w:rPr>
        <w:t>项目</w:t>
      </w:r>
      <w:r>
        <w:rPr>
          <w:rFonts w:hint="default" w:ascii="宋体" w:hAnsi="宋体" w:eastAsia="方正仿宋_GBK" w:cs="方正仿宋_GBK"/>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一般公共预算财政拨款支出主要</w:t>
      </w:r>
      <w:r>
        <w:rPr>
          <w:rFonts w:hint="eastAsia" w:ascii="宋体" w:hAnsi="宋体" w:eastAsia="方正仿宋_GBK" w:cs="方正仿宋_GBK"/>
          <w:kern w:val="0"/>
          <w:sz w:val="32"/>
          <w:szCs w:val="32"/>
          <w:lang w:val="en-US" w:eastAsia="zh-CN" w:bidi="ar"/>
        </w:rPr>
        <w:t>用途如下</w:t>
      </w:r>
      <w:r>
        <w:rPr>
          <w:rFonts w:hint="default" w:ascii="宋体" w:hAnsi="宋体" w:eastAsia="方正仿宋_GBK" w:cs="方正仿宋_GBK"/>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社会保障</w:t>
      </w:r>
      <w:r>
        <w:rPr>
          <w:rFonts w:hint="eastAsia" w:ascii="宋体" w:hAnsi="宋体" w:eastAsia="方正仿宋_GBK" w:cs="方正仿宋_GBK"/>
          <w:kern w:val="0"/>
          <w:sz w:val="32"/>
          <w:szCs w:val="32"/>
          <w:lang w:val="en-US" w:eastAsia="zh-CN" w:bidi="ar"/>
        </w:rPr>
        <w:t>和</w:t>
      </w:r>
      <w:r>
        <w:rPr>
          <w:rFonts w:hint="default" w:ascii="宋体" w:hAnsi="宋体" w:eastAsia="方正仿宋_GBK" w:cs="方正仿宋_GBK"/>
          <w:kern w:val="0"/>
          <w:sz w:val="32"/>
          <w:szCs w:val="32"/>
          <w:lang w:val="en-US" w:eastAsia="zh-CN" w:bidi="ar"/>
        </w:rPr>
        <w:t>就业支出251.19万元，占3.4%，较年初预算数减少1.31万元，下降0.5%，主要原因是厉行节约，压缩一般性开支。</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（2）卫生健康支出7</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153.41万元，占95.9%，较年初预算数减少4</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466.69万元，下降38.4%，年中调减城乡居民医疗保险基金区级补助（预</w:t>
      </w:r>
      <w:r>
        <w:rPr>
          <w:rFonts w:hint="default" w:ascii="宋体" w:hAnsi="宋体" w:eastAsia="方正仿宋_GBK" w:cs="方正仿宋_GBK"/>
          <w:kern w:val="0"/>
          <w:sz w:val="32"/>
          <w:szCs w:val="32"/>
          <w:u w:val="single"/>
          <w:lang w:val="en-US" w:eastAsia="zh-CN" w:bidi="ar"/>
        </w:rPr>
        <w:t>安</w:t>
      </w:r>
      <w:r>
        <w:rPr>
          <w:rFonts w:hint="default" w:ascii="宋体" w:hAnsi="宋体" w:eastAsia="方正仿宋_GBK" w:cs="方正仿宋_GBK"/>
          <w:kern w:val="0"/>
          <w:sz w:val="32"/>
          <w:szCs w:val="32"/>
          <w:lang w:val="en-US" w:eastAsia="zh-CN" w:bidi="ar"/>
        </w:rPr>
        <w:t>排）</w:t>
      </w:r>
      <w:r>
        <w:rPr>
          <w:rFonts w:hint="default" w:ascii="宋体" w:hAnsi="宋体" w:eastAsia="方正仿宋_GBK" w:cs="方正仿宋_GBK"/>
          <w:kern w:val="0"/>
          <w:sz w:val="32"/>
          <w:szCs w:val="32"/>
          <w:lang w:eastAsia="zh-CN" w:bidi="ar"/>
        </w:rPr>
        <w:t>和</w:t>
      </w:r>
      <w:r>
        <w:rPr>
          <w:rFonts w:hint="default" w:ascii="宋体" w:hAnsi="宋体" w:eastAsia="方正仿宋_GBK" w:cs="方正仿宋_GBK"/>
          <w:kern w:val="0"/>
          <w:sz w:val="32"/>
          <w:szCs w:val="32"/>
          <w:lang w:val="en-US" w:eastAsia="zh-CN" w:bidi="ar"/>
        </w:rPr>
        <w:t>居民医保市级转移支付补助资金</w:t>
      </w:r>
      <w:r>
        <w:rPr>
          <w:rFonts w:hint="default" w:eastAsia="方正仿宋_GBK" w:cs="方正仿宋_GBK"/>
          <w:kern w:val="0"/>
          <w:sz w:val="32"/>
          <w:szCs w:val="32"/>
          <w:lang w:eastAsia="zh-CN" w:bidi="ar"/>
        </w:rPr>
        <w:t>项目</w:t>
      </w:r>
      <w:r>
        <w:rPr>
          <w:rFonts w:hint="default" w:ascii="宋体" w:hAnsi="宋体" w:eastAsia="方正仿宋_GBK" w:cs="方正仿宋_GBK"/>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（3）住房保障支出55.10万元，占0.7%，较年初预算数增加1.21万元，增长2.3%，主要原因是</w:t>
      </w:r>
      <w:r>
        <w:rPr>
          <w:rFonts w:hint="eastAsia" w:eastAsia="方正仿宋_GBK" w:cs="方正仿宋_GBK"/>
          <w:kern w:val="0"/>
          <w:sz w:val="32"/>
          <w:szCs w:val="32"/>
          <w:lang w:val="en-US" w:eastAsia="zh-CN" w:bidi="ar"/>
        </w:rPr>
        <w:t>人员工资调整增加</w:t>
      </w:r>
      <w:r>
        <w:rPr>
          <w:rFonts w:hint="default" w:ascii="宋体" w:hAnsi="宋体" w:eastAsia="方正仿宋_GBK" w:cs="方正仿宋_GBK"/>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3.结转结余情况。2024年度年末一般公共预算财政拨款结转和结余</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，与2023年度相比，无增减</w:t>
      </w:r>
      <w:r>
        <w:rPr>
          <w:rFonts w:hint="eastAsia" w:ascii="宋体" w:hAnsi="宋体" w:eastAsia="方正仿宋_GBK" w:cs="方正仿宋_GBK"/>
          <w:kern w:val="0"/>
          <w:sz w:val="32"/>
          <w:szCs w:val="32"/>
          <w:lang w:val="en-US" w:eastAsia="zh-CN" w:bidi="ar"/>
        </w:rPr>
        <w:t>。</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2024年度一般公共财政拨款基本支出850.14万元。</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其中：</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人员经费697.31万元，与2023年度相比，增加73.58万元，增长11.8%，主要原因是人员</w:t>
      </w:r>
      <w:r>
        <w:rPr>
          <w:rFonts w:hint="default" w:ascii="宋体" w:hAnsi="宋体" w:eastAsia="方正仿宋_GBK" w:cs="方正仿宋_GBK"/>
          <w:kern w:val="0"/>
          <w:sz w:val="32"/>
          <w:szCs w:val="32"/>
          <w:lang w:eastAsia="zh-CN" w:bidi="ar"/>
        </w:rPr>
        <w:t>增加</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工资调整</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人员经费用途主要包括基本工资、津贴补贴、社会保障缴费、机关事业单位基本养老保险费、职业年金缴费、职工基本医疗保险缴费、住房公积金。公用经费152.83万元，与2023年度相比，增加19.32万元，增长14.5%，</w:t>
      </w:r>
      <w:r>
        <w:rPr>
          <w:rFonts w:hint="eastAsia" w:ascii="宋体" w:hAnsi="宋体" w:eastAsia="方正仿宋_GBK" w:cs="方正仿宋_GBK"/>
          <w:kern w:val="0"/>
          <w:sz w:val="32"/>
          <w:szCs w:val="32"/>
          <w:lang w:val="en-US" w:eastAsia="zh-CN" w:bidi="ar"/>
        </w:rPr>
        <w:t>主</w:t>
      </w:r>
      <w:r>
        <w:rPr>
          <w:rFonts w:hint="default" w:ascii="宋体" w:hAnsi="宋体" w:eastAsia="方正仿宋_GBK" w:cs="方正仿宋_GBK"/>
          <w:kern w:val="0"/>
          <w:sz w:val="32"/>
          <w:szCs w:val="32"/>
          <w:lang w:val="en-US" w:eastAsia="zh-CN" w:bidi="ar"/>
        </w:rPr>
        <w:t>要原因是人员</w:t>
      </w:r>
      <w:r>
        <w:rPr>
          <w:rFonts w:hint="default" w:ascii="宋体" w:hAnsi="宋体" w:eastAsia="方正仿宋_GBK" w:cs="方正仿宋_GBK"/>
          <w:kern w:val="0"/>
          <w:sz w:val="32"/>
          <w:szCs w:val="32"/>
          <w:lang w:eastAsia="zh-CN" w:bidi="ar"/>
        </w:rPr>
        <w:t>增加</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公用经费用途主要包括邮电费、工会经费、其他交通费用</w:t>
      </w:r>
      <w:r>
        <w:rPr>
          <w:rFonts w:hint="eastAsia" w:ascii="宋体" w:hAnsi="宋体" w:eastAsia="方正仿宋_GBK" w:cs="方正仿宋_GBK"/>
          <w:kern w:val="0"/>
          <w:sz w:val="32"/>
          <w:szCs w:val="32"/>
          <w:lang w:val="en-US" w:eastAsia="zh-CN" w:bidi="ar"/>
        </w:rPr>
        <w:t>、出差费用、水电费用等</w:t>
      </w:r>
      <w:r>
        <w:rPr>
          <w:rFonts w:hint="default" w:ascii="宋体" w:hAnsi="宋体" w:eastAsia="方正仿宋_GBK" w:cs="方正仿宋_GBK"/>
          <w:kern w:val="0"/>
          <w:sz w:val="32"/>
          <w:szCs w:val="32"/>
          <w:lang w:val="en-US" w:eastAsia="zh-CN" w:bidi="ar"/>
        </w:rPr>
        <w:t>。</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（五）政府性基金预算收支决算情况说明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本部门2024年度无政府性基金预算财政拨款收支。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本部门2024年度无国有资本经营</w:t>
      </w:r>
      <w:bookmarkStart w:id="0" w:name="_GoBack"/>
      <w:bookmarkEnd w:id="0"/>
      <w:r>
        <w:rPr>
          <w:rFonts w:hint="default" w:ascii="宋体" w:hAnsi="宋体" w:eastAsia="方正仿宋_GBK" w:cs="方正仿宋_GBK"/>
          <w:kern w:val="0"/>
          <w:sz w:val="32"/>
          <w:szCs w:val="32"/>
          <w:lang w:val="en-US" w:eastAsia="zh-CN" w:bidi="ar"/>
        </w:rPr>
        <w:t>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三、财政拨款“三公”经费情况说明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（一）“三公”经费支出总体情况说明</w:t>
      </w:r>
    </w:p>
    <w:p>
      <w:pPr>
        <w:pStyle w:val="7"/>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2024年度“三公”经费支出共计5.83万元，较年初预算数减少0.67万元，下降10.3%，主要原因是厉行节约，压缩一般性开支。较上年支出数增加0.96万元，增长19.7%，主要原因是</w:t>
      </w:r>
      <w:r>
        <w:rPr>
          <w:rFonts w:hint="eastAsia" w:ascii="宋体" w:hAnsi="宋体" w:eastAsia="方正仿宋_GBK" w:cs="方正仿宋_GBK"/>
          <w:kern w:val="0"/>
          <w:sz w:val="32"/>
          <w:szCs w:val="32"/>
          <w:lang w:val="en-US" w:eastAsia="zh-CN" w:bidi="ar"/>
        </w:rPr>
        <w:t>主要原因是基金督查新增加公务接待五地（南川、万盛、习水、桐梓、綦江）联合查案和市级飞行检查</w:t>
      </w:r>
      <w:r>
        <w:rPr>
          <w:rFonts w:hint="default" w:ascii="宋体" w:hAnsi="宋体" w:eastAsia="方正仿宋_GBK" w:cs="方正仿宋_GBK"/>
          <w:kern w:val="0"/>
          <w:sz w:val="32"/>
          <w:szCs w:val="32"/>
          <w:lang w:val="en-US" w:eastAsia="zh-CN" w:bidi="ar"/>
        </w:rPr>
        <w:t>。</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方正楷体_GBK" w:hAnsi="Times New Roman" w:eastAsia="方正楷体_GBK" w:cs="Times New Roman"/>
          <w:kern w:val="2"/>
          <w:sz w:val="32"/>
          <w:szCs w:val="32"/>
          <w:lang w:val="en-US" w:eastAsia="zh-CN" w:bidi="ar-SA"/>
        </w:rPr>
        <w:t>“三公”经费分项支出情况</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2024年度本部门因公出国（境）费用</w:t>
      </w:r>
      <w:r>
        <w:rPr>
          <w:rFonts w:hint="default" w:ascii="宋体" w:hAnsi="宋体" w:eastAsia="方正仿宋_GBK" w:cs="方正仿宋_GBK"/>
          <w:kern w:val="0"/>
          <w:sz w:val="32"/>
          <w:szCs w:val="32"/>
          <w:lang w:eastAsia="zh-CN" w:bidi="ar"/>
        </w:rPr>
        <w:t>0万元</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费用支出较年初预算数无增减</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与2023年度相比，无增减</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公务</w:t>
      </w:r>
      <w:r>
        <w:rPr>
          <w:rFonts w:hint="eastAsia" w:ascii="宋体" w:hAnsi="宋体" w:eastAsia="方正仿宋_GBK" w:cs="方正仿宋_GBK"/>
          <w:kern w:val="0"/>
          <w:sz w:val="32"/>
          <w:szCs w:val="32"/>
          <w:lang w:val="en-US" w:eastAsia="zh-CN" w:bidi="ar"/>
        </w:rPr>
        <w:t>用</w:t>
      </w:r>
      <w:r>
        <w:rPr>
          <w:rFonts w:hint="default" w:ascii="宋体" w:hAnsi="宋体" w:eastAsia="方正仿宋_GBK" w:cs="方正仿宋_GBK"/>
          <w:kern w:val="0"/>
          <w:sz w:val="32"/>
          <w:szCs w:val="32"/>
          <w:lang w:val="en-US" w:eastAsia="zh-CN" w:bidi="ar"/>
        </w:rPr>
        <w:t>车购置费</w:t>
      </w:r>
      <w:r>
        <w:rPr>
          <w:rFonts w:hint="default" w:ascii="宋体" w:hAnsi="宋体" w:eastAsia="方正仿宋_GBK" w:cs="方正仿宋_GBK"/>
          <w:kern w:val="0"/>
          <w:sz w:val="32"/>
          <w:szCs w:val="32"/>
          <w:lang w:eastAsia="zh-CN" w:bidi="ar"/>
        </w:rPr>
        <w:t>0万元</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费用支出较年初预算数无增减</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与2023年度相比，无增减</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公务</w:t>
      </w:r>
      <w:r>
        <w:rPr>
          <w:rFonts w:hint="eastAsia" w:ascii="宋体" w:hAnsi="宋体" w:eastAsia="方正仿宋_GBK" w:cs="方正仿宋_GBK"/>
          <w:kern w:val="0"/>
          <w:sz w:val="32"/>
          <w:szCs w:val="32"/>
          <w:lang w:val="en-US" w:eastAsia="zh-CN" w:bidi="ar"/>
        </w:rPr>
        <w:t>用</w:t>
      </w:r>
      <w:r>
        <w:rPr>
          <w:rFonts w:hint="default" w:ascii="宋体" w:hAnsi="宋体" w:eastAsia="方正仿宋_GBK" w:cs="方正仿宋_GBK"/>
          <w:kern w:val="0"/>
          <w:sz w:val="32"/>
          <w:szCs w:val="32"/>
          <w:lang w:val="en-US" w:eastAsia="zh-CN" w:bidi="ar"/>
        </w:rPr>
        <w:t>车运行维护费3.00万元，主要用于</w:t>
      </w:r>
      <w:r>
        <w:rPr>
          <w:rFonts w:hint="eastAsia" w:ascii="宋体" w:hAnsi="宋体" w:eastAsia="方正仿宋_GBK" w:cs="方正仿宋_GBK"/>
          <w:kern w:val="0"/>
          <w:sz w:val="32"/>
          <w:szCs w:val="32"/>
          <w:lang w:val="en-US" w:eastAsia="zh-CN" w:bidi="ar"/>
        </w:rPr>
        <w:t>医疗保险基金督查等应急性保障用车</w:t>
      </w:r>
      <w:r>
        <w:rPr>
          <w:rFonts w:hint="default" w:ascii="宋体" w:hAnsi="宋体" w:eastAsia="方正仿宋_GBK" w:cs="方正仿宋_GBK"/>
          <w:kern w:val="0"/>
          <w:sz w:val="32"/>
          <w:szCs w:val="32"/>
          <w:lang w:val="en-US" w:eastAsia="zh-CN" w:bidi="ar"/>
        </w:rPr>
        <w:t>。费用支出较年初预算数减少0.50万元，下降14.3%，主要原因是</w:t>
      </w:r>
      <w:r>
        <w:rPr>
          <w:rFonts w:hint="eastAsia" w:eastAsia="方正仿宋_GBK" w:cs="方正仿宋_GBK"/>
          <w:kern w:val="0"/>
          <w:sz w:val="32"/>
          <w:szCs w:val="32"/>
          <w:lang w:val="en-US" w:eastAsia="zh-CN" w:bidi="ar"/>
        </w:rPr>
        <w:t>厉行节约，</w:t>
      </w:r>
      <w:r>
        <w:rPr>
          <w:rFonts w:hint="eastAsia" w:ascii="宋体" w:hAnsi="宋体" w:eastAsia="方正仿宋_GBK" w:cs="方正仿宋_GBK"/>
          <w:kern w:val="0"/>
          <w:sz w:val="32"/>
          <w:szCs w:val="32"/>
          <w:lang w:val="en-US" w:eastAsia="zh-CN" w:bidi="ar"/>
        </w:rPr>
        <w:t>严格按</w:t>
      </w:r>
      <w:r>
        <w:rPr>
          <w:rFonts w:hint="default" w:ascii="宋体" w:hAnsi="宋体" w:eastAsia="方正仿宋_GBK" w:cs="方正仿宋_GBK"/>
          <w:kern w:val="0"/>
          <w:sz w:val="32"/>
          <w:szCs w:val="32"/>
          <w:lang w:eastAsia="zh-CN" w:bidi="ar"/>
        </w:rPr>
        <w:t>公车管理二定（定点加油、定点维修）</w:t>
      </w:r>
      <w:r>
        <w:rPr>
          <w:rFonts w:hint="eastAsia" w:ascii="宋体" w:hAnsi="宋体" w:eastAsia="方正仿宋_GBK" w:cs="方正仿宋_GBK"/>
          <w:kern w:val="0"/>
          <w:sz w:val="32"/>
          <w:szCs w:val="32"/>
          <w:lang w:val="en-US" w:eastAsia="zh-CN" w:bidi="ar"/>
        </w:rPr>
        <w:t>要求执行</w:t>
      </w:r>
      <w:r>
        <w:rPr>
          <w:rFonts w:hint="default" w:ascii="宋体" w:hAnsi="宋体" w:eastAsia="方正仿宋_GBK" w:cs="方正仿宋_GBK"/>
          <w:kern w:val="0"/>
          <w:sz w:val="32"/>
          <w:szCs w:val="32"/>
          <w:lang w:val="en-US" w:eastAsia="zh-CN" w:bidi="ar"/>
        </w:rPr>
        <w:t>。较上年支出数增加0.10万元，增长3.5%</w:t>
      </w:r>
      <w:r>
        <w:rPr>
          <w:rFonts w:hint="eastAsia" w:ascii="宋体" w:hAnsi="宋体" w:eastAsia="方正仿宋_GBK" w:cs="方正仿宋_GBK"/>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公务接待费2.83万元，主要用于</w:t>
      </w:r>
      <w:r>
        <w:rPr>
          <w:rFonts w:hint="eastAsia" w:ascii="宋体" w:hAnsi="宋体" w:eastAsia="方正仿宋_GBK" w:cs="方正仿宋_GBK"/>
          <w:kern w:val="0"/>
          <w:sz w:val="32"/>
          <w:szCs w:val="32"/>
          <w:lang w:val="en-US" w:eastAsia="zh-CN" w:bidi="ar"/>
        </w:rPr>
        <w:t>五地（南川、万盛、习水、桐梓、綦江）联合查案和市级飞行检查</w:t>
      </w:r>
      <w:r>
        <w:rPr>
          <w:rFonts w:hint="default" w:ascii="宋体" w:hAnsi="宋体" w:eastAsia="方正仿宋_GBK" w:cs="方正仿宋_GBK"/>
          <w:kern w:val="0"/>
          <w:sz w:val="32"/>
          <w:szCs w:val="32"/>
          <w:lang w:val="en-US" w:eastAsia="zh-CN" w:bidi="ar"/>
        </w:rPr>
        <w:t>（对特定对象实施的突击性现场监督检查）</w:t>
      </w:r>
      <w:r>
        <w:rPr>
          <w:rFonts w:hint="eastAsia" w:ascii="宋体" w:hAnsi="宋体" w:eastAsia="方正仿宋_GBK" w:cs="方正仿宋_GBK"/>
          <w:kern w:val="0"/>
          <w:sz w:val="32"/>
          <w:szCs w:val="32"/>
          <w:lang w:eastAsia="zh-CN" w:bidi="ar"/>
        </w:rPr>
        <w:t>接待</w:t>
      </w:r>
      <w:r>
        <w:rPr>
          <w:rFonts w:hint="eastAsia" w:ascii="宋体" w:hAnsi="宋体" w:eastAsia="方正仿宋_GBK" w:cs="方正仿宋_GBK"/>
          <w:kern w:val="0"/>
          <w:sz w:val="32"/>
          <w:szCs w:val="32"/>
          <w:lang w:val="en-US" w:eastAsia="zh-CN" w:bidi="ar"/>
        </w:rPr>
        <w:t>。</w:t>
      </w:r>
      <w:r>
        <w:rPr>
          <w:rFonts w:hint="default" w:ascii="宋体" w:hAnsi="宋体" w:eastAsia="方正仿宋_GBK" w:cs="方正仿宋_GBK"/>
          <w:kern w:val="0"/>
          <w:sz w:val="32"/>
          <w:szCs w:val="32"/>
          <w:lang w:val="en-US" w:eastAsia="zh-CN" w:bidi="ar"/>
        </w:rPr>
        <w:t>费用支出较年初预算数减少0.17万元，下降5.7%，主要原因是厉行节约</w:t>
      </w:r>
      <w:r>
        <w:rPr>
          <w:rFonts w:hint="default" w:ascii="宋体" w:hAnsi="宋体" w:eastAsia="方正仿宋_GBK" w:cs="方正仿宋_GBK"/>
          <w:kern w:val="0"/>
          <w:sz w:val="32"/>
          <w:szCs w:val="32"/>
          <w:lang w:eastAsia="zh-CN" w:bidi="ar"/>
        </w:rPr>
        <w:t>，严格按接待标准</w:t>
      </w:r>
      <w:r>
        <w:rPr>
          <w:rFonts w:hint="eastAsia" w:eastAsia="方正仿宋_GBK" w:cs="方正仿宋_GBK"/>
          <w:kern w:val="0"/>
          <w:sz w:val="32"/>
          <w:szCs w:val="32"/>
          <w:lang w:eastAsia="zh-CN" w:bidi="ar"/>
        </w:rPr>
        <w:t>控制支出</w:t>
      </w:r>
      <w:r>
        <w:rPr>
          <w:rFonts w:hint="default" w:ascii="宋体" w:hAnsi="宋体" w:eastAsia="方正仿宋_GBK" w:cs="方正仿宋_GBK"/>
          <w:kern w:val="0"/>
          <w:sz w:val="32"/>
          <w:szCs w:val="32"/>
          <w:lang w:val="en-US" w:eastAsia="zh-CN" w:bidi="ar"/>
        </w:rPr>
        <w:t>。较上年支出数增加0.86万元，增长43.7%，</w:t>
      </w:r>
      <w:r>
        <w:rPr>
          <w:rFonts w:hint="eastAsia" w:ascii="宋体" w:hAnsi="宋体" w:eastAsia="方正仿宋_GBK" w:cs="方正仿宋_GBK"/>
          <w:kern w:val="0"/>
          <w:sz w:val="32"/>
          <w:szCs w:val="32"/>
          <w:lang w:val="en-US" w:eastAsia="zh-CN" w:bidi="ar"/>
        </w:rPr>
        <w:t>主要原因是基金督查新增加公务接待五地（南川、万盛、习水、桐梓、綦江）联合查案和市级飞行检查</w:t>
      </w:r>
      <w:r>
        <w:rPr>
          <w:rFonts w:hint="default" w:ascii="宋体" w:hAnsi="宋体" w:eastAsia="方正仿宋_GBK" w:cs="方正仿宋_GBK"/>
          <w:kern w:val="0"/>
          <w:sz w:val="32"/>
          <w:szCs w:val="32"/>
          <w:lang w:eastAsia="zh-CN" w:bidi="ar"/>
        </w:rPr>
        <w:t>（对特定对象实施的突击性现场监督检查）</w:t>
      </w:r>
      <w:r>
        <w:rPr>
          <w:rFonts w:hint="eastAsia" w:ascii="宋体" w:hAnsi="宋体" w:eastAsia="方正仿宋_GBK" w:cs="方正仿宋_GBK"/>
          <w:kern w:val="0"/>
          <w:sz w:val="32"/>
          <w:szCs w:val="32"/>
          <w:lang w:val="en-US" w:eastAsia="zh-CN" w:bidi="ar"/>
        </w:rPr>
        <w:t>。</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（三）“三公”经费实物量情况</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本部门因公出国（境）共计0个团组，0人；公务用车购置0辆，公务车保有量为1辆；国内公务接待40批次450人，其中：国内外事接待0批次，0人；国（境）外公务接待0批次，0人。2024年本部门人均接待费62.92元，车均购置费0万元，车均维护费3.00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（一）财政拨款会议费、培训费和差旅费情况说明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本年度会议费支出2.57万元，与2023年度相比，增加1.13万元，增长78.5%，主要原因是</w:t>
      </w:r>
      <w:r>
        <w:rPr>
          <w:rFonts w:hint="eastAsia" w:ascii="宋体" w:hAnsi="宋体" w:eastAsia="方正仿宋_GBK" w:cs="方正仿宋_GBK"/>
          <w:kern w:val="0"/>
          <w:sz w:val="32"/>
          <w:szCs w:val="32"/>
          <w:lang w:val="en-US" w:eastAsia="zh-CN" w:bidi="ar"/>
        </w:rPr>
        <w:t>落实国家医保局开展医疗保险业务技能提升会议</w:t>
      </w:r>
      <w:r>
        <w:rPr>
          <w:rFonts w:hint="default" w:ascii="宋体" w:hAnsi="宋体" w:eastAsia="方正仿宋_GBK" w:cs="方正仿宋_GBK"/>
          <w:kern w:val="0"/>
          <w:sz w:val="32"/>
          <w:szCs w:val="32"/>
          <w:lang w:eastAsia="zh-CN" w:bidi="ar"/>
        </w:rPr>
        <w:t>频次</w:t>
      </w:r>
      <w:r>
        <w:rPr>
          <w:rFonts w:hint="eastAsia" w:ascii="宋体" w:hAnsi="宋体" w:eastAsia="方正仿宋_GBK" w:cs="方正仿宋_GBK"/>
          <w:kern w:val="0"/>
          <w:sz w:val="32"/>
          <w:szCs w:val="32"/>
          <w:lang w:val="en-US" w:eastAsia="zh-CN" w:bidi="ar"/>
        </w:rPr>
        <w:t>增多</w:t>
      </w:r>
      <w:r>
        <w:rPr>
          <w:rFonts w:hint="default" w:ascii="宋体" w:hAnsi="宋体" w:eastAsia="方正仿宋_GBK" w:cs="方正仿宋_GBK"/>
          <w:kern w:val="0"/>
          <w:sz w:val="32"/>
          <w:szCs w:val="32"/>
          <w:lang w:val="en-US" w:eastAsia="zh-CN" w:bidi="ar"/>
        </w:rPr>
        <w:t>。本年度培训费支出4.22万元，与2023年度相比，减少8.06万元，下降65.6%，主要原因是厉行节约，压缩一般性开支。本年度差旅费支出2.84万元，与2023年度相比，减少3.88万元，下降57.7%，主要原因是厉行节约，压缩一般性开支。</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（二）机关运行经费情况说明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本部门机关运行经费支出144.03万元，机关运行经费主要用于开支包括基本工资、津贴补贴、社会保障缴费、机关事业单位基本养老保险费、职业年金缴费、职工基本医疗保险缴费、住房公积金邮电费、工会经费、其他交通费用。机关运行经费较上年支出数增加18.74万元，增长15.0%，主要原因是经费项目调整和人员工资调整</w:t>
      </w:r>
      <w:r>
        <w:rPr>
          <w:rFonts w:hint="eastAsia" w:ascii="宋体" w:hAnsi="宋体" w:eastAsia="方正仿宋_GBK" w:cs="方正仿宋_GBK"/>
          <w:kern w:val="0"/>
          <w:sz w:val="32"/>
          <w:szCs w:val="32"/>
          <w:lang w:val="en-US" w:eastAsia="zh-CN" w:bidi="ar"/>
        </w:rPr>
        <w:t>增加。</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（三）国有资产占用情况说明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（四）政府采购支出情况说明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2024年度本部门政府采购支出总额1.08万元，其中：政府采购货物支出1.08万元、政府采购工程支出</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、政府采购服务支出</w:t>
      </w:r>
      <w:r>
        <w:rPr>
          <w:rFonts w:hint="default" w:ascii="宋体" w:hAnsi="宋体" w:eastAsia="方正仿宋_GBK" w:cs="方正仿宋_GBK"/>
          <w:kern w:val="0"/>
          <w:sz w:val="32"/>
          <w:szCs w:val="32"/>
          <w:lang w:eastAsia="zh-CN" w:bidi="ar"/>
        </w:rPr>
        <w:t>0万元</w:t>
      </w:r>
      <w:r>
        <w:rPr>
          <w:rFonts w:hint="default" w:ascii="宋体" w:hAnsi="宋体" w:eastAsia="方正仿宋_GBK" w:cs="方正仿宋_GBK"/>
          <w:kern w:val="0"/>
          <w:sz w:val="32"/>
          <w:szCs w:val="32"/>
          <w:lang w:val="en-US" w:eastAsia="zh-CN" w:bidi="ar"/>
        </w:rPr>
        <w:t>。授予中小企业合同金额1.08万元，占政府采购支出总额的100.0%，其中：授予小微企业合同金额1.08万元，占政府采购支出总额的100.0%。主要用于采购</w:t>
      </w:r>
      <w:r>
        <w:rPr>
          <w:rFonts w:hint="eastAsia" w:ascii="宋体" w:hAnsi="宋体" w:eastAsia="方正仿宋_GBK" w:cs="方正仿宋_GBK"/>
          <w:kern w:val="0"/>
          <w:sz w:val="32"/>
          <w:szCs w:val="32"/>
          <w:lang w:val="en-US" w:eastAsia="zh-CN" w:bidi="ar"/>
        </w:rPr>
        <w:t>医疗保险政策宣传资料的印制服务</w:t>
      </w:r>
      <w:r>
        <w:rPr>
          <w:rFonts w:hint="default" w:ascii="宋体" w:hAnsi="宋体" w:eastAsia="方正仿宋_GBK" w:cs="方正仿宋_GBK"/>
          <w:kern w:val="0"/>
          <w:sz w:val="32"/>
          <w:szCs w:val="32"/>
          <w:lang w:val="en-US" w:eastAsia="zh-CN" w:bidi="ar"/>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五、预算绩效管理情况说明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（一）预算绩效管理工作开展情况</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根据预算绩效管理要求，我部门对部门3个二级项目开展了绩效自评，涉及财政拨款项目支出资金5,190.57万元。</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（二）绩效自评结果</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1.绩效自评表。</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详见公开表。</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2.绩效自评报告或案例</w:t>
      </w:r>
      <w:r>
        <w:rPr>
          <w:rFonts w:hint="eastAsia" w:ascii="宋体" w:hAnsi="宋体" w:eastAsia="方正仿宋_GBK" w:cs="方正仿宋_GBK"/>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无。</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3.关于绩效自评结果的说明。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从绩效自评结果来看，总体上预算执行情况较好，群众满意度较高。有个别项目资金执行率不高，</w:t>
      </w:r>
      <w:r>
        <w:rPr>
          <w:rFonts w:hint="eastAsia" w:ascii="宋体" w:hAnsi="宋体" w:eastAsia="方正仿宋_GBK" w:cs="方正仿宋_GBK"/>
          <w:kern w:val="0"/>
          <w:sz w:val="32"/>
          <w:szCs w:val="32"/>
          <w:lang w:eastAsia="zh-CN" w:bidi="ar"/>
        </w:rPr>
        <w:t>作好</w:t>
      </w:r>
      <w:r>
        <w:rPr>
          <w:rFonts w:hint="eastAsia" w:ascii="宋体" w:hAnsi="宋体" w:eastAsia="方正仿宋_GBK" w:cs="方正仿宋_GBK"/>
          <w:kern w:val="0"/>
          <w:sz w:val="32"/>
          <w:szCs w:val="32"/>
          <w:lang w:val="en-US" w:eastAsia="zh-CN" w:bidi="ar"/>
        </w:rPr>
        <w:t>资金使用计划</w:t>
      </w:r>
      <w:r>
        <w:rPr>
          <w:rFonts w:hint="default" w:ascii="宋体" w:hAnsi="宋体" w:eastAsia="方正仿宋_GBK" w:cs="方正仿宋_GBK"/>
          <w:kern w:val="0"/>
          <w:sz w:val="32"/>
          <w:szCs w:val="32"/>
          <w:lang w:eastAsia="zh-CN" w:bidi="ar"/>
        </w:rPr>
        <w:t>，按计划执行预算</w:t>
      </w:r>
      <w:r>
        <w:rPr>
          <w:rFonts w:hint="eastAsia" w:ascii="宋体" w:hAnsi="宋体" w:eastAsia="方正仿宋_GBK" w:cs="方正仿宋_GBK"/>
          <w:kern w:val="0"/>
          <w:sz w:val="32"/>
          <w:szCs w:val="32"/>
          <w:lang w:val="en-US" w:eastAsia="zh-CN" w:bidi="ar"/>
        </w:rPr>
        <w:t>，合理、规范使用专项经费，提高资金使用率。</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default" w:ascii="方正楷体_GBK" w:hAnsi="Times New Roman" w:eastAsia="方正楷体_GBK" w:cs="Times New Roman"/>
          <w:kern w:val="2"/>
          <w:sz w:val="32"/>
          <w:szCs w:val="32"/>
          <w:lang w:val="en-US" w:eastAsia="zh-CN" w:bidi="ar-SA"/>
        </w:rPr>
      </w:pPr>
      <w:r>
        <w:rPr>
          <w:rFonts w:hint="default" w:ascii="方正楷体_GBK" w:hAnsi="Times New Roman" w:eastAsia="方正楷体_GBK" w:cs="Times New Roman"/>
          <w:kern w:val="2"/>
          <w:sz w:val="32"/>
          <w:szCs w:val="32"/>
          <w:lang w:val="en-US" w:eastAsia="zh-CN" w:bidi="ar-SA"/>
        </w:rPr>
        <w:t>（三）重点绩效评价结果</w:t>
      </w:r>
      <w:r>
        <w:rPr>
          <w:rFonts w:hint="eastAsia" w:ascii="方正楷体_GBK" w:hAnsi="Times New Roman" w:eastAsia="方正楷体_GBK" w:cs="Times New Roman"/>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宋体" w:hAnsi="宋体" w:eastAsia="方正仿宋_GBK" w:cs="方正仿宋_GBK"/>
          <w:kern w:val="0"/>
          <w:sz w:val="32"/>
          <w:szCs w:val="32"/>
          <w:lang w:val="en-US" w:eastAsia="zh-CN" w:bidi="ar"/>
        </w:rPr>
      </w:pPr>
      <w:r>
        <w:rPr>
          <w:rFonts w:hint="default" w:ascii="宋体" w:hAnsi="宋体" w:eastAsia="方正仿宋_GBK" w:cs="方正仿宋_GBK"/>
          <w:kern w:val="0"/>
          <w:sz w:val="32"/>
          <w:szCs w:val="32"/>
          <w:lang w:val="en-US" w:eastAsia="zh-CN" w:bidi="ar"/>
        </w:rPr>
        <w:t>无。</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 六、专业名词解释</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default" w:ascii="宋体" w:hAnsi="宋体" w:eastAsia="方正仿宋_GBK" w:cs="方正仿宋_GBK"/>
          <w:kern w:val="0"/>
          <w:sz w:val="32"/>
          <w:szCs w:val="32"/>
          <w:lang w:val="en-US" w:eastAsia="zh-CN" w:bidi="ar"/>
        </w:rPr>
      </w:pPr>
      <w:r>
        <w:rPr>
          <w:rStyle w:val="10"/>
          <w:rFonts w:hint="eastAsia" w:ascii="黑体" w:hAnsi="黑体" w:eastAsia="黑体" w:cs="黑体"/>
          <w:sz w:val="32"/>
          <w:szCs w:val="32"/>
          <w:shd w:val="clear" w:color="auto" w:fill="FFFFFF"/>
          <w:lang w:val="en-US" w:eastAsia="zh-CN"/>
        </w:rPr>
        <w:t> </w:t>
      </w:r>
      <w:r>
        <w:rPr>
          <w:rFonts w:hint="eastAsia" w:ascii="方正楷体_GBK" w:hAnsi="Times New Roman" w:eastAsia="方正楷体_GBK" w:cs="Times New Roman"/>
          <w:kern w:val="2"/>
          <w:sz w:val="32"/>
          <w:szCs w:val="32"/>
          <w:lang w:val="en-US" w:eastAsia="zh-CN" w:bidi="ar-SA"/>
        </w:rPr>
        <w:t>（一）财政拨款收入</w:t>
      </w:r>
      <w:r>
        <w:rPr>
          <w:rFonts w:hint="eastAsia" w:ascii="宋体" w:hAnsi="宋体" w:eastAsia="方正仿宋_GBK" w:cs="方正仿宋_GBK"/>
          <w:kern w:val="0"/>
          <w:sz w:val="32"/>
          <w:szCs w:val="32"/>
          <w:lang w:val="en-US" w:eastAsia="zh-CN" w:bidi="ar"/>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（二）事业收入</w:t>
      </w:r>
      <w:r>
        <w:rPr>
          <w:rFonts w:hint="eastAsia" w:ascii="宋体" w:hAnsi="宋体" w:eastAsia="方正仿宋_GBK" w:cs="方正仿宋_GBK"/>
          <w:kern w:val="0"/>
          <w:sz w:val="32"/>
          <w:szCs w:val="32"/>
          <w:lang w:val="en-US" w:eastAsia="zh-CN" w:bidi="ar"/>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（三）经营收入</w:t>
      </w:r>
      <w:r>
        <w:rPr>
          <w:rFonts w:hint="eastAsia" w:ascii="宋体" w:hAnsi="宋体" w:eastAsia="方正仿宋_GBK" w:cs="方正仿宋_GBK"/>
          <w:kern w:val="0"/>
          <w:sz w:val="32"/>
          <w:szCs w:val="32"/>
          <w:lang w:val="en-US" w:eastAsia="zh-CN" w:bidi="ar"/>
        </w:rPr>
        <w:t>：指事业单位在专业业务活动及其辅助活动之外开展非独立核算经营活动取得的现金流入。</w:t>
      </w:r>
    </w:p>
    <w:p>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（四）其他收入</w:t>
      </w:r>
      <w:r>
        <w:rPr>
          <w:rFonts w:hint="eastAsia" w:ascii="宋体" w:hAnsi="宋体" w:eastAsia="方正仿宋_GBK" w:cs="方正仿宋_GBK"/>
          <w:kern w:val="0"/>
          <w:sz w:val="32"/>
          <w:szCs w:val="32"/>
          <w:lang w:val="en-US" w:eastAsia="zh-CN" w:bidi="ar"/>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（五）使用非财政拨款结余</w:t>
      </w:r>
      <w:r>
        <w:rPr>
          <w:rFonts w:hint="eastAsia" w:ascii="宋体" w:hAnsi="宋体" w:eastAsia="方正仿宋_GBK" w:cs="方正仿宋_GBK"/>
          <w:kern w:val="0"/>
          <w:sz w:val="32"/>
          <w:szCs w:val="32"/>
          <w:lang w:val="en-US" w:eastAsia="zh-CN" w:bidi="ar"/>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（六）年初结转和结余：</w:t>
      </w:r>
      <w:r>
        <w:rPr>
          <w:rFonts w:hint="eastAsia" w:ascii="宋体" w:hAnsi="宋体" w:eastAsia="方正仿宋_GBK" w:cs="方正仿宋_GBK"/>
          <w:kern w:val="0"/>
          <w:sz w:val="32"/>
          <w:szCs w:val="32"/>
          <w:lang w:val="en-US" w:eastAsia="zh-CN" w:bidi="ar"/>
        </w:rPr>
        <w:t>指单位上年结转本年使用的基本支出结转、项目支出结转和结余、经营结余。</w:t>
      </w:r>
    </w:p>
    <w:p>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 </w:t>
      </w:r>
      <w:r>
        <w:rPr>
          <w:rFonts w:hint="eastAsia" w:ascii="方正楷体_GBK" w:hAnsi="Times New Roman" w:eastAsia="方正楷体_GBK" w:cs="Times New Roman"/>
          <w:kern w:val="2"/>
          <w:sz w:val="32"/>
          <w:szCs w:val="32"/>
          <w:lang w:val="en-US" w:eastAsia="zh-CN" w:bidi="ar-SA"/>
        </w:rPr>
        <w:t>（七）结余分配</w:t>
      </w:r>
      <w:r>
        <w:rPr>
          <w:rFonts w:hint="eastAsia" w:ascii="宋体" w:hAnsi="宋体" w:eastAsia="方正仿宋_GBK" w:cs="方正仿宋_GBK"/>
          <w:kern w:val="0"/>
          <w:sz w:val="32"/>
          <w:szCs w:val="32"/>
          <w:lang w:val="en-US" w:eastAsia="zh-CN" w:bidi="ar"/>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（八）年末结转和结余：</w:t>
      </w:r>
      <w:r>
        <w:rPr>
          <w:rFonts w:hint="eastAsia" w:ascii="宋体" w:hAnsi="宋体" w:eastAsia="方正仿宋_GBK" w:cs="方正仿宋_GBK"/>
          <w:kern w:val="0"/>
          <w:sz w:val="32"/>
          <w:szCs w:val="32"/>
          <w:lang w:val="en-US" w:eastAsia="zh-CN" w:bidi="ar"/>
        </w:rPr>
        <w:t>指单位结转下年的基本支出结转、项目支出结转和结余、经营结余。</w:t>
      </w:r>
    </w:p>
    <w:p>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（九）基本支出：</w:t>
      </w:r>
      <w:r>
        <w:rPr>
          <w:rFonts w:hint="eastAsia" w:ascii="宋体" w:hAnsi="宋体" w:eastAsia="方正仿宋_GBK" w:cs="方正仿宋_GBK"/>
          <w:kern w:val="0"/>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（十）项目支出：</w:t>
      </w:r>
      <w:r>
        <w:rPr>
          <w:rFonts w:hint="eastAsia" w:ascii="宋体" w:hAnsi="宋体" w:eastAsia="方正仿宋_GBK" w:cs="方正仿宋_GBK"/>
          <w:kern w:val="0"/>
          <w:sz w:val="32"/>
          <w:szCs w:val="32"/>
          <w:lang w:val="en-US" w:eastAsia="zh-CN" w:bidi="ar"/>
        </w:rPr>
        <w:t>指在基本支出之外为完成特定行政任务和事业发展目标所发生的支出。</w:t>
      </w:r>
    </w:p>
    <w:p>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（十一）经营支出：</w:t>
      </w:r>
      <w:r>
        <w:rPr>
          <w:rFonts w:hint="eastAsia" w:ascii="宋体" w:hAnsi="宋体" w:eastAsia="方正仿宋_GBK" w:cs="方正仿宋_GBK"/>
          <w:kern w:val="0"/>
          <w:sz w:val="32"/>
          <w:szCs w:val="32"/>
          <w:lang w:val="en-US" w:eastAsia="zh-CN" w:bidi="ar"/>
        </w:rPr>
        <w:t>指事业单位在专业业务活动及其辅助活动之外开展非独立核算经营活动发生的支出。</w:t>
      </w:r>
    </w:p>
    <w:p>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（十二）“三公”经费：</w:t>
      </w:r>
      <w:r>
        <w:rPr>
          <w:rFonts w:hint="eastAsia" w:ascii="宋体" w:hAnsi="宋体" w:eastAsia="方正仿宋_GBK" w:cs="方正仿宋_GBK"/>
          <w:kern w:val="0"/>
          <w:sz w:val="32"/>
          <w:szCs w:val="32"/>
          <w:lang w:val="en-US" w:eastAsia="zh-CN" w:bidi="ar"/>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（十三）机关运行经费：</w:t>
      </w:r>
      <w:r>
        <w:rPr>
          <w:rFonts w:hint="eastAsia" w:ascii="宋体" w:hAnsi="宋体" w:eastAsia="方正仿宋_GBK" w:cs="方正仿宋_GBK"/>
          <w:kern w:val="0"/>
          <w:sz w:val="32"/>
          <w:szCs w:val="32"/>
          <w:lang w:val="en-US" w:eastAsia="zh-CN"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（十四）工资福利支出</w:t>
      </w:r>
      <w:r>
        <w:rPr>
          <w:rFonts w:hint="eastAsia" w:ascii="宋体" w:hAnsi="宋体" w:eastAsia="方正仿宋_GBK" w:cs="方正仿宋_GBK"/>
          <w:kern w:val="0"/>
          <w:sz w:val="32"/>
          <w:szCs w:val="32"/>
          <w:lang w:val="en-US" w:eastAsia="zh-CN" w:bidi="ar"/>
        </w:rPr>
        <w:t>（支出经济分类科目类级）：反映单位开支的在职职工和编制外长期聘用人员的各类劳动报酬，以及为上述人员缴纳的各项社会保险费等。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（十五）商品和服务支出</w:t>
      </w:r>
      <w:r>
        <w:rPr>
          <w:rFonts w:hint="eastAsia" w:ascii="宋体" w:hAnsi="宋体" w:eastAsia="方正仿宋_GBK" w:cs="方正仿宋_GBK"/>
          <w:kern w:val="0"/>
          <w:sz w:val="32"/>
          <w:szCs w:val="32"/>
          <w:lang w:val="en-US" w:eastAsia="zh-CN" w:bidi="ar"/>
        </w:rPr>
        <w:t>（支出经济分类科目类级）：反映单位购买商品和服务的支出（不包括用于购置固定资产的支出、战略性和应急储备支出）。</w:t>
      </w:r>
    </w:p>
    <w:p>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宋体" w:hAnsi="宋体" w:eastAsia="方正仿宋_GBK" w:cs="方正仿宋_GBK"/>
          <w:kern w:val="0"/>
          <w:sz w:val="32"/>
          <w:szCs w:val="32"/>
          <w:lang w:val="en-US" w:eastAsia="zh-CN" w:bidi="ar"/>
        </w:rPr>
        <w:t> </w:t>
      </w:r>
      <w:r>
        <w:rPr>
          <w:rFonts w:hint="eastAsia" w:ascii="方正楷体_GBK" w:hAnsi="Times New Roman" w:eastAsia="方正楷体_GBK" w:cs="Times New Roman"/>
          <w:kern w:val="2"/>
          <w:sz w:val="32"/>
          <w:szCs w:val="32"/>
          <w:lang w:val="en-US" w:eastAsia="zh-CN" w:bidi="ar-SA"/>
        </w:rPr>
        <w:t>（十六）对个人和家庭的补助</w:t>
      </w:r>
      <w:r>
        <w:rPr>
          <w:rFonts w:hint="eastAsia" w:ascii="宋体" w:hAnsi="宋体" w:eastAsia="方正仿宋_GBK" w:cs="方正仿宋_GBK"/>
          <w:kern w:val="0"/>
          <w:sz w:val="32"/>
          <w:szCs w:val="32"/>
          <w:lang w:val="en-US" w:eastAsia="zh-CN" w:bidi="ar"/>
        </w:rPr>
        <w:t>（支出经济分类科目类级）：反映用于对个人和家庭的补助支出。</w:t>
      </w:r>
    </w:p>
    <w:p>
      <w:pPr>
        <w:pStyle w:val="7"/>
        <w:snapToGrid w:val="0"/>
        <w:spacing w:before="0" w:beforeAutospacing="0" w:after="0" w:afterAutospacing="0" w:line="600" w:lineRule="exact"/>
        <w:ind w:firstLine="640" w:firstLineChars="200"/>
        <w:jc w:val="both"/>
        <w:rPr>
          <w:rFonts w:hint="default" w:ascii="宋体" w:hAnsi="宋体" w:eastAsia="方正仿宋_GBK" w:cs="方正仿宋_GBK"/>
          <w:kern w:val="0"/>
          <w:sz w:val="32"/>
          <w:szCs w:val="32"/>
          <w:lang w:val="en-US" w:eastAsia="zh-CN" w:bidi="ar"/>
        </w:rPr>
      </w:pPr>
      <w:r>
        <w:rPr>
          <w:rFonts w:hint="eastAsia" w:ascii="方正楷体_GBK" w:hAnsi="Times New Roman" w:eastAsia="方正楷体_GBK" w:cs="Times New Roman"/>
          <w:kern w:val="2"/>
          <w:sz w:val="32"/>
          <w:szCs w:val="32"/>
          <w:lang w:val="en-US" w:eastAsia="zh-CN" w:bidi="ar-SA"/>
        </w:rPr>
        <w:t> （十七）其他资本性支出</w:t>
      </w:r>
      <w:r>
        <w:rPr>
          <w:rFonts w:hint="eastAsia" w:ascii="宋体" w:hAnsi="宋体" w:eastAsia="方正仿宋_GBK" w:cs="方正仿宋_GBK"/>
          <w:kern w:val="0"/>
          <w:sz w:val="32"/>
          <w:szCs w:val="32"/>
          <w:lang w:val="en-US" w:eastAsia="zh-CN" w:bidi="ar"/>
        </w:rPr>
        <w:t>（支出经济分类科目类级）：反映非各级发展与改革</w:t>
      </w:r>
      <w:r>
        <w:rPr>
          <w:rFonts w:hint="eastAsia" w:ascii="方正楷体_GBK" w:hAnsi="Times New Roman" w:eastAsia="方正楷体_GBK" w:cs="Times New Roman"/>
          <w:kern w:val="2"/>
          <w:sz w:val="32"/>
          <w:szCs w:val="32"/>
          <w:lang w:val="en-US" w:eastAsia="zh-CN" w:bidi="ar-SA"/>
        </w:rPr>
        <w:t>部门</w:t>
      </w:r>
      <w:r>
        <w:rPr>
          <w:rFonts w:hint="eastAsia" w:ascii="宋体" w:hAnsi="宋体" w:eastAsia="方正仿宋_GBK" w:cs="方正仿宋_GBK"/>
          <w:kern w:val="0"/>
          <w:sz w:val="32"/>
          <w:szCs w:val="32"/>
          <w:lang w:val="en-US" w:eastAsia="zh-CN" w:bidi="ar"/>
        </w:rPr>
        <w:t>集中安排的用于购置固定资产、战略性和应急性储备、土地和无形资产，以及构建基础设施、大型修缮和财政支持企业更新改造所发生的支出。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 七、决算公开联系方式及信息反馈渠道</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黑体" w:hAnsi="黑体" w:eastAsia="黑体" w:cs="黑体"/>
          <w:sz w:val="32"/>
          <w:szCs w:val="32"/>
          <w:shd w:val="clear" w:color="auto" w:fill="FFFFFF"/>
          <w:lang w:val="en-US" w:eastAsia="zh-CN"/>
        </w:rPr>
      </w:pPr>
      <w:r>
        <w:rPr>
          <w:rFonts w:hint="eastAsia" w:ascii="宋体" w:hAnsi="宋体" w:eastAsia="方正仿宋_GBK" w:cs="方正仿宋_GBK"/>
          <w:kern w:val="0"/>
          <w:sz w:val="32"/>
          <w:szCs w:val="32"/>
          <w:lang w:val="en-US" w:eastAsia="zh-CN" w:bidi="ar"/>
        </w:rPr>
        <w:t>本单位决算公开信息反馈和联系方式：023-81710331</w:t>
      </w:r>
    </w:p>
    <w:p>
      <w:pPr>
        <w:spacing w:before="8737" w:beforeLines="2800"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CEF05C"/>
    <w:multiLevelType w:val="singleLevel"/>
    <w:tmpl w:val="89CEF0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C5A7E"/>
    <w:rsid w:val="00150D10"/>
    <w:rsid w:val="007F6945"/>
    <w:rsid w:val="00A16F22"/>
    <w:rsid w:val="012F05F5"/>
    <w:rsid w:val="01953616"/>
    <w:rsid w:val="01A42E67"/>
    <w:rsid w:val="037564AC"/>
    <w:rsid w:val="03C83C96"/>
    <w:rsid w:val="05DD630A"/>
    <w:rsid w:val="07297AEA"/>
    <w:rsid w:val="089B2189"/>
    <w:rsid w:val="08C61CE5"/>
    <w:rsid w:val="09C15D6D"/>
    <w:rsid w:val="0A5C4DBF"/>
    <w:rsid w:val="0B7379FE"/>
    <w:rsid w:val="0B987A77"/>
    <w:rsid w:val="0C0A2924"/>
    <w:rsid w:val="0C0A6C58"/>
    <w:rsid w:val="0C2C6A67"/>
    <w:rsid w:val="0C6F3E70"/>
    <w:rsid w:val="0D2B03ED"/>
    <w:rsid w:val="0D361B8E"/>
    <w:rsid w:val="0D6A410C"/>
    <w:rsid w:val="0D800A2B"/>
    <w:rsid w:val="0E6052D0"/>
    <w:rsid w:val="0F181A6F"/>
    <w:rsid w:val="0F4B6BB6"/>
    <w:rsid w:val="0FB62025"/>
    <w:rsid w:val="115B6C02"/>
    <w:rsid w:val="1184452F"/>
    <w:rsid w:val="11F60EC2"/>
    <w:rsid w:val="12312D9A"/>
    <w:rsid w:val="12632AFF"/>
    <w:rsid w:val="15C44075"/>
    <w:rsid w:val="162B6AB5"/>
    <w:rsid w:val="16B32DF9"/>
    <w:rsid w:val="181C6A28"/>
    <w:rsid w:val="18D70E97"/>
    <w:rsid w:val="19D9454E"/>
    <w:rsid w:val="1A061FE7"/>
    <w:rsid w:val="1A4E6FAD"/>
    <w:rsid w:val="1ADA4599"/>
    <w:rsid w:val="1B456747"/>
    <w:rsid w:val="1C5B160F"/>
    <w:rsid w:val="1D272BCE"/>
    <w:rsid w:val="1E8E1147"/>
    <w:rsid w:val="1EEC436B"/>
    <w:rsid w:val="1F082E23"/>
    <w:rsid w:val="1F8A0730"/>
    <w:rsid w:val="1FC233BD"/>
    <w:rsid w:val="200D39B0"/>
    <w:rsid w:val="20175F16"/>
    <w:rsid w:val="203615E0"/>
    <w:rsid w:val="20E66ACE"/>
    <w:rsid w:val="212D3637"/>
    <w:rsid w:val="2235774D"/>
    <w:rsid w:val="244908EA"/>
    <w:rsid w:val="265D2E95"/>
    <w:rsid w:val="279C0EE8"/>
    <w:rsid w:val="283E0CE0"/>
    <w:rsid w:val="284274AD"/>
    <w:rsid w:val="286E3605"/>
    <w:rsid w:val="29FD4D3F"/>
    <w:rsid w:val="2A962BE6"/>
    <w:rsid w:val="2AD6032D"/>
    <w:rsid w:val="2AF241E9"/>
    <w:rsid w:val="2C7A751C"/>
    <w:rsid w:val="2CAD038D"/>
    <w:rsid w:val="2D217A5C"/>
    <w:rsid w:val="2EFC785C"/>
    <w:rsid w:val="308D6BFD"/>
    <w:rsid w:val="313D3ED6"/>
    <w:rsid w:val="32954472"/>
    <w:rsid w:val="335F54D3"/>
    <w:rsid w:val="33EE6BDC"/>
    <w:rsid w:val="33F90C7C"/>
    <w:rsid w:val="34E74472"/>
    <w:rsid w:val="36381168"/>
    <w:rsid w:val="36CC250D"/>
    <w:rsid w:val="36E06743"/>
    <w:rsid w:val="36F831B4"/>
    <w:rsid w:val="37A63B0A"/>
    <w:rsid w:val="37D742B9"/>
    <w:rsid w:val="37EE4385"/>
    <w:rsid w:val="382D6993"/>
    <w:rsid w:val="393FD0EB"/>
    <w:rsid w:val="3B186EB7"/>
    <w:rsid w:val="3B916D5B"/>
    <w:rsid w:val="3C0D3357"/>
    <w:rsid w:val="3D2341EE"/>
    <w:rsid w:val="3D4D3C40"/>
    <w:rsid w:val="3D7971BA"/>
    <w:rsid w:val="3EA04398"/>
    <w:rsid w:val="3F3D4622"/>
    <w:rsid w:val="40C370EF"/>
    <w:rsid w:val="40D4708C"/>
    <w:rsid w:val="410C0FBC"/>
    <w:rsid w:val="41136BBC"/>
    <w:rsid w:val="41DD1993"/>
    <w:rsid w:val="425C5A7E"/>
    <w:rsid w:val="425D1718"/>
    <w:rsid w:val="43243913"/>
    <w:rsid w:val="449031B1"/>
    <w:rsid w:val="451415E0"/>
    <w:rsid w:val="45BC01FD"/>
    <w:rsid w:val="45DF7E19"/>
    <w:rsid w:val="46481068"/>
    <w:rsid w:val="473156CD"/>
    <w:rsid w:val="475B3C91"/>
    <w:rsid w:val="4779346E"/>
    <w:rsid w:val="47924A22"/>
    <w:rsid w:val="47F02335"/>
    <w:rsid w:val="48FB1073"/>
    <w:rsid w:val="4A46106F"/>
    <w:rsid w:val="4A530C52"/>
    <w:rsid w:val="4A9A285C"/>
    <w:rsid w:val="4AC016F4"/>
    <w:rsid w:val="4BBD36C0"/>
    <w:rsid w:val="4BC230D9"/>
    <w:rsid w:val="4C9F1A6D"/>
    <w:rsid w:val="4CE05C38"/>
    <w:rsid w:val="4CED6034"/>
    <w:rsid w:val="4D010014"/>
    <w:rsid w:val="4D203E09"/>
    <w:rsid w:val="4F954B79"/>
    <w:rsid w:val="4FBA6197"/>
    <w:rsid w:val="4FF36686"/>
    <w:rsid w:val="5074693E"/>
    <w:rsid w:val="51EF0A71"/>
    <w:rsid w:val="52081B3B"/>
    <w:rsid w:val="52585D60"/>
    <w:rsid w:val="527074E5"/>
    <w:rsid w:val="52B85B6A"/>
    <w:rsid w:val="5380366E"/>
    <w:rsid w:val="539F63A4"/>
    <w:rsid w:val="55690B7B"/>
    <w:rsid w:val="55AC0728"/>
    <w:rsid w:val="56440D05"/>
    <w:rsid w:val="56B635DC"/>
    <w:rsid w:val="56C53350"/>
    <w:rsid w:val="593D1C96"/>
    <w:rsid w:val="59B349AF"/>
    <w:rsid w:val="5B0D1D90"/>
    <w:rsid w:val="5BA20F4B"/>
    <w:rsid w:val="5D9D0CB5"/>
    <w:rsid w:val="5DBF284D"/>
    <w:rsid w:val="5DEE2C89"/>
    <w:rsid w:val="5DF7498A"/>
    <w:rsid w:val="5F374940"/>
    <w:rsid w:val="5FADC39B"/>
    <w:rsid w:val="5FFF7E76"/>
    <w:rsid w:val="62015CA0"/>
    <w:rsid w:val="62AC16B4"/>
    <w:rsid w:val="62D53DC6"/>
    <w:rsid w:val="64D14752"/>
    <w:rsid w:val="658B0501"/>
    <w:rsid w:val="65F55E3E"/>
    <w:rsid w:val="667559C7"/>
    <w:rsid w:val="667B0509"/>
    <w:rsid w:val="66A75303"/>
    <w:rsid w:val="66D23153"/>
    <w:rsid w:val="66E634DC"/>
    <w:rsid w:val="678A7E49"/>
    <w:rsid w:val="680A32C5"/>
    <w:rsid w:val="68182CF8"/>
    <w:rsid w:val="68302705"/>
    <w:rsid w:val="685314C7"/>
    <w:rsid w:val="68A37D4F"/>
    <w:rsid w:val="68AD3802"/>
    <w:rsid w:val="6A0474F0"/>
    <w:rsid w:val="6A80630E"/>
    <w:rsid w:val="6A9A003E"/>
    <w:rsid w:val="6AEC4908"/>
    <w:rsid w:val="6AFC4426"/>
    <w:rsid w:val="6B3B7E32"/>
    <w:rsid w:val="6BA91EED"/>
    <w:rsid w:val="6C953563"/>
    <w:rsid w:val="6D3C6BF1"/>
    <w:rsid w:val="6D4A315A"/>
    <w:rsid w:val="6E6C7B25"/>
    <w:rsid w:val="6E70469F"/>
    <w:rsid w:val="6F80600E"/>
    <w:rsid w:val="6FA62E9D"/>
    <w:rsid w:val="6FE5BEFE"/>
    <w:rsid w:val="70544A5F"/>
    <w:rsid w:val="70D60562"/>
    <w:rsid w:val="725F0E65"/>
    <w:rsid w:val="734D0AE5"/>
    <w:rsid w:val="73B37B6B"/>
    <w:rsid w:val="74640A04"/>
    <w:rsid w:val="74C45F26"/>
    <w:rsid w:val="75094506"/>
    <w:rsid w:val="75116193"/>
    <w:rsid w:val="759B3535"/>
    <w:rsid w:val="75FD5028"/>
    <w:rsid w:val="76162D5F"/>
    <w:rsid w:val="764B1535"/>
    <w:rsid w:val="76514ADB"/>
    <w:rsid w:val="76572D6F"/>
    <w:rsid w:val="76A77B77"/>
    <w:rsid w:val="76BB021E"/>
    <w:rsid w:val="77AD1ABB"/>
    <w:rsid w:val="77DD6B9F"/>
    <w:rsid w:val="795E3324"/>
    <w:rsid w:val="79B458E1"/>
    <w:rsid w:val="79DA3723"/>
    <w:rsid w:val="7A2C5B9F"/>
    <w:rsid w:val="7A92129E"/>
    <w:rsid w:val="7B9E4E1E"/>
    <w:rsid w:val="7BFE97A8"/>
    <w:rsid w:val="7D507632"/>
    <w:rsid w:val="7D5A599A"/>
    <w:rsid w:val="7E083653"/>
    <w:rsid w:val="7E743147"/>
    <w:rsid w:val="7EE036B5"/>
    <w:rsid w:val="7FC0440C"/>
    <w:rsid w:val="7FF10366"/>
    <w:rsid w:val="7FFE7588"/>
    <w:rsid w:val="BFFAB738"/>
    <w:rsid w:val="DBAD8B7C"/>
    <w:rsid w:val="E8F253CC"/>
    <w:rsid w:val="EDEEB39A"/>
    <w:rsid w:val="EDFBED89"/>
    <w:rsid w:val="FEDCD00E"/>
    <w:rsid w:val="FF256D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before="0" w:beforeAutospacing="0" w:after="0" w:afterAutospacing="0" w:line="480" w:lineRule="auto"/>
      <w:ind w:left="0" w:right="0"/>
      <w:jc w:val="left"/>
    </w:pPr>
    <w:rPr>
      <w:rFonts w:hint="eastAsia" w:ascii="宋体" w:hAnsi="宋体" w:eastAsia="宋体" w:cs="宋体"/>
      <w:kern w:val="0"/>
      <w:sz w:val="32"/>
      <w:szCs w:val="32"/>
      <w:lang w:val="en-US" w:eastAsia="zh-CN" w:bidi="ar"/>
    </w:rPr>
  </w:style>
  <w:style w:type="paragraph" w:styleId="4">
    <w:name w:val="annotation text"/>
    <w:basedOn w:val="1"/>
    <w:qFormat/>
    <w:uiPriority w:val="0"/>
    <w:pPr>
      <w:jc w:val="left"/>
    </w:pPr>
  </w:style>
  <w:style w:type="paragraph" w:styleId="5">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6">
    <w:name w:val="footer"/>
    <w:basedOn w:val="1"/>
    <w:qFormat/>
    <w:uiPriority w:val="0"/>
    <w:pPr>
      <w:tabs>
        <w:tab w:val="center" w:pos="4153"/>
        <w:tab w:val="right" w:pos="8306"/>
      </w:tabs>
      <w:snapToGrid w:val="0"/>
    </w:pPr>
    <w:rPr>
      <w:sz w:val="18"/>
      <w:szCs w:val="18"/>
    </w:rPr>
  </w:style>
  <w:style w:type="paragraph" w:styleId="7">
    <w:name w:val="Normal (Web)"/>
    <w:basedOn w:val="1"/>
    <w:unhideWhenUsed/>
    <w:qFormat/>
    <w:uiPriority w:val="0"/>
    <w:pPr>
      <w:spacing w:before="100" w:beforeAutospacing="1" w:after="100" w:afterAutospacing="1"/>
    </w:pPr>
  </w:style>
  <w:style w:type="character" w:styleId="10">
    <w:name w:val="Strong"/>
    <w:basedOn w:val="9"/>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2025-10-16T01:14:00Z</dcterms:created>
  <dc:creator>Administrator</dc:creator>
  <cp:lastModifiedBy>Administrator</cp:lastModifiedBy>
  <dcterms:modified xsi:type="dcterms:W3CDTF">2025-10-24T06:19:10Z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