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kern w:val="0"/>
          <w:sz w:val="44"/>
          <w:szCs w:val="44"/>
          <w:shd w:val="clear" w:color="auto" w:fill="FFFFFF"/>
          <w:lang w:bidi="ar"/>
        </w:rPr>
      </w:pPr>
      <w:r>
        <w:rPr>
          <w:rFonts w:hint="eastAsia" w:ascii="方正小标宋_GBK" w:hAnsi="方正小标宋_GBK" w:eastAsia="方正小标宋_GBK" w:cs="方正小标宋_GBK"/>
          <w:b w:val="0"/>
          <w:bCs w:val="0"/>
          <w:kern w:val="0"/>
          <w:sz w:val="44"/>
          <w:szCs w:val="44"/>
          <w:shd w:val="clear" w:color="auto" w:fill="FFFFFF"/>
          <w:lang w:bidi="ar"/>
        </w:rPr>
        <w:t>重庆市綦江区永新镇三会卫生院</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kern w:val="0"/>
          <w:sz w:val="44"/>
          <w:szCs w:val="44"/>
          <w:shd w:val="clear" w:color="auto" w:fill="FFFFFF"/>
          <w:lang w:bidi="ar"/>
        </w:rPr>
      </w:pPr>
      <w:r>
        <w:rPr>
          <w:rFonts w:hint="default" w:ascii="方正小标宋_GBK" w:hAnsi="方正小标宋_GBK" w:eastAsia="方正小标宋_GBK" w:cs="方正小标宋_GBK"/>
          <w:b w:val="0"/>
          <w:bCs w:val="0"/>
          <w:kern w:val="0"/>
          <w:sz w:val="44"/>
          <w:szCs w:val="44"/>
          <w:shd w:val="clear" w:color="auto" w:fill="FFFFFF"/>
          <w:lang w:bidi="ar"/>
        </w:rPr>
        <w:t>202</w:t>
      </w:r>
      <w:r>
        <w:rPr>
          <w:rFonts w:hint="default" w:ascii="方正小标宋_GBK" w:hAnsi="方正小标宋_GBK" w:eastAsia="方正小标宋_GBK" w:cs="方正小标宋_GBK"/>
          <w:b w:val="0"/>
          <w:bCs w:val="0"/>
          <w:kern w:val="0"/>
          <w:sz w:val="44"/>
          <w:szCs w:val="44"/>
          <w:shd w:val="clear" w:color="auto" w:fill="FFFFFF"/>
          <w:lang w:val="en-US" w:eastAsia="zh-CN" w:bidi="ar"/>
        </w:rPr>
        <w:t>4</w:t>
      </w:r>
      <w:r>
        <w:rPr>
          <w:rFonts w:hint="eastAsia" w:ascii="方正小标宋_GBK" w:hAnsi="方正小标宋_GBK" w:eastAsia="方正小标宋_GBK" w:cs="方正小标宋_GBK"/>
          <w:b w:val="0"/>
          <w:bCs w:val="0"/>
          <w:kern w:val="0"/>
          <w:sz w:val="44"/>
          <w:szCs w:val="44"/>
          <w:shd w:val="clear" w:color="auto" w:fill="FFFFFF"/>
          <w:lang w:bidi="ar"/>
        </w:rPr>
        <w:t>年度决算说明</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Style w:val="7"/>
          <w:rFonts w:hint="eastAsia" w:ascii="Times New Roman" w:hAnsi="Times New Roman" w:eastAsia="方正黑体_GBK" w:cs="Times New Roman"/>
          <w:b w:val="0"/>
          <w:bCs w:val="0"/>
          <w:kern w:val="0"/>
          <w:sz w:val="32"/>
          <w:szCs w:val="32"/>
          <w:shd w:val="clear" w:color="auto" w:fill="FFFFFF"/>
          <w:lang w:bidi="ar"/>
        </w:rPr>
      </w:pP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default" w:ascii="Times New Roman" w:hAnsi="Times New Roman" w:eastAsia="方正黑体_GBK" w:cs="Times New Roman"/>
          <w:b w:val="0"/>
          <w:bCs w:val="0"/>
          <w:kern w:val="0"/>
          <w:sz w:val="32"/>
          <w:szCs w:val="32"/>
          <w:shd w:val="clear" w:color="auto" w:fill="FFFFFF"/>
          <w:lang w:bidi="ar"/>
        </w:rPr>
      </w:pPr>
      <w:r>
        <w:rPr>
          <w:rStyle w:val="7"/>
          <w:rFonts w:hint="default" w:ascii="Times New Roman" w:hAnsi="Times New Roman" w:eastAsia="方正黑体_GBK" w:cs="Times New Roman"/>
          <w:b w:val="0"/>
          <w:bCs w:val="0"/>
          <w:kern w:val="0"/>
          <w:sz w:val="32"/>
          <w:szCs w:val="32"/>
          <w:shd w:val="clear" w:color="auto" w:fill="FFFFFF"/>
          <w:lang w:bidi="ar"/>
        </w:rPr>
        <w:t>一、</w:t>
      </w:r>
      <w:r>
        <w:rPr>
          <w:rStyle w:val="7"/>
          <w:rFonts w:hint="eastAsia" w:ascii="Times New Roman" w:hAnsi="Times New Roman" w:eastAsia="方正黑体_GBK" w:cs="Times New Roman"/>
          <w:b w:val="0"/>
          <w:bCs w:val="0"/>
          <w:kern w:val="0"/>
          <w:sz w:val="32"/>
          <w:szCs w:val="32"/>
          <w:shd w:val="clear" w:color="auto" w:fill="FFFFFF"/>
          <w:lang w:eastAsia="zh-CN" w:bidi="ar"/>
        </w:rPr>
        <w:t>单位</w:t>
      </w:r>
      <w:r>
        <w:rPr>
          <w:rStyle w:val="7"/>
          <w:rFonts w:hint="default" w:ascii="Times New Roman" w:hAnsi="Times New Roman" w:eastAsia="方正黑体_GBK" w:cs="Times New Roman"/>
          <w:b w:val="0"/>
          <w:bCs w:val="0"/>
          <w:kern w:val="0"/>
          <w:sz w:val="32"/>
          <w:szCs w:val="32"/>
          <w:shd w:val="clear" w:color="auto" w:fill="FFFFFF"/>
          <w:lang w:bidi="ar"/>
        </w:rPr>
        <w:t>基本情况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default" w:ascii="Times New Roman" w:hAnsi="Times New Roman" w:eastAsia="方正楷体_GBK" w:cs="Times New Roman"/>
          <w:b w:val="0"/>
          <w:bCs w:val="0"/>
          <w:kern w:val="0"/>
          <w:sz w:val="32"/>
          <w:szCs w:val="32"/>
          <w:shd w:val="clear" w:color="auto" w:fill="FFFFFF"/>
          <w:lang w:bidi="ar"/>
        </w:rPr>
      </w:pPr>
      <w:r>
        <w:rPr>
          <w:rStyle w:val="7"/>
          <w:rFonts w:hint="default" w:ascii="Times New Roman" w:hAnsi="Times New Roman" w:eastAsia="方正楷体_GBK" w:cs="Times New Roman"/>
          <w:b w:val="0"/>
          <w:bCs w:val="0"/>
          <w:kern w:val="0"/>
          <w:sz w:val="32"/>
          <w:szCs w:val="32"/>
          <w:shd w:val="clear" w:color="auto" w:fill="FFFFFF"/>
          <w:lang w:bidi="ar"/>
        </w:rPr>
        <w:t>（一）职能职责</w:t>
      </w:r>
    </w:p>
    <w:p>
      <w:pPr>
        <w:keepNext w:val="0"/>
        <w:keepLines w:val="0"/>
        <w:pageBreakBefore w:val="0"/>
        <w:widowControl/>
        <w:suppressLineNumbers w:val="0"/>
        <w:kinsoku/>
        <w:wordWrap/>
        <w:overflowPunct/>
        <w:topLinePunct w:val="0"/>
        <w:autoSpaceDE w:val="0"/>
        <w:autoSpaceDN/>
        <w:bidi w:val="0"/>
        <w:adjustRightInd/>
        <w:snapToGrid/>
        <w:spacing w:after="0" w:afterAutospacing="0" w:line="560" w:lineRule="atLeast"/>
        <w:ind w:left="0" w:firstLine="640" w:firstLineChars="200"/>
        <w:jc w:val="both"/>
        <w:textAlignment w:val="auto"/>
        <w:rPr>
          <w:rFonts w:hint="default" w:ascii="Times New Roman" w:hAnsi="Times New Roman" w:eastAsia="方正仿宋_GBK" w:cs="Times New Roman"/>
          <w:b w:val="0"/>
          <w:bCs w:val="0"/>
          <w:kern w:val="2"/>
          <w:sz w:val="32"/>
          <w:szCs w:val="32"/>
        </w:rPr>
      </w:pPr>
      <w:bookmarkStart w:id="0" w:name="OLE_LINK4"/>
      <w:r>
        <w:rPr>
          <w:rFonts w:hint="default" w:ascii="Times New Roman" w:hAnsi="Times New Roman" w:eastAsia="方正仿宋_GBK" w:cs="Times New Roman"/>
          <w:b w:val="0"/>
          <w:bCs w:val="0"/>
          <w:kern w:val="2"/>
          <w:sz w:val="32"/>
          <w:szCs w:val="32"/>
        </w:rPr>
        <w:t>1.提供公共卫生服务。负责辖区内公卫全面工作，负责拟定基本公共卫生服务工作计划，并根据上级文件要求组织实施基本公共卫生项目和重大公共卫生项目服务；负责统筹乡村医生管理并定期指导、督导村卫生室工作。督导本院疾病预防控制工作、流行病学的调查及健康宣传；负责重点人群免费体检业务、预防接种、上级下达的指令性等任务。</w:t>
      </w:r>
    </w:p>
    <w:p>
      <w:pPr>
        <w:keepNext w:val="0"/>
        <w:keepLines w:val="0"/>
        <w:pageBreakBefore w:val="0"/>
        <w:widowControl/>
        <w:suppressLineNumbers w:val="0"/>
        <w:kinsoku/>
        <w:wordWrap/>
        <w:overflowPunct/>
        <w:topLinePunct w:val="0"/>
        <w:autoSpaceDE w:val="0"/>
        <w:autoSpaceDN/>
        <w:bidi w:val="0"/>
        <w:adjustRightInd/>
        <w:snapToGrid/>
        <w:spacing w:after="0" w:afterAutospacing="0" w:line="560" w:lineRule="atLeast"/>
        <w:ind w:lef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rPr>
        <w:t>2.提供基本医疗服务。正确处理常见病、多发病，对疑难重症进行恰</w:t>
      </w:r>
      <w:r>
        <w:rPr>
          <w:rFonts w:hint="eastAsia" w:ascii="Times New Roman" w:hAnsi="Times New Roman" w:eastAsia="方正仿宋_GBK" w:cs="Times New Roman"/>
          <w:b w:val="0"/>
          <w:bCs w:val="0"/>
          <w:kern w:val="2"/>
          <w:sz w:val="32"/>
          <w:szCs w:val="32"/>
          <w:lang w:eastAsia="zh-CN"/>
        </w:rPr>
        <w:t>当</w:t>
      </w:r>
      <w:r>
        <w:rPr>
          <w:rFonts w:hint="default" w:ascii="Times New Roman" w:hAnsi="Times New Roman" w:eastAsia="方正仿宋_GBK" w:cs="Times New Roman"/>
          <w:b w:val="0"/>
          <w:bCs w:val="0"/>
          <w:kern w:val="2"/>
          <w:sz w:val="32"/>
          <w:szCs w:val="32"/>
        </w:rPr>
        <w:t>的处理并转诊。承担辖区现场应急救护、转诊服务和康复服务；健全消毒、隔离制度，遵守无菌操作规程，加强医疗质量管理。做好医疗废物处理和污水、污物无害化处理；执行国家基本药物制度药品集中采购、零差率销售等政策，为实施一体化管理的村卫生室统一代购药品；提供政府卫生行政部门批准的其他适宜的医疗服务。</w:t>
      </w:r>
    </w:p>
    <w:bookmarkEnd w:id="0"/>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default" w:ascii="Times New Roman" w:hAnsi="Times New Roman" w:eastAsia="方正楷体_GBK" w:cs="Times New Roman"/>
          <w:b w:val="0"/>
          <w:bCs w:val="0"/>
          <w:kern w:val="0"/>
          <w:sz w:val="32"/>
          <w:szCs w:val="32"/>
          <w:shd w:val="clear" w:color="auto" w:fill="FFFFFF"/>
          <w:lang w:bidi="ar"/>
        </w:rPr>
      </w:pPr>
      <w:r>
        <w:rPr>
          <w:rStyle w:val="7"/>
          <w:rFonts w:hint="default" w:ascii="Times New Roman" w:hAnsi="Times New Roman" w:eastAsia="方正楷体_GBK" w:cs="Times New Roman"/>
          <w:b w:val="0"/>
          <w:bCs w:val="0"/>
          <w:kern w:val="0"/>
          <w:sz w:val="32"/>
          <w:szCs w:val="32"/>
          <w:shd w:val="clear" w:color="auto" w:fill="FFFFFF"/>
          <w:lang w:bidi="ar"/>
        </w:rPr>
        <w:t>（二）机构设置</w:t>
      </w:r>
    </w:p>
    <w:p>
      <w:pPr>
        <w:keepNext w:val="0"/>
        <w:keepLines w:val="0"/>
        <w:pageBreakBefore w:val="0"/>
        <w:widowControl w:val="0"/>
        <w:suppressLineNumbers w:val="0"/>
        <w:kinsoku/>
        <w:wordWrap/>
        <w:overflowPunct/>
        <w:topLinePunct w:val="0"/>
        <w:autoSpaceDE w:val="0"/>
        <w:autoSpaceDN/>
        <w:bidi w:val="0"/>
        <w:adjustRightInd/>
        <w:snapToGrid/>
        <w:spacing w:after="0" w:afterAutospacing="0" w:line="560" w:lineRule="atLeast"/>
        <w:ind w:left="0" w:firstLine="640" w:firstLineChars="200"/>
        <w:jc w:val="both"/>
        <w:textAlignment w:val="auto"/>
        <w:rPr>
          <w:rFonts w:hint="default" w:ascii="Times New Roman" w:hAnsi="Times New Roman" w:eastAsia="方正仿宋_GBK" w:cs="Times New Roman"/>
          <w:b w:val="0"/>
          <w:bCs w:val="0"/>
          <w:kern w:val="0"/>
          <w:sz w:val="32"/>
          <w:szCs w:val="32"/>
        </w:rPr>
      </w:pPr>
      <w:bookmarkStart w:id="1" w:name="OLE_LINK6"/>
      <w:r>
        <w:rPr>
          <w:rFonts w:hint="default" w:ascii="Times New Roman" w:hAnsi="Times New Roman" w:eastAsia="方正仿宋_GBK" w:cs="Times New Roman"/>
          <w:b w:val="0"/>
          <w:bCs w:val="0"/>
          <w:kern w:val="0"/>
          <w:sz w:val="32"/>
          <w:szCs w:val="32"/>
        </w:rPr>
        <w:t>本院下设科室4个，分别是门诊科室、住院部、康复科、检验科。</w:t>
      </w:r>
    </w:p>
    <w:p>
      <w:pPr>
        <w:pStyle w:val="2"/>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outlineLvl w:val="9"/>
        <w:rPr>
          <w:rFonts w:hint="default"/>
        </w:rPr>
      </w:pPr>
      <w:r>
        <w:rPr>
          <w:rFonts w:hint="default" w:ascii="Times New Roman" w:hAnsi="Times New Roman" w:eastAsia="方正仿宋_GBK" w:cs="Times New Roman"/>
          <w:b w:val="0"/>
          <w:bCs w:val="0"/>
          <w:kern w:val="0"/>
          <w:sz w:val="32"/>
          <w:szCs w:val="32"/>
          <w:lang w:val="en-US" w:eastAsia="zh-CN" w:bidi="ar"/>
        </w:rPr>
        <w:t>1、门诊科室。保障患者就诊更加便利，及时有效处理门急诊患者各类疾病。</w:t>
      </w:r>
      <w:r>
        <w:rPr>
          <w:rFonts w:hint="eastAsia" w:ascii="Times New Roman" w:hAnsi="Times New Roman" w:eastAsia="方正仿宋_GBK" w:cs="Times New Roman"/>
          <w:b w:val="0"/>
          <w:bCs w:val="0"/>
          <w:kern w:val="0"/>
          <w:sz w:val="32"/>
          <w:szCs w:val="32"/>
          <w:lang w:val="en-US" w:eastAsia="zh-CN" w:bidi="ar"/>
        </w:rPr>
        <w:br w:type="textWrapping"/>
      </w:r>
      <w:bookmarkStart w:id="2" w:name="OLE_LINK8"/>
      <w:r>
        <w:rPr>
          <w:rFonts w:hint="eastAsia" w:ascii="Times New Roman" w:hAnsi="Times New Roman" w:eastAsia="方正仿宋_GBK" w:cs="Times New Roman"/>
          <w:b w:val="0"/>
          <w:bCs w:val="0"/>
          <w:kern w:val="0"/>
          <w:sz w:val="32"/>
          <w:szCs w:val="32"/>
          <w:lang w:val="en-US" w:eastAsia="zh-CN" w:bidi="ar"/>
        </w:rPr>
        <w:t xml:space="preserve">    </w:t>
      </w:r>
      <w:bookmarkStart w:id="3" w:name="OLE_LINK9"/>
      <w:r>
        <w:rPr>
          <w:rFonts w:hint="eastAsia" w:ascii="Times New Roman" w:hAnsi="Times New Roman" w:eastAsia="方正仿宋_GBK" w:cs="Times New Roman"/>
          <w:b w:val="0"/>
          <w:bCs w:val="0"/>
          <w:kern w:val="0"/>
          <w:sz w:val="32"/>
          <w:szCs w:val="32"/>
          <w:lang w:val="en-US" w:eastAsia="zh-CN" w:bidi="ar"/>
        </w:rPr>
        <w:t>2</w:t>
      </w:r>
      <w:bookmarkEnd w:id="3"/>
      <w:r>
        <w:rPr>
          <w:rFonts w:hint="eastAsia" w:ascii="Times New Roman" w:hAnsi="Times New Roman" w:eastAsia="方正仿宋_GBK" w:cs="Times New Roman"/>
          <w:b w:val="0"/>
          <w:bCs w:val="0"/>
          <w:kern w:val="0"/>
          <w:sz w:val="32"/>
          <w:szCs w:val="32"/>
          <w:lang w:val="en-US" w:eastAsia="zh-CN" w:bidi="ar"/>
        </w:rPr>
        <w:t>、住院部。主要负责办理病人出入院业务，为病人提供有效服务，耐心解答病人提出的相关问题；认真负责完成住院结算工作；正确办理入院登记，为病人输入住院首页的相关内容。</w:t>
      </w:r>
      <w:r>
        <w:rPr>
          <w:rFonts w:hint="eastAsia" w:ascii="Times New Roman" w:hAnsi="Times New Roman" w:eastAsia="方正仿宋_GBK" w:cs="Times New Roman"/>
          <w:b w:val="0"/>
          <w:bCs w:val="0"/>
          <w:kern w:val="0"/>
          <w:sz w:val="32"/>
          <w:szCs w:val="32"/>
          <w:lang w:val="en-US" w:eastAsia="zh-CN" w:bidi="ar"/>
        </w:rPr>
        <w:br w:type="textWrapping"/>
      </w:r>
      <w:r>
        <w:rPr>
          <w:rFonts w:hint="eastAsia" w:ascii="Times New Roman" w:hAnsi="Times New Roman" w:eastAsia="方正仿宋_GBK" w:cs="Times New Roman"/>
          <w:b w:val="0"/>
          <w:bCs w:val="0"/>
          <w:kern w:val="0"/>
          <w:sz w:val="32"/>
          <w:szCs w:val="32"/>
          <w:lang w:val="en-US" w:eastAsia="zh-CN" w:bidi="ar"/>
        </w:rPr>
        <w:t xml:space="preserve">    3、康复科。负责病人的康复治疗及康复知识教育等。</w:t>
      </w:r>
      <w:r>
        <w:rPr>
          <w:rFonts w:hint="eastAsia" w:ascii="Times New Roman" w:hAnsi="Times New Roman" w:eastAsia="方正仿宋_GBK" w:cs="Times New Roman"/>
          <w:b w:val="0"/>
          <w:bCs w:val="0"/>
          <w:kern w:val="0"/>
          <w:sz w:val="32"/>
          <w:szCs w:val="32"/>
          <w:lang w:val="en-US" w:eastAsia="zh-CN" w:bidi="ar"/>
        </w:rPr>
        <w:br w:type="textWrapping"/>
      </w:r>
      <w:r>
        <w:rPr>
          <w:rFonts w:hint="eastAsia" w:ascii="Times New Roman" w:hAnsi="Times New Roman" w:eastAsia="方正仿宋_GBK" w:cs="Times New Roman"/>
          <w:b w:val="0"/>
          <w:bCs w:val="0"/>
          <w:kern w:val="0"/>
          <w:sz w:val="32"/>
          <w:szCs w:val="32"/>
          <w:lang w:val="en-US" w:eastAsia="zh-CN" w:bidi="ar"/>
        </w:rPr>
        <w:t xml:space="preserve">    4、检验科。主要负责对患者进行各种实验室检查，以帮助医生进行诊断和治疗方案的制定。</w:t>
      </w:r>
      <w:bookmarkEnd w:id="2"/>
    </w:p>
    <w:bookmarkEnd w:id="1"/>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default" w:ascii="Times New Roman" w:hAnsi="Times New Roman" w:eastAsia="方正黑体_GBK" w:cs="Times New Roman"/>
          <w:b w:val="0"/>
          <w:bCs w:val="0"/>
          <w:kern w:val="0"/>
          <w:sz w:val="32"/>
          <w:szCs w:val="32"/>
          <w:shd w:val="clear" w:color="auto" w:fill="FFFFFF"/>
          <w:lang w:bidi="ar"/>
        </w:rPr>
      </w:pPr>
      <w:r>
        <w:rPr>
          <w:rStyle w:val="7"/>
          <w:rFonts w:hint="default" w:ascii="Times New Roman" w:hAnsi="Times New Roman" w:eastAsia="方正黑体_GBK" w:cs="Times New Roman"/>
          <w:b w:val="0"/>
          <w:bCs w:val="0"/>
          <w:kern w:val="0"/>
          <w:sz w:val="32"/>
          <w:szCs w:val="32"/>
          <w:shd w:val="clear" w:color="auto" w:fill="FFFFFF"/>
          <w:lang w:bidi="ar"/>
        </w:rPr>
        <w:t>二、</w:t>
      </w:r>
      <w:r>
        <w:rPr>
          <w:rStyle w:val="7"/>
          <w:rFonts w:hint="eastAsia" w:ascii="Times New Roman" w:hAnsi="Times New Roman" w:eastAsia="方正黑体_GBK" w:cs="Times New Roman"/>
          <w:b w:val="0"/>
          <w:bCs w:val="0"/>
          <w:kern w:val="0"/>
          <w:sz w:val="32"/>
          <w:szCs w:val="32"/>
          <w:shd w:val="clear" w:color="auto" w:fill="FFFFFF"/>
          <w:lang w:eastAsia="zh-CN" w:bidi="ar"/>
        </w:rPr>
        <w:t>单位</w:t>
      </w:r>
      <w:r>
        <w:rPr>
          <w:rStyle w:val="7"/>
          <w:rFonts w:hint="default" w:ascii="Times New Roman" w:hAnsi="Times New Roman" w:eastAsia="方正黑体_GBK" w:cs="Times New Roman"/>
          <w:b w:val="0"/>
          <w:bCs w:val="0"/>
          <w:kern w:val="0"/>
          <w:sz w:val="32"/>
          <w:szCs w:val="32"/>
          <w:shd w:val="clear" w:color="auto" w:fill="FFFFFF"/>
          <w:lang w:bidi="ar"/>
        </w:rPr>
        <w:t>决算</w:t>
      </w:r>
      <w:r>
        <w:rPr>
          <w:rStyle w:val="7"/>
          <w:rFonts w:hint="eastAsia" w:ascii="Times New Roman" w:hAnsi="Times New Roman" w:eastAsia="方正黑体_GBK" w:cs="Times New Roman"/>
          <w:b w:val="0"/>
          <w:bCs w:val="0"/>
          <w:kern w:val="0"/>
          <w:sz w:val="32"/>
          <w:szCs w:val="32"/>
          <w:shd w:val="clear" w:color="auto" w:fill="FFFFFF"/>
          <w:lang w:eastAsia="zh-CN" w:bidi="ar"/>
        </w:rPr>
        <w:t>收支</w:t>
      </w:r>
      <w:r>
        <w:rPr>
          <w:rStyle w:val="7"/>
          <w:rFonts w:hint="default" w:ascii="Times New Roman" w:hAnsi="Times New Roman" w:eastAsia="方正黑体_GBK" w:cs="Times New Roman"/>
          <w:b w:val="0"/>
          <w:bCs w:val="0"/>
          <w:kern w:val="0"/>
          <w:sz w:val="32"/>
          <w:szCs w:val="32"/>
          <w:shd w:val="clear" w:color="auto" w:fill="FFFFFF"/>
          <w:lang w:bidi="ar"/>
        </w:rPr>
        <w:t>情况说明</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eastAsia" w:ascii="Times New Roman" w:hAnsi="Times New Roman" w:eastAsia="方正楷体_GBK" w:cs="Times New Roman"/>
          <w:b w:val="0"/>
          <w:bCs w:val="0"/>
          <w:kern w:val="0"/>
          <w:sz w:val="32"/>
          <w:szCs w:val="32"/>
          <w:shd w:val="clear" w:color="auto" w:fill="FFFFFF"/>
          <w:lang w:bidi="ar"/>
        </w:rPr>
      </w:pPr>
      <w:r>
        <w:rPr>
          <w:rStyle w:val="7"/>
          <w:rFonts w:hint="eastAsia" w:ascii="Times New Roman" w:hAnsi="Times New Roman" w:eastAsia="方正楷体_GBK" w:cs="Times New Roman"/>
          <w:b w:val="0"/>
          <w:bCs w:val="0"/>
          <w:kern w:val="0"/>
          <w:sz w:val="32"/>
          <w:szCs w:val="32"/>
          <w:shd w:val="clear" w:color="auto" w:fill="FFFFFF"/>
          <w:lang w:bidi="ar"/>
        </w:rPr>
        <w:t>（一）收入支出决算总体情况说明</w:t>
      </w:r>
    </w:p>
    <w:p>
      <w:pPr>
        <w:pStyle w:val="3"/>
        <w:keepNext w:val="0"/>
        <w:keepLines w:val="0"/>
        <w:pageBreakBefore w:val="0"/>
        <w:shd w:val="clear" w:color="auto" w:fill="FFFFFF"/>
        <w:kinsoku/>
        <w:wordWrap/>
        <w:overflowPunct/>
        <w:topLinePunct w:val="0"/>
        <w:autoSpaceDN/>
        <w:bidi w:val="0"/>
        <w:adjustRightInd/>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217.58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收、支与2023年度相比，增加19.18万元，增长9.7%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是医院门急诊人次增加，故医疗业务收入增加。</w:t>
      </w:r>
    </w:p>
    <w:p>
      <w:pPr>
        <w:pStyle w:val="3"/>
        <w:keepNext w:val="0"/>
        <w:keepLines w:val="0"/>
        <w:pageBreakBefore w:val="0"/>
        <w:shd w:val="clear" w:color="auto" w:fill="FFFFFF"/>
        <w:kinsoku/>
        <w:wordWrap/>
        <w:overflowPunct/>
        <w:topLinePunct w:val="0"/>
        <w:autoSpaceDN/>
        <w:bidi w:val="0"/>
        <w:adjustRightInd/>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7"/>
          <w:rFonts w:hint="eastAsia" w:eastAsia="方正仿宋_GBK"/>
          <w:b w:val="0"/>
          <w:bCs w:val="0"/>
          <w:kern w:val="0"/>
          <w:sz w:val="32"/>
          <w:szCs w:val="32"/>
          <w:shd w:val="clear" w:color="auto" w:fill="FFFFFF"/>
          <w:lang w:val="en-US" w:eastAsia="zh-CN" w:bidi="ar"/>
        </w:rPr>
        <w:t>1</w:t>
      </w:r>
      <w:r>
        <w:rPr>
          <w:rStyle w:val="7"/>
          <w:rFonts w:eastAsia="方正仿宋_GBK"/>
          <w:b w:val="0"/>
          <w:bCs w:val="0"/>
          <w:kern w:val="0"/>
          <w:sz w:val="32"/>
          <w:szCs w:val="32"/>
          <w:shd w:val="clear" w:color="auto" w:fill="FFFFFF"/>
          <w:lang w:val="en-US" w:eastAsia="zh-CN" w:bidi="ar"/>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与2023年度相比，增加19.18万元，增长9.7%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医疗业务收入增加。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163.28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75.1%</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7"/>
          <w:rFonts w:hint="eastAsia" w:eastAsia="方正仿宋_GBK"/>
          <w:b w:val="0"/>
          <w:bCs w:val="0"/>
          <w:kern w:val="0"/>
          <w:sz w:val="32"/>
          <w:szCs w:val="32"/>
          <w:shd w:val="clear" w:color="auto" w:fill="FFFFFF"/>
          <w:lang w:val="en-US" w:eastAsia="zh-CN" w:bidi="ar"/>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217.58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与2023年度相比，增加19.18万元，增长9.7%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医院药品费及材料费等支出增加。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217.58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（二）财政拨款收入支出决算总体情况说明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财政拨款收、支总计各增加5.6万元，增长11.5%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一般公共预算财政拨款收入增加。</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楷体_GBK" w:hAnsi="方正楷体_GBK" w:eastAsia="方正楷体_GBK" w:cs="方正楷体_GBK"/>
          <w:b w:val="0"/>
          <w:bCs w:val="0"/>
          <w:kern w:val="0"/>
          <w:sz w:val="32"/>
          <w:szCs w:val="32"/>
          <w:shd w:val="clear" w:fill="FFFFFF"/>
          <w:lang w:bidi="ar"/>
        </w:rPr>
      </w:pPr>
      <w:r>
        <w:rPr>
          <w:rStyle w:val="8"/>
          <w:rFonts w:hint="eastAsia" w:ascii="方正楷体_GBK" w:hAnsi="方正楷体_GBK" w:eastAsia="方正楷体_GBK" w:cs="方正楷体_GBK"/>
          <w:b w:val="0"/>
          <w:bCs w:val="0"/>
          <w:kern w:val="0"/>
          <w:sz w:val="32"/>
          <w:szCs w:val="32"/>
          <w:shd w:val="clear" w:fill="FFFFFF"/>
          <w:lang w:bidi="ar"/>
        </w:rPr>
        <w:t>（三）一般公共预算财政拨款收入支出决算情况说明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与2023年度相比，增加5.6万元，增长11.5%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其他行政事业单位养老支出增加。</w:t>
      </w:r>
      <w:r>
        <w:rPr>
          <w:rFonts w:hint="default" w:ascii="Times New Roman" w:hAnsi="Times New Roman" w:eastAsia="方正仿宋_GBK"/>
          <w:sz w:val="32"/>
          <w:szCs w:val="32"/>
          <w:shd w:val="clear" w:color="auto" w:fill="FFFFFF"/>
        </w:rPr>
        <w:t>较年初预算数增加2.56万元，增长5.0%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社保基数调整，养老保险及职业年金等社保费增加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与2023年度相比，增加5.6万元，增长11.5%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本年度一般公共预算财政拨款收入增加。</w:t>
      </w:r>
      <w:r>
        <w:rPr>
          <w:rFonts w:hint="default" w:ascii="Times New Roman" w:hAnsi="Times New Roman" w:eastAsia="方正仿宋_GBK"/>
          <w:sz w:val="32"/>
          <w:szCs w:val="32"/>
          <w:shd w:val="clear" w:color="auto" w:fill="FFFFFF"/>
        </w:rPr>
        <w:t>较年初预算数增加2.56万元，增长5.0%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主要原因是社保基数调整，养老保险及职业年金等社保费增加。</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较年初预算数增加2.56万元，增长14.9%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其他行政事业单位养老支出增加。</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eastAsia" w:ascii="Times New Roman" w:hAnsi="Times New Roman" w:eastAsia="方正楷体_GBK" w:cs="Times New Roman"/>
          <w:b w:val="0"/>
          <w:bCs w:val="0"/>
          <w:kern w:val="0"/>
          <w:sz w:val="32"/>
          <w:szCs w:val="32"/>
          <w:shd w:val="clear" w:color="auto" w:fill="FFFFFF"/>
          <w:lang w:bidi="ar"/>
        </w:rPr>
      </w:pPr>
      <w:r>
        <w:rPr>
          <w:rStyle w:val="7"/>
          <w:rFonts w:hint="eastAsia" w:ascii="Times New Roman" w:hAnsi="Times New Roman" w:eastAsia="方正楷体_GBK" w:cs="Times New Roman"/>
          <w:b w:val="0"/>
          <w:bCs w:val="0"/>
          <w:kern w:val="0"/>
          <w:sz w:val="32"/>
          <w:szCs w:val="32"/>
          <w:shd w:val="clear" w:color="auto" w:fill="FFFFFF"/>
          <w:lang w:bidi="ar"/>
        </w:rPr>
        <w:t>（四）一般公共预算财政拨款基本支出决算情况说明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与2023年度相比，增加5.6万元，增长11.5%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其他行政事业单位养老支出增加。</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保障在职人员工资福利、社会保险缴费及生</w:t>
      </w:r>
      <w:r>
        <w:rPr>
          <w:rFonts w:hint="eastAsia" w:ascii="Times New Roman" w:hAnsi="Times New Roman" w:eastAsia="方正仿宋_GBK" w:cs="Times New Roman"/>
          <w:sz w:val="32"/>
          <w:szCs w:val="32"/>
          <w:shd w:val="clear" w:color="auto" w:fill="FFFFFF"/>
          <w:lang w:eastAsia="zh-CN"/>
        </w:rPr>
        <w:t>活补助</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eastAsia" w:ascii="Times New Roman" w:hAnsi="Times New Roman" w:eastAsia="方正楷体_GBK" w:cs="Times New Roman"/>
          <w:b w:val="0"/>
          <w:bCs w:val="0"/>
          <w:kern w:val="0"/>
          <w:sz w:val="32"/>
          <w:szCs w:val="32"/>
          <w:shd w:val="clear" w:color="auto" w:fill="FFFFFF"/>
          <w:lang w:bidi="ar"/>
        </w:rPr>
      </w:pPr>
      <w:r>
        <w:rPr>
          <w:rStyle w:val="7"/>
          <w:rFonts w:hint="eastAsia" w:ascii="Times New Roman" w:hAnsi="Times New Roman" w:eastAsia="方正楷体_GBK" w:cs="Times New Roman"/>
          <w:b w:val="0"/>
          <w:bCs w:val="0"/>
          <w:kern w:val="0"/>
          <w:sz w:val="32"/>
          <w:szCs w:val="32"/>
          <w:shd w:val="clear" w:color="auto" w:fill="FFFFFF"/>
          <w:lang w:bidi="ar"/>
        </w:rPr>
        <w:t>（五）政府性基金预算收支决算情况说明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2024年度无政府性基金预算财政拨款收支。</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7"/>
          <w:rFonts w:hint="eastAsia" w:ascii="Times New Roman" w:hAnsi="Times New Roman" w:eastAsia="方正楷体_GBK" w:cs="Times New Roman"/>
          <w:b w:val="0"/>
          <w:bCs w:val="0"/>
          <w:kern w:val="0"/>
          <w:sz w:val="32"/>
          <w:szCs w:val="32"/>
          <w:shd w:val="clear" w:color="auto" w:fill="FFFFFF"/>
          <w:lang w:bidi="ar"/>
        </w:rPr>
      </w:pPr>
      <w:r>
        <w:rPr>
          <w:rStyle w:val="7"/>
          <w:rFonts w:hint="eastAsia" w:ascii="Times New Roman" w:hAnsi="Times New Roman" w:eastAsia="方正楷体_GBK" w:cs="Times New Roman"/>
          <w:b w:val="0"/>
          <w:bCs w:val="0"/>
          <w:kern w:val="0"/>
          <w:sz w:val="32"/>
          <w:szCs w:val="32"/>
          <w:shd w:val="clear" w:color="auto" w:fill="FFFFFF"/>
          <w:lang w:bidi="ar"/>
        </w:rPr>
        <w:t>（六）国有资本经营预算财政拨款支出决算情况说明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Style w:val="8"/>
          <w:rFonts w:hint="default"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bidi="ar"/>
        </w:rPr>
        <w:t>三、</w:t>
      </w:r>
      <w:r>
        <w:rPr>
          <w:rStyle w:val="8"/>
          <w:rFonts w:hint="eastAsia" w:ascii="方正黑体_GBK" w:hAnsi="方正黑体_GBK" w:eastAsia="方正黑体_GBK" w:cs="方正黑体_GBK"/>
          <w:b w:val="0"/>
          <w:bCs w:val="0"/>
          <w:kern w:val="0"/>
          <w:sz w:val="32"/>
          <w:szCs w:val="32"/>
          <w:shd w:val="clear" w:fill="FFFFFF"/>
          <w:lang w:eastAsia="zh-CN" w:bidi="ar"/>
        </w:rPr>
        <w:t>财政拨款</w:t>
      </w:r>
      <w:r>
        <w:rPr>
          <w:rStyle w:val="8"/>
          <w:rFonts w:hint="eastAsia" w:ascii="方正黑体_GBK" w:hAnsi="方正黑体_GBK" w:eastAsia="方正黑体_GBK" w:cs="方正黑体_GBK"/>
          <w:b w:val="0"/>
          <w:bCs w:val="0"/>
          <w:kern w:val="0"/>
          <w:sz w:val="32"/>
          <w:szCs w:val="32"/>
          <w:shd w:val="clear" w:fill="FFFFFF"/>
          <w:lang w:bidi="ar"/>
        </w:rPr>
        <w:t>“三公”经费情况说明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我单位属于</w:t>
      </w:r>
      <w:r>
        <w:rPr>
          <w:rFonts w:hint="eastAsia" w:ascii="Times New Roman" w:hAnsi="Times New Roman" w:eastAsia="方正仿宋_GBK"/>
          <w:sz w:val="32"/>
          <w:szCs w:val="32"/>
          <w:shd w:val="clear" w:color="auto" w:fill="FFFFFF"/>
          <w:lang w:eastAsia="zh-CN"/>
        </w:rPr>
        <w:t>差额拨款事业单位</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未使用财政资金保障</w:t>
      </w:r>
      <w:r>
        <w:rPr>
          <w:rFonts w:hint="default" w:ascii="Times New Roman" w:hAnsi="Times New Roman" w:eastAsia="方正仿宋_GBK"/>
          <w:sz w:val="32"/>
          <w:szCs w:val="32"/>
          <w:shd w:val="clear" w:color="auto" w:fill="FFFFFF"/>
        </w:rPr>
        <w:t>“三公”经费。</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（一）“三公”经费支出总体情况说明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（二）“三公”经费分项支出情况</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（三）“三公”经费实物量情况</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default"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bidi="ar"/>
        </w:rPr>
        <w:t>四、其他需要说明的事项</w:t>
      </w:r>
    </w:p>
    <w:p>
      <w:pPr>
        <w:pStyle w:val="9"/>
        <w:keepNext w:val="0"/>
        <w:keepLines w:val="0"/>
        <w:pageBreakBefore w:val="0"/>
        <w:kinsoku/>
        <w:wordWrap/>
        <w:overflowPunct/>
        <w:topLinePunct w:val="0"/>
        <w:autoSpaceDE w:val="0"/>
        <w:autoSpaceDN/>
        <w:bidi w:val="0"/>
        <w:adjustRightInd/>
        <w:spacing w:line="560" w:lineRule="atLeast"/>
        <w:ind w:firstLine="643"/>
        <w:textAlignment w:val="auto"/>
        <w:rPr>
          <w:rStyle w:val="8"/>
          <w:rFonts w:hint="default"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（一）财政拨款会议费、培训费和差旅费情况说明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本单位属于差额拨款事业单位</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w:t>
      </w:r>
      <w:r>
        <w:rPr>
          <w:rFonts w:hint="default" w:ascii="方正仿宋_GBK" w:hAnsi="方正仿宋_GBK" w:eastAsia="方正仿宋_GBK" w:cs="方正仿宋_GBK"/>
          <w:sz w:val="32"/>
          <w:szCs w:val="32"/>
          <w:shd w:val="clear" w:color="auto" w:fill="FFFFFF"/>
        </w:rPr>
        <w:t>旅费。</w:t>
      </w:r>
    </w:p>
    <w:p>
      <w:pPr>
        <w:pStyle w:val="9"/>
        <w:keepNext w:val="0"/>
        <w:keepLines w:val="0"/>
        <w:pageBreakBefore w:val="0"/>
        <w:kinsoku/>
        <w:wordWrap/>
        <w:overflowPunct/>
        <w:topLinePunct w:val="0"/>
        <w:autoSpaceDE w:val="0"/>
        <w:autoSpaceDN/>
        <w:bidi w:val="0"/>
        <w:adjustRightInd/>
        <w:spacing w:line="560" w:lineRule="atLeast"/>
        <w:ind w:firstLine="643"/>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（二）机关运行经费情况说明</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outlineLvl w:val="9"/>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line="560" w:lineRule="atLeast"/>
        <w:ind w:firstLine="643"/>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（三）国有资产占用情况说明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leftChars="0" w:right="0" w:rightChars="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因三会卫生院未进行单独会计核算，三会卫生院固定资产与永新卫生院固定资产合并到永新卫生院资产账号进行管理，我单位资产未单独进行资产管理。</w:t>
      </w:r>
    </w:p>
    <w:p>
      <w:pPr>
        <w:pStyle w:val="9"/>
        <w:keepNext w:val="0"/>
        <w:keepLines w:val="0"/>
        <w:pageBreakBefore w:val="0"/>
        <w:kinsoku/>
        <w:wordWrap/>
        <w:overflowPunct/>
        <w:topLinePunct w:val="0"/>
        <w:autoSpaceDE w:val="0"/>
        <w:autoSpaceDN/>
        <w:bidi w:val="0"/>
        <w:adjustRightInd/>
        <w:spacing w:line="560" w:lineRule="atLeast"/>
        <w:ind w:firstLine="643"/>
        <w:textAlignment w:val="auto"/>
        <w:rPr>
          <w:rStyle w:val="8"/>
          <w:rFonts w:hint="eastAsia" w:ascii="方正楷体_GBK" w:hAnsi="方正楷体_GBK" w:eastAsia="方正楷体_GBK" w:cs="方正楷体_GBK"/>
          <w:b w:val="0"/>
          <w:bCs w:val="0"/>
          <w:kern w:val="0"/>
          <w:sz w:val="32"/>
          <w:szCs w:val="32"/>
          <w:shd w:val="clear" w:fill="FFFFFF"/>
          <w:lang w:val="en-US" w:eastAsia="zh-CN" w:bidi="ar"/>
        </w:rPr>
      </w:pPr>
      <w:r>
        <w:rPr>
          <w:rStyle w:val="8"/>
          <w:rFonts w:hint="eastAsia" w:ascii="方正楷体_GBK" w:hAnsi="方正楷体_GBK" w:eastAsia="方正楷体_GBK" w:cs="方正楷体_GBK"/>
          <w:b w:val="0"/>
          <w:bCs w:val="0"/>
          <w:kern w:val="0"/>
          <w:sz w:val="32"/>
          <w:szCs w:val="32"/>
          <w:shd w:val="clear" w:fill="FFFFFF"/>
          <w:lang w:val="en-US" w:eastAsia="zh-CN" w:bidi="ar"/>
        </w:rPr>
        <w:t>（四）政府采购支出情况说明</w:t>
      </w:r>
    </w:p>
    <w:p>
      <w:pPr>
        <w:pStyle w:val="3"/>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Style w:val="8"/>
          <w:rFonts w:hint="eastAsia" w:ascii="方正黑体_GBK" w:hAnsi="方正黑体_GBK" w:eastAsia="方正黑体_GBK" w:cs="方正黑体_GBK"/>
          <w:b w:val="0"/>
          <w:bCs w:val="0"/>
          <w:kern w:val="0"/>
          <w:sz w:val="32"/>
          <w:szCs w:val="32"/>
          <w:shd w:val="clear" w:fill="FFFFFF"/>
          <w:lang w:val="en-US" w:eastAsia="zh-CN"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五、</w:t>
      </w:r>
      <w:r>
        <w:rPr>
          <w:rFonts w:hint="eastAsia" w:ascii="Times New Roman" w:hAnsi="Times New Roman" w:eastAsia="方正仿宋_GBK" w:cs="宋体"/>
          <w:color w:val="auto"/>
          <w:kern w:val="0"/>
          <w:sz w:val="32"/>
          <w:szCs w:val="32"/>
          <w:lang w:val="en-US" w:eastAsia="zh-CN" w:bidi="ar"/>
        </w:rPr>
        <w:t>2024</w:t>
      </w:r>
      <w:r>
        <w:rPr>
          <w:rStyle w:val="8"/>
          <w:rFonts w:hint="eastAsia" w:ascii="方正黑体_GBK" w:hAnsi="方正黑体_GBK" w:eastAsia="方正黑体_GBK" w:cs="方正黑体_GBK"/>
          <w:b w:val="0"/>
          <w:bCs w:val="0"/>
          <w:kern w:val="0"/>
          <w:sz w:val="32"/>
          <w:szCs w:val="32"/>
          <w:shd w:val="clear" w:fill="FFFFFF"/>
          <w:lang w:val="en-US" w:eastAsia="zh-CN" w:bidi="ar"/>
        </w:rPr>
        <w:t>年度预算绩效管理情况说明</w:t>
      </w:r>
    </w:p>
    <w:p>
      <w:pPr>
        <w:pStyle w:val="10"/>
        <w:keepNext w:val="0"/>
        <w:keepLines w:val="0"/>
        <w:pageBreakBefore w:val="0"/>
        <w:widowControl/>
        <w:suppressLineNumbers w:val="0"/>
        <w:tabs>
          <w:tab w:val="center" w:pos="4153"/>
          <w:tab w:val="left" w:pos="7275"/>
        </w:tabs>
        <w:kinsoku/>
        <w:wordWrap/>
        <w:overflowPunct/>
        <w:topLinePunct w:val="0"/>
        <w:autoSpaceDN/>
        <w:bidi w:val="0"/>
        <w:adjustRightInd/>
        <w:spacing w:before="0" w:beforeAutospacing="0" w:after="0" w:afterAutospacing="0" w:line="560" w:lineRule="atLeast"/>
        <w:ind w:left="0" w:right="0" w:firstLine="640"/>
        <w:jc w:val="left"/>
        <w:textAlignment w:val="auto"/>
        <w:rPr>
          <w:rFonts w:hint="eastAsia" w:ascii="楷体" w:hAnsi="楷体" w:eastAsia="楷体" w:cs="楷体"/>
          <w:b/>
          <w:bCs/>
          <w:kern w:val="0"/>
          <w:sz w:val="32"/>
          <w:szCs w:val="32"/>
          <w:shd w:val="clear" w:fill="FFFFFF"/>
        </w:rPr>
      </w:pPr>
      <w:r>
        <w:rPr>
          <w:rFonts w:hint="eastAsia" w:ascii="方正楷体_GBK" w:hAnsi="宋体" w:eastAsia="方正楷体_GBK" w:cs="宋体"/>
          <w:kern w:val="0"/>
          <w:sz w:val="32"/>
          <w:szCs w:val="32"/>
          <w:lang w:bidi="ar-SA"/>
        </w:rPr>
        <w:t>（一）单位自评情况</w:t>
      </w:r>
    </w:p>
    <w:p>
      <w:pPr>
        <w:pStyle w:val="10"/>
        <w:keepNext w:val="0"/>
        <w:keepLines w:val="0"/>
        <w:pageBreakBefore w:val="0"/>
        <w:tabs>
          <w:tab w:val="center" w:pos="4153"/>
          <w:tab w:val="left" w:pos="7275"/>
        </w:tabs>
        <w:kinsoku/>
        <w:wordWrap/>
        <w:overflowPunct/>
        <w:topLinePunct w:val="0"/>
        <w:autoSpaceDN/>
        <w:bidi w:val="0"/>
        <w:adjustRightInd/>
        <w:spacing w:line="560" w:lineRule="atLeast"/>
        <w:ind w:firstLine="64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宋体"/>
          <w:color w:val="auto"/>
          <w:kern w:val="0"/>
          <w:sz w:val="32"/>
          <w:szCs w:val="32"/>
        </w:rPr>
        <w:t>根据预算绩效管理要求，我单位对</w:t>
      </w:r>
      <w:r>
        <w:rPr>
          <w:rFonts w:hint="eastAsia" w:ascii="Times New Roman" w:hAnsi="Times New Roman" w:eastAsia="方正仿宋_GBK" w:cs="宋体"/>
          <w:color w:val="auto"/>
          <w:kern w:val="0"/>
          <w:sz w:val="32"/>
          <w:szCs w:val="32"/>
          <w:lang w:val="en-US" w:eastAsia="zh-CN"/>
        </w:rPr>
        <w:t>0</w:t>
      </w:r>
      <w:r>
        <w:rPr>
          <w:rFonts w:hint="eastAsia" w:ascii="Times New Roman" w:hAnsi="Times New Roman" w:eastAsia="方正仿宋_GBK" w:cs="宋体"/>
          <w:color w:val="auto"/>
          <w:kern w:val="0"/>
          <w:sz w:val="32"/>
          <w:szCs w:val="32"/>
        </w:rPr>
        <w:t>个项目开展了绩效自评，其中，以填报自评表形式开展自评</w:t>
      </w:r>
      <w:r>
        <w:rPr>
          <w:rFonts w:hint="eastAsia" w:ascii="Times New Roman" w:hAnsi="Times New Roman" w:eastAsia="方正仿宋_GBK" w:cs="宋体"/>
          <w:color w:val="auto"/>
          <w:kern w:val="0"/>
          <w:sz w:val="32"/>
          <w:szCs w:val="32"/>
          <w:lang w:val="en-US" w:eastAsia="zh-CN"/>
        </w:rPr>
        <w:t>0</w:t>
      </w:r>
      <w:r>
        <w:rPr>
          <w:rFonts w:hint="eastAsia" w:ascii="Times New Roman" w:hAnsi="Times New Roman" w:eastAsia="方正仿宋_GBK" w:cs="宋体"/>
          <w:color w:val="auto"/>
          <w:kern w:val="0"/>
          <w:sz w:val="32"/>
          <w:szCs w:val="32"/>
        </w:rPr>
        <w:t>项，涉及资金</w:t>
      </w:r>
      <w:r>
        <w:rPr>
          <w:rFonts w:hint="eastAsia" w:ascii="Times New Roman" w:hAnsi="Times New Roman" w:eastAsia="方正仿宋_GBK" w:cs="宋体"/>
          <w:color w:val="auto"/>
          <w:kern w:val="0"/>
          <w:sz w:val="32"/>
          <w:szCs w:val="32"/>
          <w:lang w:val="en-US" w:eastAsia="zh-CN"/>
        </w:rPr>
        <w:t>0</w:t>
      </w:r>
      <w:r>
        <w:rPr>
          <w:rFonts w:hint="eastAsia" w:ascii="Times New Roman" w:hAnsi="Times New Roman" w:eastAsia="方正仿宋_GBK" w:cs="宋体"/>
          <w:color w:val="auto"/>
          <w:kern w:val="0"/>
          <w:sz w:val="32"/>
          <w:szCs w:val="32"/>
        </w:rPr>
        <w:t>万元。</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（二）绩效自评结果</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1.绩效目标自评表</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公开报表</w:t>
      </w:r>
      <w:r>
        <w:rPr>
          <w:rFonts w:hint="eastAsia" w:ascii="Times New Roman" w:hAnsi="Times New Roman" w:eastAsia="方正仿宋_GBK" w:cs="宋体"/>
          <w:color w:val="auto"/>
          <w:kern w:val="0"/>
          <w:sz w:val="32"/>
          <w:szCs w:val="32"/>
        </w:rPr>
        <w:t>。</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2.绩效自评报告或案例</w:t>
      </w:r>
    </w:p>
    <w:p>
      <w:pPr>
        <w:pStyle w:val="10"/>
        <w:keepNext w:val="0"/>
        <w:keepLines w:val="0"/>
        <w:pageBreakBefore w:val="0"/>
        <w:widowControl/>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无。</w:t>
      </w:r>
    </w:p>
    <w:p>
      <w:pPr>
        <w:pStyle w:val="10"/>
        <w:keepNext w:val="0"/>
        <w:keepLines w:val="0"/>
        <w:pageBreakBefore w:val="0"/>
        <w:tabs>
          <w:tab w:val="center" w:pos="4153"/>
          <w:tab w:val="left" w:pos="7275"/>
        </w:tabs>
        <w:kinsoku/>
        <w:wordWrap/>
        <w:overflowPunct/>
        <w:topLinePunct w:val="0"/>
        <w:autoSpaceDN/>
        <w:bidi w:val="0"/>
        <w:adjustRightInd/>
        <w:spacing w:line="560" w:lineRule="atLeas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3.关于绩效自评结果的说明。</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我单位无项目支出，故无绩效自评表</w:t>
      </w:r>
      <w:bookmarkStart w:id="4" w:name="_GoBack"/>
      <w:bookmarkEnd w:id="4"/>
      <w:r>
        <w:rPr>
          <w:rFonts w:hint="eastAsia" w:ascii="方正仿宋_GBK" w:hAnsi="方正仿宋_GBK" w:eastAsia="方正仿宋_GBK" w:cs="方正仿宋_GBK"/>
          <w:b w:val="0"/>
          <w:bCs w:val="0"/>
          <w:kern w:val="0"/>
          <w:sz w:val="32"/>
          <w:szCs w:val="32"/>
          <w:lang w:val="en-US" w:eastAsia="zh-CN"/>
        </w:rPr>
        <w:t>。</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rightChars="0" w:firstLine="640" w:firstLineChars="20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楷体_GBK" w:cs="方正楷体_GBK"/>
          <w:color w:val="auto"/>
          <w:kern w:val="2"/>
          <w:sz w:val="32"/>
          <w:szCs w:val="32"/>
          <w:lang w:val="en-US" w:eastAsia="zh-CN"/>
        </w:rPr>
        <w:t>（三）重点绩效评价结果</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atLeast"/>
        <w:ind w:left="0" w:firstLine="640" w:firstLineChars="200"/>
        <w:jc w:val="both"/>
        <w:textAlignment w:val="auto"/>
        <w:rPr>
          <w:rStyle w:val="11"/>
          <w:rFonts w:hint="eastAsia" w:ascii="方正仿宋_GBK" w:hAnsi="方正仿宋_GBK" w:eastAsia="方正仿宋_GBK" w:cs="方正仿宋_GBK"/>
          <w:b/>
          <w:bCs/>
          <w:sz w:val="32"/>
          <w:szCs w:val="32"/>
          <w:shd w:val="clear" w:fill="FFFFFF"/>
          <w:lang w:val="en-US" w:eastAsia="zh-CN"/>
        </w:rPr>
      </w:pPr>
      <w:r>
        <w:rPr>
          <w:rFonts w:hint="eastAsia" w:ascii="方正仿宋_GBK" w:hAnsi="方正仿宋_GBK" w:eastAsia="方正仿宋_GBK" w:cs="方正仿宋_GBK"/>
          <w:b w:val="0"/>
          <w:bCs w:val="0"/>
          <w:kern w:val="0"/>
          <w:sz w:val="32"/>
          <w:szCs w:val="32"/>
          <w:lang w:eastAsia="zh-CN"/>
        </w:rPr>
        <w:t>无。</w:t>
      </w:r>
    </w:p>
    <w:p>
      <w:pPr>
        <w:pStyle w:val="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atLeast"/>
        <w:textAlignment w:val="auto"/>
        <w:rPr>
          <w:rStyle w:val="8"/>
          <w:rFonts w:hint="eastAsia" w:ascii="方正黑体_GBK" w:hAnsi="方正黑体_GBK" w:eastAsia="方正黑体_GBK" w:cs="方正黑体_GBK"/>
          <w:b w:val="0"/>
          <w:bCs w:val="0"/>
          <w:kern w:val="0"/>
          <w:sz w:val="32"/>
          <w:szCs w:val="32"/>
          <w:shd w:val="clear" w:fill="FFFFFF"/>
          <w:lang w:bidi="ar"/>
        </w:rPr>
      </w:pP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方正黑体_GBK" w:hAnsi="方正黑体_GBK" w:eastAsia="方正黑体_GBK" w:cs="方正黑体_GBK"/>
          <w:b w:val="0"/>
          <w:bCs w:val="0"/>
          <w:kern w:val="0"/>
          <w:sz w:val="32"/>
          <w:szCs w:val="32"/>
          <w:shd w:val="clear" w:fill="FFFFFF"/>
          <w:lang w:val="en-US" w:eastAsia="zh-CN" w:bidi="ar"/>
        </w:rPr>
        <w:t xml:space="preserve"> 六、专业名词解释</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（五）使用非财政拨款结余（含专用结余）：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right="0"/>
        <w:jc w:val="both"/>
        <w:textAlignment w:val="auto"/>
        <w:rPr>
          <w:rStyle w:val="8"/>
          <w:rFonts w:hint="eastAsia" w:ascii="方正黑体_GBK" w:hAnsi="方正黑体_GBK" w:eastAsia="方正黑体_GBK" w:cs="方正黑体_GBK"/>
          <w:b w:val="0"/>
          <w:bCs w:val="0"/>
          <w:kern w:val="0"/>
          <w:sz w:val="32"/>
          <w:szCs w:val="32"/>
          <w:shd w:val="clear" w:fill="FFFFFF"/>
          <w:lang w:bidi="ar"/>
        </w:rPr>
      </w:pPr>
      <w:r>
        <w:rPr>
          <w:rStyle w:val="8"/>
          <w:rFonts w:hint="eastAsia" w:ascii="方正黑体_GBK" w:hAnsi="方正黑体_GBK" w:eastAsia="方正黑体_GBK" w:cs="方正黑体_GBK"/>
          <w:b w:val="0"/>
          <w:bCs w:val="0"/>
          <w:kern w:val="0"/>
          <w:sz w:val="32"/>
          <w:szCs w:val="32"/>
          <w:shd w:val="clear" w:fill="FFFFFF"/>
          <w:lang w:val="en-US" w:eastAsia="zh-CN" w:bidi="ar"/>
        </w:rPr>
        <w:t>七、决算公开联系方式及信息反馈渠道</w:t>
      </w:r>
    </w:p>
    <w:p>
      <w:pPr>
        <w:pStyle w:val="9"/>
        <w:keepNext w:val="0"/>
        <w:keepLines w:val="0"/>
        <w:pageBreakBefore w:val="0"/>
        <w:widowControl/>
        <w:kinsoku/>
        <w:wordWrap/>
        <w:overflowPunct/>
        <w:topLinePunct w:val="0"/>
        <w:autoSpaceDE w:val="0"/>
        <w:autoSpaceDN/>
        <w:bidi w:val="0"/>
        <w:adjustRightInd/>
        <w:snapToGrid/>
        <w:spacing w:line="560" w:lineRule="atLeast"/>
        <w:ind w:firstLine="640" w:firstLineChars="200"/>
        <w:textAlignment w:val="auto"/>
        <w:outlineLvl w:val="9"/>
        <w:rPr>
          <w:rFonts w:hint="default"/>
          <w:lang w:val="en-US"/>
        </w:rPr>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val="en-US" w:eastAsia="zh-CN" w:bidi="ar"/>
        </w:rPr>
        <w:t>023-4846</w:t>
      </w:r>
      <w:r>
        <w:rPr>
          <w:rFonts w:hint="eastAsia" w:ascii="Times New Roman" w:hAnsi="Times New Roman" w:eastAsia="方正仿宋_GBK" w:cs="Times New Roman"/>
          <w:b w:val="0"/>
          <w:bCs w:val="0"/>
          <w:kern w:val="0"/>
          <w:sz w:val="32"/>
          <w:szCs w:val="32"/>
          <w:shd w:val="clear" w:fill="FFFFFF"/>
          <w:lang w:val="en-US" w:eastAsia="zh-CN" w:bidi="ar"/>
        </w:rPr>
        <w:t>2757</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ascii="方正仿宋_GBK" w:hAnsi="方正仿宋_GBK" w:eastAsia="方正仿宋_GBK" w:cs="方正仿宋_GBK"/>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333DC"/>
    <w:rsid w:val="0CDF50DD"/>
    <w:rsid w:val="14020791"/>
    <w:rsid w:val="2DC333DC"/>
    <w:rsid w:val="65D9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jc w:val="left"/>
    </w:pPr>
    <w:rPr>
      <w:rFonts w:hint="eastAsia" w:ascii="宋体" w:hAnsi="宋体" w:eastAsia="宋体" w:cs="Times New Roman"/>
      <w:kern w:val="0"/>
      <w:sz w:val="32"/>
      <w:szCs w:val="32"/>
    </w:rPr>
  </w:style>
  <w:style w:type="paragraph" w:styleId="3">
    <w:name w:val="Normal (Web)"/>
    <w:basedOn w:val="1"/>
    <w:unhideWhenUsed/>
    <w:qFormat/>
    <w:uiPriority w:val="0"/>
    <w:pPr>
      <w:spacing w:before="100" w:beforeAutospacing="1" w:after="100" w:afterAutospacing="1"/>
    </w:pPr>
  </w:style>
  <w:style w:type="paragraph" w:customStyle="1" w:styleId="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7">
    <w:name w:val="19"/>
    <w:basedOn w:val="5"/>
    <w:qFormat/>
    <w:uiPriority w:val="0"/>
    <w:rPr>
      <w:rFonts w:hint="default" w:ascii="Times New Roman" w:hAnsi="Times New Roman" w:cs="Times New Roman"/>
      <w:b/>
      <w:bCs/>
    </w:rPr>
  </w:style>
  <w:style w:type="character" w:customStyle="1" w:styleId="8">
    <w:name w:val="22"/>
    <w:basedOn w:val="5"/>
    <w:qFormat/>
    <w:uiPriority w:val="0"/>
    <w:rPr>
      <w:rFonts w:hint="default" w:ascii="Times New Roman" w:hAnsi="Times New Roman" w:cs="Times New Roman"/>
      <w:b/>
      <w:bCs/>
    </w:rPr>
  </w:style>
  <w:style w:type="paragraph" w:customStyle="1" w:styleId="9">
    <w:name w:val="列出段落1"/>
    <w:basedOn w:val="1"/>
    <w:qFormat/>
    <w:uiPriority w:val="99"/>
    <w:pPr>
      <w:ind w:firstLine="420" w:firstLineChars="200"/>
    </w:pPr>
    <w:rPr>
      <w:rFonts w:hint="default"/>
    </w:rPr>
  </w:style>
  <w:style w:type="paragraph" w:customStyle="1" w:styleId="1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1">
    <w:name w:val="21"/>
    <w:basedOn w:val="5"/>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2025-10-22T08:14:00Z</dcterms:created>
  <dc:creator>翼</dc:creator>
  <cp:lastModifiedBy>Administrator</cp:lastModifiedBy>
  <dcterms:modified xsi:type="dcterms:W3CDTF">2025-10-28T06:27:18Z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DC2615A32E7943B89FAD47DF07DD047F_11</vt:lpwstr>
  </property>
  <property fmtid="{D5CDD505-2E9C-101B-9397-08002B2CF9AE}" pid="4" name="KSOTemplateDocerSaveRecord">
    <vt:lpwstr>eyJoZGlkIjoiYWU2MzE1NGUzM2Y3NGNjMzIyYTZmNGE2NzFiYmYyZTMiLCJ1c2VySWQiOiIyNDEzOTgxNjgifQ==</vt:lpwstr>
  </property>
</Properties>
</file>