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line="560" w:lineRule="exact"/>
        <w:jc w:val="center"/>
        <w:rPr>
          <w:rFonts w:hint="default" w:ascii="方正小标宋_GBK" w:hAnsi="Times New Roman" w:eastAsia="方正小标宋_GBK"/>
          <w:sz w:val="44"/>
          <w:szCs w:val="44"/>
        </w:rPr>
      </w:pPr>
      <w:bookmarkStart w:id="0" w:name="OLE_LINK1"/>
      <w:r>
        <w:rPr>
          <w:rFonts w:ascii="方正小标宋_GBK" w:hAnsi="Times New Roman" w:eastAsia="方正小标宋_GBK"/>
          <w:sz w:val="44"/>
          <w:szCs w:val="44"/>
        </w:rPr>
        <w:t>重庆市綦江区通惠街道社区卫生服务中心</w:t>
      </w:r>
    </w:p>
    <w:p>
      <w:pPr>
        <w:pStyle w:val="12"/>
        <w:spacing w:before="0" w:beforeAutospacing="0" w:after="0" w:afterAutospacing="0" w:line="560" w:lineRule="exact"/>
        <w:jc w:val="center"/>
        <w:rPr>
          <w:rFonts w:hint="default" w:ascii="方正小标宋_GBK" w:hAnsi="Times New Roman" w:eastAsia="方正小标宋_GBK"/>
          <w:sz w:val="44"/>
          <w:szCs w:val="44"/>
          <w:shd w:val="clear" w:color="auto" w:fill="FFFFFF"/>
        </w:rPr>
      </w:pPr>
      <w:r>
        <w:rPr>
          <w:rFonts w:ascii="方正小标宋_GBK" w:hAnsi="Times New Roman" w:eastAsia="方正小标宋_GBK"/>
          <w:sz w:val="44"/>
          <w:szCs w:val="44"/>
          <w:shd w:val="clear" w:color="auto" w:fill="FFFFFF"/>
        </w:rPr>
        <w:t>2024年度决算</w:t>
      </w:r>
      <w:bookmarkStart w:id="1" w:name="_GoBack"/>
      <w:bookmarkEnd w:id="1"/>
      <w:r>
        <w:rPr>
          <w:rFonts w:ascii="方正小标宋_GBK" w:hAnsi="Times New Roman" w:eastAsia="方正小标宋_GBK"/>
          <w:sz w:val="44"/>
          <w:szCs w:val="44"/>
          <w:shd w:val="clear" w:color="auto" w:fill="FFFFFF"/>
        </w:rPr>
        <w:t>说明</w:t>
      </w:r>
    </w:p>
    <w:p>
      <w:pPr>
        <w:pStyle w:val="12"/>
        <w:shd w:val="clear" w:color="auto" w:fill="FFFFFF"/>
        <w:spacing w:before="0" w:beforeAutospacing="0" w:after="0" w:afterAutospacing="0" w:line="560" w:lineRule="exact"/>
        <w:ind w:firstLine="640" w:firstLineChars="200"/>
        <w:rPr>
          <w:rStyle w:val="16"/>
          <w:rFonts w:hint="default" w:ascii="Times New Roman" w:hAnsi="Times New Roman" w:eastAsia="方正黑体_GBK"/>
          <w:b w:val="0"/>
          <w:bCs/>
          <w:sz w:val="32"/>
          <w:szCs w:val="32"/>
          <w:shd w:val="clear" w:color="auto" w:fill="FFFFFF"/>
        </w:rPr>
      </w:pPr>
    </w:p>
    <w:p>
      <w:pPr>
        <w:pStyle w:val="12"/>
        <w:shd w:val="clear" w:color="auto" w:fill="FFFFFF"/>
        <w:spacing w:before="0" w:beforeAutospacing="0" w:after="0" w:afterAutospacing="0" w:line="560" w:lineRule="exact"/>
        <w:ind w:firstLine="640" w:firstLineChars="200"/>
        <w:rPr>
          <w:rStyle w:val="16"/>
          <w:rFonts w:hint="default" w:ascii="方正黑体_GBK" w:hAnsi="Times New Roman" w:eastAsia="方正黑体_GBK"/>
          <w:b w:val="0"/>
          <w:sz w:val="32"/>
          <w:szCs w:val="32"/>
          <w:shd w:val="clear" w:color="auto" w:fill="FFFFFF"/>
        </w:rPr>
      </w:pPr>
      <w:r>
        <w:rPr>
          <w:rStyle w:val="16"/>
          <w:rFonts w:ascii="方正黑体_GBK" w:hAnsi="Times New Roman" w:eastAsia="方正黑体_GBK"/>
          <w:b w:val="0"/>
          <w:sz w:val="32"/>
          <w:szCs w:val="32"/>
          <w:shd w:val="clear" w:color="auto" w:fill="FFFFFF"/>
        </w:rPr>
        <w:t>一、单位基本情况</w:t>
      </w:r>
    </w:p>
    <w:p>
      <w:pPr>
        <w:shd w:val="clear" w:color="auto" w:fill="FFFFFF"/>
        <w:autoSpaceDE w:val="0"/>
        <w:spacing w:after="0" w:line="560" w:lineRule="exact"/>
        <w:ind w:firstLine="640" w:firstLineChars="200"/>
        <w:rPr>
          <w:rFonts w:hint="default"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（一）职能职责</w:t>
      </w:r>
    </w:p>
    <w:p>
      <w:pPr>
        <w:shd w:val="clear" w:color="auto" w:fill="FFFFFF"/>
        <w:autoSpaceDE w:val="0"/>
        <w:spacing w:after="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重庆市綦江区通惠街道社区卫生服务中心创建于1959年，是一所集医疗、预防保健、公共卫生服务为一体的综合性医疗机构。中心设通惠院区和九龙院区（位于沙溪路），系城镇职工医保和城乡居民医保定点单位，区中医院医联体成员单位和全科医生规范化培训实践基地。拥有DR照光机、全自动生化分析仪、心脏彩超、骨密度仪、肺功能仪等基本医疗设备。主要承担常见病、多发病的基本医疗，以及65岁以上老年人、糖尿病、高血压重点人群及0-6岁儿童健康管理等基本公共卫生服务。</w:t>
      </w:r>
    </w:p>
    <w:p>
      <w:pPr>
        <w:shd w:val="clear" w:color="auto" w:fill="FFFFFF"/>
        <w:autoSpaceDE w:val="0"/>
        <w:spacing w:after="0" w:line="560" w:lineRule="exact"/>
        <w:ind w:firstLine="640" w:firstLineChars="200"/>
        <w:rPr>
          <w:rFonts w:hint="default"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（二）机构设置</w:t>
      </w:r>
    </w:p>
    <w:p>
      <w:pPr>
        <w:shd w:val="clear" w:color="auto" w:fill="FFFFFF"/>
        <w:autoSpaceDE w:val="0"/>
        <w:spacing w:after="0" w:line="560"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下设科室8个，分别为党政办、医务科、人事财务科、后勤管理科、公共卫生管理科、医技科、九龙门诊部、全科医学科；2024年在岗职工82人，退休职工20人；编制床位72张，开放床位85张。</w:t>
      </w:r>
    </w:p>
    <w:p>
      <w:pPr>
        <w:shd w:val="clear" w:color="auto" w:fill="FFFFFF"/>
        <w:autoSpaceDE w:val="0"/>
        <w:spacing w:after="0" w:line="560" w:lineRule="exact"/>
        <w:ind w:firstLine="640" w:firstLineChars="200"/>
        <w:jc w:val="both"/>
        <w:rPr>
          <w:rFonts w:hint="default"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（三）单位构成</w:t>
      </w:r>
    </w:p>
    <w:p>
      <w:pPr>
        <w:shd w:val="clear" w:color="auto" w:fill="FFFFFF"/>
        <w:autoSpaceDE w:val="0"/>
        <w:spacing w:after="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重庆市綦江区通惠街道社区卫生服务中心从预算单位构成看，是纳入綦江区卫生健康委员会2024年度决算编制的二级预算单位，本单位无下级预算单位。</w:t>
      </w:r>
    </w:p>
    <w:p>
      <w:pPr>
        <w:pStyle w:val="12"/>
        <w:shd w:val="clear" w:color="auto" w:fill="FFFFFF"/>
        <w:spacing w:before="0" w:beforeAutospacing="0" w:after="0" w:afterAutospacing="0" w:line="560" w:lineRule="exact"/>
        <w:ind w:firstLine="640" w:firstLineChars="200"/>
        <w:rPr>
          <w:rStyle w:val="16"/>
          <w:rFonts w:hint="default" w:ascii="方正黑体_GBK" w:hAnsi="Times New Roman" w:eastAsia="方正黑体_GBK"/>
          <w:b w:val="0"/>
          <w:sz w:val="32"/>
          <w:szCs w:val="32"/>
          <w:shd w:val="clear" w:color="auto" w:fill="FFFFFF"/>
        </w:rPr>
      </w:pPr>
      <w:r>
        <w:rPr>
          <w:rStyle w:val="16"/>
          <w:rFonts w:hint="default" w:ascii="方正黑体_GBK" w:hAnsi="Times New Roman" w:eastAsia="方正黑体_GBK"/>
          <w:b w:val="0"/>
          <w:sz w:val="32"/>
          <w:szCs w:val="32"/>
          <w:shd w:val="clear" w:color="auto" w:fill="FFFFFF"/>
        </w:rPr>
        <w:t>二、单位决算收支情况说明</w:t>
      </w:r>
    </w:p>
    <w:p>
      <w:pPr>
        <w:shd w:val="clear" w:color="auto" w:fill="FFFFFF"/>
        <w:autoSpaceDE w:val="0"/>
        <w:spacing w:after="0" w:line="560" w:lineRule="exact"/>
        <w:ind w:firstLine="640" w:firstLineChars="200"/>
        <w:rPr>
          <w:rFonts w:hint="default" w:ascii="方正楷体_GBK" w:hAnsi="Times New Roman" w:eastAsia="方正楷体_GBK"/>
          <w:sz w:val="32"/>
          <w:szCs w:val="32"/>
          <w:shd w:val="clear" w:color="auto" w:fill="FFFFFF"/>
        </w:rPr>
      </w:pPr>
      <w:r>
        <w:rPr>
          <w:rFonts w:hint="default" w:ascii="Times New Roman" w:hAnsi="Times New Roman" w:eastAsia="方正仿宋_GBK"/>
          <w:sz w:val="32"/>
          <w:szCs w:val="32"/>
          <w:shd w:val="clear" w:color="auto" w:fill="FFFFFF"/>
        </w:rPr>
        <w:t>2024年度收</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支总计</w:t>
      </w:r>
      <w:r>
        <w:rPr>
          <w:rFonts w:ascii="Times New Roman" w:hAnsi="Times New Roman" w:eastAsia="方正仿宋_GBK"/>
          <w:sz w:val="32"/>
          <w:szCs w:val="32"/>
          <w:shd w:val="clear" w:color="auto" w:fill="FFFFFF"/>
        </w:rPr>
        <w:t>均为</w:t>
      </w:r>
      <w:r>
        <w:rPr>
          <w:rFonts w:hint="default" w:ascii="Times New Roman" w:hAnsi="Times New Roman" w:eastAsia="方正仿宋_GBK"/>
          <w:sz w:val="32"/>
          <w:szCs w:val="32"/>
          <w:shd w:val="clear" w:color="auto" w:fill="FFFFFF"/>
        </w:rPr>
        <w:t>3612.58万元。收</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支</w:t>
      </w:r>
      <w:r>
        <w:rPr>
          <w:rFonts w:ascii="Times New Roman" w:hAnsi="Times New Roman" w:eastAsia="方正仿宋_GBK"/>
          <w:sz w:val="32"/>
          <w:szCs w:val="32"/>
          <w:shd w:val="clear" w:color="auto" w:fill="FFFFFF"/>
        </w:rPr>
        <w:t>与2023年度相比，</w:t>
      </w:r>
      <w:r>
        <w:rPr>
          <w:rFonts w:hint="default" w:ascii="Times New Roman" w:hAnsi="Times New Roman" w:eastAsia="方正仿宋_GBK"/>
          <w:sz w:val="32"/>
          <w:szCs w:val="32"/>
          <w:shd w:val="clear" w:color="auto" w:fill="FFFFFF"/>
        </w:rPr>
        <w:t>增加1135.03万元，增长45.8%，主要原因是</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一是财政拨款收入增加；二是</w:t>
      </w:r>
      <w:r>
        <w:rPr>
          <w:rFonts w:ascii="Times New Roman" w:hAnsi="Times New Roman" w:eastAsia="方正仿宋_GBK"/>
          <w:sz w:val="32"/>
          <w:szCs w:val="32"/>
          <w:shd w:val="clear" w:color="auto" w:fill="FFFFFF"/>
        </w:rPr>
        <w:t>医疗站点增加</w:t>
      </w:r>
      <w:r>
        <w:rPr>
          <w:rFonts w:hint="default" w:ascii="Times New Roman" w:hAnsi="Times New Roman" w:eastAsia="方正仿宋_GBK"/>
          <w:sz w:val="32"/>
          <w:szCs w:val="32"/>
          <w:shd w:val="clear" w:color="auto" w:fill="FFFFFF"/>
        </w:rPr>
        <w:t>，医疗收入增加。</w:t>
      </w:r>
      <w:r>
        <w:rPr>
          <w:rFonts w:hint="default" w:ascii="Times New Roman" w:hAnsi="Times New Roman" w:eastAsia="方正仿宋_GBK"/>
          <w:color w:val="FF0000"/>
          <w:sz w:val="32"/>
          <w:szCs w:val="32"/>
          <w:shd w:val="clear" w:color="auto" w:fill="FFFFFF"/>
        </w:rPr>
        <w:t xml:space="preserve"> </w:t>
      </w:r>
    </w:p>
    <w:p>
      <w:pPr>
        <w:pStyle w:val="12"/>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Style w:val="16"/>
          <w:rFonts w:hint="default" w:ascii="Times New Roman" w:hAnsi="Times New Roman" w:eastAsia="方正仿宋_GBK"/>
          <w:b w:val="0"/>
          <w:sz w:val="32"/>
          <w:szCs w:val="32"/>
          <w:shd w:val="clear" w:color="auto" w:fill="FFFFFF"/>
        </w:rPr>
        <w:t>1.收入情况。</w:t>
      </w:r>
      <w:r>
        <w:rPr>
          <w:rFonts w:hint="default" w:ascii="Times New Roman" w:hAnsi="Times New Roman" w:eastAsia="方正仿宋_GBK"/>
          <w:sz w:val="32"/>
          <w:szCs w:val="32"/>
          <w:shd w:val="clear" w:color="auto" w:fill="FFFFFF"/>
        </w:rPr>
        <w:t>2024年度收入合计3612.58万元，与2023年度相比，增加1135.03万元，增长45.8%，主要原因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一是在编人员增加，导致财政拨款收入增加；二是医疗收入增加。其中</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财政拨款收入933.28万元，占25.8%；事业收入2679.30万元，占74.2%；经营收入0.00万元，占0.0%；其他收入0.00万元，占0.0%。此外，使用非财政拨款结余（含专用结余）0.00万元，年初结转和结余0.00万元。</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Style w:val="16"/>
          <w:rFonts w:hint="default" w:ascii="Times New Roman" w:hAnsi="Times New Roman" w:eastAsia="方正仿宋_GBK"/>
          <w:b w:val="0"/>
          <w:sz w:val="32"/>
          <w:szCs w:val="32"/>
          <w:shd w:val="clear" w:color="auto" w:fill="FFFFFF"/>
        </w:rPr>
        <w:t>2.支出情况</w:t>
      </w:r>
      <w:r>
        <w:rPr>
          <w:rStyle w:val="16"/>
          <w:rFonts w:hint="default" w:ascii="方正仿宋_GBK" w:hAnsi="Times New Roman" w:eastAsia="方正仿宋_GBK"/>
          <w:b w:val="0"/>
          <w:sz w:val="32"/>
          <w:szCs w:val="32"/>
          <w:shd w:val="clear" w:color="auto" w:fill="FFFFFF"/>
        </w:rPr>
        <w:t>。</w:t>
      </w:r>
      <w:r>
        <w:rPr>
          <w:rFonts w:hint="default" w:ascii="Times New Roman" w:hAnsi="Times New Roman" w:eastAsia="方正仿宋_GBK"/>
          <w:sz w:val="32"/>
          <w:szCs w:val="32"/>
          <w:shd w:val="clear" w:color="auto" w:fill="FFFFFF"/>
        </w:rPr>
        <w:t>2024年度支出合计3612.58万元，与2023年度相比，增加1135.03万元，增长45.8%，主要原因是人员经费、药品费、卫生材料费等基本支出增加。其中：基本支出3227.74万元，占89.4%；项目支出384.84万元，占10.7%；经营支出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万元，占0.0%。此外，结余分配0.00万元。</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3.结转</w:t>
      </w:r>
      <w:r>
        <w:rPr>
          <w:rFonts w:hint="default" w:ascii="Times New Roman" w:hAnsi="Times New Roman" w:eastAsia="方正仿宋_GBK"/>
          <w:sz w:val="32"/>
          <w:szCs w:val="32"/>
          <w:shd w:val="clear" w:color="auto" w:fill="FFFFFF"/>
        </w:rPr>
        <w:t xml:space="preserve">结余情况。2024年度年末结转和结余0.00万元，与2023年度相比，无增减。 </w:t>
      </w:r>
    </w:p>
    <w:p>
      <w:pPr>
        <w:pStyle w:val="35"/>
        <w:autoSpaceDE w:val="0"/>
        <w:spacing w:after="0" w:line="560" w:lineRule="exact"/>
        <w:ind w:firstLine="640"/>
        <w:rPr>
          <w:rFonts w:ascii="方正楷体_GBK" w:hAnsi="Times New Roman" w:eastAsia="方正楷体_GBK"/>
          <w:sz w:val="32"/>
          <w:szCs w:val="32"/>
          <w:shd w:val="clear" w:color="auto" w:fill="FFFFFF"/>
        </w:rPr>
      </w:pPr>
      <w:r>
        <w:rPr>
          <w:rFonts w:hint="eastAsia" w:ascii="方正楷体_GBK" w:hAnsi="Times New Roman" w:eastAsia="方正楷体_GBK"/>
          <w:sz w:val="32"/>
          <w:szCs w:val="32"/>
          <w:shd w:val="clear" w:color="auto" w:fill="FFFFFF"/>
        </w:rPr>
        <w:t>（二）财政拨款收入支出决算总体情况说明</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2024年度财政拨款收、支总计均为933.28万元。与2023年度相比，财政拨款收、支总计各增加48.63万元，增长5.5%。主要原因是一般公共预算财政拨款收入增加。</w:t>
      </w:r>
    </w:p>
    <w:p>
      <w:pPr>
        <w:pStyle w:val="35"/>
        <w:autoSpaceDE w:val="0"/>
        <w:spacing w:after="0" w:line="560" w:lineRule="exact"/>
        <w:ind w:firstLine="640"/>
        <w:rPr>
          <w:rFonts w:ascii="方正楷体_GBK" w:hAnsi="Times New Roman" w:eastAsia="方正楷体_GBK"/>
          <w:sz w:val="32"/>
          <w:szCs w:val="32"/>
          <w:shd w:val="clear" w:color="auto" w:fill="FFFFFF"/>
        </w:rPr>
      </w:pPr>
      <w:r>
        <w:rPr>
          <w:rFonts w:hint="eastAsia" w:ascii="方正楷体_GBK" w:hAnsi="Times New Roman" w:eastAsia="方正楷体_GBK"/>
          <w:sz w:val="32"/>
          <w:szCs w:val="32"/>
          <w:shd w:val="clear" w:color="auto" w:fill="FFFFFF"/>
        </w:rPr>
        <w:t>（三）一般公共预算财政拨款收入支出决算情况说明。</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6"/>
          <w:rFonts w:hint="default" w:ascii="Times New Roman" w:hAnsi="Times New Roman" w:eastAsia="方正仿宋_GBK"/>
          <w:b w:val="0"/>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933.28万元，与2023年度相比，增加48.63万元，增长5.5%。主要原因是财政拨款收入增加。较年初预算数增加482.85万元，增长107.2%。主要原因是基本公共卫生服务收入、街镇卫生院药品零差率补助、基本药物补助未纳入年初预算。此外，年初财政拨款结转和结余0.00万元。</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Style w:val="16"/>
          <w:rFonts w:hint="default" w:ascii="Times New Roman" w:hAnsi="Times New Roman" w:eastAsia="方正仿宋_GBK"/>
          <w:b w:val="0"/>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933.28万元，与2023年度相比，增加48.63万元，增长5.5%。主要原因是财政拨款支出增加。较年初预算数增加482.85万元，增长107.2%。主要原因是基本公共卫生服务收入、街镇卫生院药品零差率补助、基本药物补助未纳入年初预算。</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w:t>
      </w:r>
      <w:r>
        <w:rPr>
          <w:rFonts w:ascii="Times New Roman" w:hAnsi="Times New Roman" w:eastAsia="方正仿宋_GBK"/>
          <w:sz w:val="32"/>
          <w:szCs w:val="32"/>
          <w:shd w:val="clear" w:color="auto" w:fill="FFFFFF"/>
        </w:rPr>
        <w:t>用途如下</w:t>
      </w:r>
      <w:r>
        <w:rPr>
          <w:rFonts w:hint="default" w:ascii="Times New Roman" w:hAnsi="Times New Roman" w:eastAsia="方正仿宋_GBK"/>
          <w:sz w:val="32"/>
          <w:szCs w:val="32"/>
          <w:shd w:val="clear" w:color="auto" w:fill="FFFFFF"/>
        </w:rPr>
        <w:t>：</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（1）社会保障和就业支出163.27万元，占17.5%，较年初预算数增加56.75万元，增长53.3%，主要原因是人员增加</w:t>
      </w:r>
      <w:r>
        <w:rPr>
          <w:rFonts w:ascii="Times New Roman" w:hAnsi="Times New Roman" w:eastAsia="方正仿宋_GBK"/>
          <w:sz w:val="32"/>
          <w:szCs w:val="32"/>
          <w:shd w:val="clear" w:color="auto" w:fill="FFFFFF"/>
        </w:rPr>
        <w:t>，社会保障和就业支出增加</w:t>
      </w:r>
      <w:r>
        <w:rPr>
          <w:rFonts w:hint="default" w:ascii="Times New Roman" w:hAnsi="Times New Roman" w:eastAsia="方正仿宋_GBK"/>
          <w:sz w:val="32"/>
          <w:szCs w:val="32"/>
          <w:shd w:val="clear" w:color="auto" w:fill="FFFFFF"/>
        </w:rPr>
        <w:t>。</w:t>
      </w:r>
    </w:p>
    <w:p>
      <w:pPr>
        <w:pStyle w:val="12"/>
        <w:adjustRightInd w:val="0"/>
        <w:snapToGrid w:val="0"/>
        <w:spacing w:before="0" w:beforeAutospacing="0" w:after="0" w:afterAutospacing="0" w:line="560"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（2）卫生健康支出770.01万元，占82.5%，较年初预算数增加426.10万元，增长123.9%，主要原因是基本药物及基本公共卫生服务未纳入年初预算</w:t>
      </w:r>
      <w:r>
        <w:rPr>
          <w:rFonts w:hint="eastAsia" w:ascii="Times New Roman" w:hAnsi="Times New Roman" w:eastAsia="方正仿宋_GBK"/>
          <w:sz w:val="32"/>
          <w:szCs w:val="32"/>
          <w:shd w:val="clear" w:color="auto" w:fill="FFFFFF"/>
          <w:lang w:eastAsia="zh-CN"/>
        </w:rPr>
        <w:t>。</w:t>
      </w:r>
    </w:p>
    <w:p>
      <w:pPr>
        <w:pStyle w:val="12"/>
        <w:adjustRightInd w:val="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3.结转结余情况。2024年度年末一般公共预算财政拨款结转和结余0.00万元</w:t>
      </w:r>
      <w:r>
        <w:rPr>
          <w:rFonts w:ascii="Times New Roman" w:hAnsi="Times New Roman" w:eastAsia="方正仿宋_GBK"/>
          <w:sz w:val="32"/>
          <w:szCs w:val="32"/>
          <w:shd w:val="clear" w:color="auto" w:fill="FFFFFF"/>
        </w:rPr>
        <w:t>，与2023年度相比，</w:t>
      </w:r>
      <w:r>
        <w:rPr>
          <w:rFonts w:hint="default" w:ascii="Times New Roman" w:hAnsi="Times New Roman" w:eastAsia="方正仿宋_GBK"/>
          <w:sz w:val="32"/>
          <w:szCs w:val="32"/>
          <w:shd w:val="clear" w:color="auto" w:fill="FFFFFF"/>
        </w:rPr>
        <w:t>无增减。</w:t>
      </w:r>
    </w:p>
    <w:p>
      <w:pPr>
        <w:pStyle w:val="12"/>
        <w:adjustRightInd w:val="0"/>
        <w:snapToGrid w:val="0"/>
        <w:spacing w:before="0" w:beforeAutospacing="0" w:after="0" w:afterAutospacing="0" w:line="560" w:lineRule="exact"/>
        <w:ind w:firstLine="640" w:firstLineChars="200"/>
        <w:jc w:val="both"/>
        <w:rPr>
          <w:rFonts w:hint="default" w:ascii="方正楷体_GBK" w:hAnsi="Times New Roman" w:eastAsia="方正楷体_GBK"/>
          <w:sz w:val="32"/>
          <w:szCs w:val="32"/>
          <w:shd w:val="clear" w:color="auto" w:fill="FFFFFF"/>
        </w:rPr>
      </w:pPr>
      <w:r>
        <w:rPr>
          <w:rFonts w:hint="default" w:ascii="方正楷体_GBK" w:hAnsi="Times New Roman" w:eastAsia="方正楷体_GBK"/>
          <w:sz w:val="32"/>
          <w:szCs w:val="32"/>
          <w:shd w:val="clear" w:color="auto" w:fill="FFFFFF"/>
        </w:rPr>
        <w:t>（四）一般公共预算财政拨款基本支出决算情况说明</w:t>
      </w:r>
    </w:p>
    <w:p>
      <w:pPr>
        <w:pStyle w:val="12"/>
        <w:adjustRightInd w:val="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xml:space="preserve">2024年度一般公共财政拨款基本支出548.44万元。其中：人员经费548.44万元，与2023年度相比，增加59.62万元，增长12.2%，主要原因是人员增加。人员经费用途主要包括在职人员工资福利、社会保险缴费、退休职工生活补助等。公用经费0.00万元，与2023年度相比，无增减。 </w:t>
      </w:r>
    </w:p>
    <w:p>
      <w:pPr>
        <w:pStyle w:val="12"/>
        <w:snapToGrid w:val="0"/>
        <w:spacing w:before="0" w:beforeAutospacing="0" w:after="0" w:afterAutospacing="0" w:line="560" w:lineRule="exact"/>
        <w:ind w:firstLine="640" w:firstLineChars="200"/>
        <w:jc w:val="both"/>
        <w:rPr>
          <w:rFonts w:hint="default"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（五）政府性基金预算收支决算情况说明</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本单位2024年度无政府性基金预算财政拨款收支。</w:t>
      </w:r>
    </w:p>
    <w:p>
      <w:pPr>
        <w:pStyle w:val="12"/>
        <w:snapToGrid w:val="0"/>
        <w:spacing w:before="0" w:beforeAutospacing="0" w:after="0" w:afterAutospacing="0" w:line="560" w:lineRule="exact"/>
        <w:ind w:firstLine="640" w:firstLineChars="200"/>
        <w:jc w:val="both"/>
        <w:rPr>
          <w:rFonts w:hint="default"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（六）国有资本经营预算财政拨款支出决算情况说明</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pPr>
        <w:pStyle w:val="12"/>
        <w:shd w:val="clear" w:color="auto" w:fill="FFFFFF"/>
        <w:spacing w:before="0" w:beforeAutospacing="0" w:after="0" w:afterAutospacing="0" w:line="560" w:lineRule="exact"/>
        <w:ind w:firstLine="640" w:firstLineChars="200"/>
        <w:rPr>
          <w:rStyle w:val="16"/>
          <w:rFonts w:ascii="方正黑体_GBK" w:hAnsi="Times New Roman" w:eastAsia="方正黑体_GBK"/>
          <w:b w:val="0"/>
          <w:sz w:val="32"/>
          <w:szCs w:val="32"/>
          <w:shd w:val="clear" w:color="auto" w:fill="FFFFFF"/>
        </w:rPr>
      </w:pPr>
      <w:r>
        <w:rPr>
          <w:rStyle w:val="16"/>
          <w:rFonts w:ascii="方正黑体_GBK" w:hAnsi="Times New Roman" w:eastAsia="方正黑体_GBK"/>
          <w:b w:val="0"/>
          <w:sz w:val="32"/>
          <w:szCs w:val="32"/>
          <w:shd w:val="clear" w:color="auto" w:fill="FFFFFF"/>
        </w:rPr>
        <w:t>三、财政拨款“三公”经费情况说明</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xml:space="preserve"> 我单位属于差额拨款单位，</w:t>
      </w:r>
      <w:r>
        <w:rPr>
          <w:rFonts w:ascii="Times New Roman" w:hAnsi="Times New Roman" w:eastAsia="方正仿宋_GBK"/>
          <w:sz w:val="32"/>
          <w:szCs w:val="32"/>
          <w:shd w:val="clear" w:color="auto" w:fill="FFFFFF"/>
        </w:rPr>
        <w:t>未使用财政资金保障</w:t>
      </w:r>
      <w:r>
        <w:rPr>
          <w:rFonts w:hint="default" w:ascii="Times New Roman" w:hAnsi="Times New Roman" w:eastAsia="方正仿宋_GBK"/>
          <w:sz w:val="32"/>
          <w:szCs w:val="32"/>
          <w:shd w:val="clear" w:color="auto" w:fill="FFFFFF"/>
        </w:rPr>
        <w:t xml:space="preserve"> “三公”经费。</w:t>
      </w:r>
    </w:p>
    <w:p>
      <w:pPr>
        <w:pStyle w:val="12"/>
        <w:snapToGrid w:val="0"/>
        <w:spacing w:before="0" w:beforeAutospacing="0" w:after="0" w:afterAutospacing="0" w:line="560" w:lineRule="exact"/>
        <w:ind w:firstLine="640" w:firstLineChars="200"/>
        <w:jc w:val="both"/>
        <w:rPr>
          <w:rFonts w:hint="default"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（一）“三公”经费支出总体情况说明</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xml:space="preserve">2024年度“三公”经费支出共计0.00万元，较年初预算数无增减。较上年支出数无增减。 </w:t>
      </w:r>
    </w:p>
    <w:p>
      <w:pPr>
        <w:pStyle w:val="12"/>
        <w:snapToGrid w:val="0"/>
        <w:spacing w:before="0" w:beforeAutospacing="0" w:after="0" w:afterAutospacing="0" w:line="560" w:lineRule="exact"/>
        <w:ind w:firstLine="640" w:firstLineChars="200"/>
        <w:jc w:val="both"/>
        <w:rPr>
          <w:rFonts w:hint="default"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（二）“三公”经费分项支出情况</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2024年度本单位因公出国（境）费用0.00万元，费用支出较年初预算数无增减。较上年支出数无增减。</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公务用车购置费0.00万元，费用支出较年初预算数无增减。较上年支出数无增减。</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公务用车运行维护费0.00万元，费用支出较年初预算数无增减。较上年支出数无增减。</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公务接待费0.00万元，费用支出较年初预算数无增减。较上年支出数无增减。</w:t>
      </w:r>
    </w:p>
    <w:p>
      <w:pPr>
        <w:pStyle w:val="35"/>
        <w:autoSpaceDE w:val="0"/>
        <w:spacing w:after="0" w:line="560" w:lineRule="exact"/>
        <w:ind w:firstLine="640"/>
        <w:rPr>
          <w:rFonts w:ascii="方正楷体_GBK" w:hAnsi="Times New Roman" w:eastAsia="方正楷体_GBK"/>
          <w:sz w:val="32"/>
          <w:szCs w:val="32"/>
          <w:shd w:val="clear" w:color="auto" w:fill="FFFFFF"/>
        </w:rPr>
      </w:pPr>
      <w:r>
        <w:rPr>
          <w:rFonts w:hint="eastAsia" w:ascii="方正楷体_GBK" w:hAnsi="Times New Roman" w:eastAsia="方正楷体_GBK"/>
          <w:sz w:val="32"/>
          <w:szCs w:val="32"/>
          <w:shd w:val="clear" w:color="auto" w:fill="FFFFFF"/>
        </w:rPr>
        <w:t>（三）“三公”经费实物量情况</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12"/>
        <w:shd w:val="clear" w:color="auto" w:fill="FFFFFF"/>
        <w:spacing w:before="0" w:beforeAutospacing="0" w:after="0" w:afterAutospacing="0" w:line="560" w:lineRule="exact"/>
        <w:ind w:firstLine="640" w:firstLineChars="200"/>
        <w:rPr>
          <w:rStyle w:val="16"/>
          <w:rFonts w:hint="default" w:ascii="方正黑体_GBK" w:hAnsi="Times New Roman" w:eastAsia="方正黑体_GBK"/>
          <w:b w:val="0"/>
          <w:sz w:val="32"/>
          <w:szCs w:val="32"/>
          <w:shd w:val="clear" w:color="auto" w:fill="FFFFFF"/>
        </w:rPr>
      </w:pPr>
      <w:r>
        <w:rPr>
          <w:rStyle w:val="16"/>
          <w:rFonts w:hint="default" w:ascii="方正黑体_GBK" w:hAnsi="Times New Roman" w:eastAsia="方正黑体_GBK"/>
          <w:b w:val="0"/>
          <w:sz w:val="32"/>
          <w:szCs w:val="32"/>
          <w:shd w:val="clear" w:color="auto" w:fill="FFFFFF"/>
        </w:rPr>
        <w:t>四、其他需要说明的事项</w:t>
      </w:r>
    </w:p>
    <w:p>
      <w:pPr>
        <w:pStyle w:val="35"/>
        <w:autoSpaceDE w:val="0"/>
        <w:spacing w:after="0" w:line="560" w:lineRule="exact"/>
        <w:ind w:firstLine="640"/>
        <w:rPr>
          <w:rFonts w:ascii="方正楷体_GBK" w:hAnsi="Times New Roman" w:eastAsia="方正楷体_GBK"/>
          <w:sz w:val="32"/>
          <w:szCs w:val="32"/>
          <w:shd w:val="clear" w:color="auto" w:fill="FFFFFF"/>
        </w:rPr>
      </w:pPr>
      <w:r>
        <w:rPr>
          <w:rFonts w:hint="eastAsia" w:ascii="方正楷体_GBK" w:hAnsi="Times New Roman" w:eastAsia="方正楷体_GBK"/>
          <w:sz w:val="32"/>
          <w:szCs w:val="32"/>
          <w:shd w:val="clear" w:color="auto" w:fill="FFFFFF"/>
        </w:rPr>
        <w:t>（一）财政拨款会议费、培训费和差旅费情况说明</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本年度会议费支出0.00万元，与2023年度相比，无增减。本年度培训费支出0.00万元，与2023年度相比，无增减。本年度差旅费支出0.00</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与2023年度相比，无增减。因</w:t>
      </w:r>
      <w:r>
        <w:rPr>
          <w:rFonts w:ascii="Times New Roman" w:hAnsi="Times New Roman" w:eastAsia="方正仿宋_GBK"/>
          <w:sz w:val="32"/>
          <w:szCs w:val="32"/>
          <w:shd w:val="clear" w:color="auto" w:fill="FFFFFF"/>
        </w:rPr>
        <w:t>本</w:t>
      </w:r>
      <w:r>
        <w:rPr>
          <w:rFonts w:hint="default"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是</w:t>
      </w:r>
      <w:r>
        <w:rPr>
          <w:rFonts w:hint="default" w:ascii="Times New Roman" w:hAnsi="Times New Roman" w:eastAsia="方正仿宋_GBK"/>
          <w:sz w:val="32"/>
          <w:szCs w:val="32"/>
          <w:shd w:val="clear" w:color="auto" w:fill="FFFFFF"/>
        </w:rPr>
        <w:t>差额拨款</w:t>
      </w:r>
      <w:r>
        <w:rPr>
          <w:rFonts w:ascii="Times New Roman" w:hAnsi="Times New Roman" w:eastAsia="方正仿宋_GBK"/>
          <w:sz w:val="32"/>
          <w:szCs w:val="32"/>
          <w:shd w:val="clear" w:color="auto" w:fill="FFFFFF"/>
        </w:rPr>
        <w:t>事业</w:t>
      </w:r>
      <w:r>
        <w:rPr>
          <w:rFonts w:hint="default"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未使用</w:t>
      </w:r>
      <w:r>
        <w:rPr>
          <w:rFonts w:hint="default" w:ascii="Times New Roman" w:hAnsi="Times New Roman" w:eastAsia="方正仿宋_GBK"/>
          <w:sz w:val="32"/>
          <w:szCs w:val="32"/>
          <w:shd w:val="clear" w:color="auto" w:fill="FFFFFF"/>
        </w:rPr>
        <w:t>财政</w:t>
      </w:r>
      <w:r>
        <w:rPr>
          <w:rFonts w:ascii="Times New Roman" w:hAnsi="Times New Roman" w:eastAsia="方正仿宋_GBK"/>
          <w:sz w:val="32"/>
          <w:szCs w:val="32"/>
          <w:shd w:val="clear" w:color="auto" w:fill="FFFFFF"/>
        </w:rPr>
        <w:t>资金保障</w:t>
      </w:r>
      <w:r>
        <w:rPr>
          <w:rFonts w:hint="default" w:ascii="Times New Roman" w:hAnsi="Times New Roman" w:eastAsia="方正仿宋_GBK"/>
          <w:sz w:val="32"/>
          <w:szCs w:val="32"/>
          <w:shd w:val="clear" w:color="auto" w:fill="FFFFFF"/>
        </w:rPr>
        <w:t>会议费、培训费</w:t>
      </w:r>
      <w:r>
        <w:rPr>
          <w:rFonts w:ascii="Times New Roman" w:hAnsi="Times New Roman" w:eastAsia="方正仿宋_GBK"/>
          <w:sz w:val="32"/>
          <w:szCs w:val="32"/>
          <w:shd w:val="clear" w:color="auto" w:fill="FFFFFF"/>
        </w:rPr>
        <w:t>和</w:t>
      </w:r>
      <w:r>
        <w:rPr>
          <w:rFonts w:hint="default" w:ascii="Times New Roman" w:hAnsi="Times New Roman" w:eastAsia="方正仿宋_GBK"/>
          <w:sz w:val="32"/>
          <w:szCs w:val="32"/>
          <w:shd w:val="clear" w:color="auto" w:fill="FFFFFF"/>
        </w:rPr>
        <w:t>差旅费。</w:t>
      </w:r>
    </w:p>
    <w:p>
      <w:pPr>
        <w:pStyle w:val="35"/>
        <w:autoSpaceDE w:val="0"/>
        <w:spacing w:after="0" w:line="560" w:lineRule="exact"/>
        <w:ind w:firstLine="640"/>
        <w:rPr>
          <w:rFonts w:ascii="方正楷体_GBK" w:hAnsi="Times New Roman" w:eastAsia="方正楷体_GBK"/>
          <w:sz w:val="32"/>
          <w:szCs w:val="32"/>
          <w:shd w:val="clear" w:color="auto" w:fill="FFFFFF"/>
        </w:rPr>
      </w:pPr>
      <w:r>
        <w:rPr>
          <w:rFonts w:hint="eastAsia" w:ascii="方正楷体_GBK" w:hAnsi="Times New Roman" w:eastAsia="方正楷体_GBK"/>
          <w:sz w:val="32"/>
          <w:szCs w:val="32"/>
          <w:shd w:val="clear" w:color="auto" w:fill="FFFFFF"/>
        </w:rPr>
        <w:t>（二）机关运行经费情况说明</w:t>
      </w:r>
    </w:p>
    <w:p>
      <w:pPr>
        <w:shd w:val="clear" w:color="auto" w:fill="FFFFFF"/>
        <w:autoSpaceDE w:val="0"/>
        <w:spacing w:after="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按照部门决算列报口径，我单位不在机关运行经费统计范围之内。</w:t>
      </w:r>
    </w:p>
    <w:p>
      <w:pPr>
        <w:pStyle w:val="35"/>
        <w:autoSpaceDE w:val="0"/>
        <w:spacing w:after="0" w:line="560" w:lineRule="exact"/>
        <w:ind w:firstLine="640"/>
        <w:rPr>
          <w:rFonts w:ascii="方正楷体_GBK" w:hAnsi="Times New Roman" w:eastAsia="方正楷体_GBK"/>
          <w:sz w:val="32"/>
          <w:szCs w:val="32"/>
          <w:shd w:val="clear" w:color="auto" w:fill="FFFFFF"/>
        </w:rPr>
      </w:pPr>
      <w:r>
        <w:rPr>
          <w:rFonts w:hint="eastAsia" w:ascii="方正楷体_GBK" w:hAnsi="Times New Roman" w:eastAsia="方正楷体_GBK"/>
          <w:sz w:val="32"/>
          <w:szCs w:val="32"/>
          <w:shd w:val="clear" w:color="auto" w:fill="FFFFFF"/>
        </w:rPr>
        <w:t>（三）国有资产占用情况说明</w:t>
      </w:r>
    </w:p>
    <w:p>
      <w:pPr>
        <w:pStyle w:val="12"/>
        <w:adjustRightInd w:val="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截至2024年12月31日，本单位共有车辆1辆，其中，副部（省）级及以上领导用车0辆、主要负责人用车0辆、机要通信用车0辆、应急保障用车0辆、执法执勤用车0辆，特种专业技术用车1辆，离退休干部用车0辆。单价100万元（含）以上专用设备0台（套）。</w:t>
      </w:r>
    </w:p>
    <w:p>
      <w:pPr>
        <w:pStyle w:val="12"/>
        <w:adjustRightInd w:val="0"/>
        <w:snapToGrid w:val="0"/>
        <w:spacing w:before="0" w:beforeAutospacing="0" w:after="0" w:afterAutospacing="0" w:line="560" w:lineRule="exact"/>
        <w:ind w:firstLine="640" w:firstLineChars="200"/>
        <w:jc w:val="both"/>
        <w:rPr>
          <w:rFonts w:hint="default"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（四）政府采购支出情况说明</w:t>
      </w:r>
    </w:p>
    <w:p>
      <w:pPr>
        <w:pStyle w:val="12"/>
        <w:adjustRightInd w:val="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2024年度本单位政府采购支出总额30.22万元，其中：政府采购货物支出14.02万元、政府采购工程支出0.00万元、政府采购服务支出16.20万元。授予中小企业合同金额27.02</w:t>
      </w:r>
      <w:r>
        <w:rPr>
          <w:rFonts w:hint="default" w:ascii="Times New Roman" w:hAnsi="Times New Roman" w:eastAsia="方正仿宋_GBK"/>
          <w:sz w:val="32"/>
          <w:szCs w:val="32"/>
        </w:rPr>
        <w:t>万</w:t>
      </w:r>
      <w:r>
        <w:rPr>
          <w:rFonts w:hint="default" w:ascii="Times New Roman" w:hAnsi="Times New Roman" w:eastAsia="方正仿宋_GBK"/>
          <w:sz w:val="32"/>
          <w:szCs w:val="32"/>
          <w:shd w:val="clear" w:color="auto" w:fill="FFFFFF"/>
        </w:rPr>
        <w:t>元，占政府采购支出总额的89.4%，其中：授予小微企业合同金额27.02万元，占政府采购支出总额的89.4 %。主要用于采购办公设备。</w:t>
      </w:r>
    </w:p>
    <w:p>
      <w:pPr>
        <w:pStyle w:val="12"/>
        <w:shd w:val="clear" w:color="auto" w:fill="FFFFFF"/>
        <w:spacing w:before="0" w:beforeAutospacing="0" w:after="0" w:afterAutospacing="0" w:line="560" w:lineRule="exact"/>
        <w:ind w:firstLine="640" w:firstLineChars="200"/>
        <w:rPr>
          <w:rStyle w:val="16"/>
          <w:rFonts w:hint="default" w:ascii="方正黑体_GBK" w:hAnsi="Times New Roman" w:eastAsia="方正黑体_GBK"/>
          <w:b w:val="0"/>
          <w:sz w:val="32"/>
          <w:szCs w:val="32"/>
          <w:shd w:val="clear" w:color="auto" w:fill="FFFFFF"/>
        </w:rPr>
      </w:pPr>
      <w:r>
        <w:rPr>
          <w:rStyle w:val="16"/>
          <w:rFonts w:hint="default" w:ascii="方正黑体_GBK" w:hAnsi="Times New Roman" w:eastAsia="方正黑体_GBK"/>
          <w:b w:val="0"/>
          <w:sz w:val="32"/>
          <w:szCs w:val="32"/>
          <w:shd w:val="clear" w:color="auto" w:fill="FFFFFF"/>
        </w:rPr>
        <w:t>五、预算绩效管理情况说明</w:t>
      </w:r>
    </w:p>
    <w:p>
      <w:pPr>
        <w:pStyle w:val="35"/>
        <w:autoSpaceDE w:val="0"/>
        <w:spacing w:after="0" w:line="560" w:lineRule="exact"/>
        <w:ind w:firstLine="640"/>
        <w:rPr>
          <w:rFonts w:ascii="方正楷体_GBK" w:hAnsi="Times New Roman" w:eastAsia="方正楷体_GBK"/>
          <w:sz w:val="32"/>
          <w:szCs w:val="32"/>
          <w:shd w:val="clear" w:color="auto" w:fill="FFFFFF"/>
        </w:rPr>
      </w:pPr>
      <w:r>
        <w:rPr>
          <w:rFonts w:hint="eastAsia" w:ascii="方正楷体_GBK" w:hAnsi="Times New Roman" w:eastAsia="方正楷体_GBK"/>
          <w:sz w:val="32"/>
          <w:szCs w:val="32"/>
          <w:shd w:val="clear" w:color="auto" w:fill="FFFFFF"/>
        </w:rPr>
        <w:t>（一）预算绩效管理工作开展情况</w:t>
      </w:r>
    </w:p>
    <w:p>
      <w:pPr>
        <w:pStyle w:val="35"/>
        <w:autoSpaceDE w:val="0"/>
        <w:spacing w:after="0"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对</w:t>
      </w:r>
      <w:r>
        <w:rPr>
          <w:rFonts w:hint="eastAsia" w:ascii="Times New Roman" w:hAnsi="Times New Roman" w:eastAsia="方正仿宋_GBK"/>
          <w:sz w:val="32"/>
          <w:szCs w:val="32"/>
          <w:shd w:val="clear" w:color="auto" w:fill="FFFFFF"/>
        </w:rPr>
        <w:t>9</w:t>
      </w:r>
      <w:r>
        <w:rPr>
          <w:rFonts w:ascii="Times New Roman" w:hAnsi="Times New Roman" w:eastAsia="方正仿宋_GBK"/>
          <w:sz w:val="32"/>
          <w:szCs w:val="32"/>
          <w:shd w:val="clear" w:color="auto" w:fill="FFFFFF"/>
        </w:rPr>
        <w:t>个项目开展了绩效自评，其中，以填报绩效自评表形式开展自评3项，涉及资金</w:t>
      </w:r>
      <w:r>
        <w:rPr>
          <w:rFonts w:hint="eastAsia" w:ascii="Times New Roman" w:hAnsi="Times New Roman" w:eastAsia="方正仿宋_GBK"/>
          <w:sz w:val="32"/>
          <w:szCs w:val="32"/>
          <w:shd w:val="clear" w:color="auto" w:fill="FFFFFF"/>
        </w:rPr>
        <w:t>342.49</w:t>
      </w:r>
      <w:r>
        <w:rPr>
          <w:rFonts w:ascii="Times New Roman" w:hAnsi="Times New Roman" w:eastAsia="方正仿宋_GBK"/>
          <w:sz w:val="32"/>
          <w:szCs w:val="32"/>
          <w:shd w:val="clear" w:color="auto" w:fill="FFFFFF"/>
        </w:rPr>
        <w:t>万元；已委托第三方出具报告的方式开展绩效评价0项，涉</w:t>
      </w:r>
      <w:bookmarkEnd w:id="0"/>
      <w:r>
        <w:rPr>
          <w:rFonts w:ascii="Times New Roman" w:hAnsi="Times New Roman" w:eastAsia="方正仿宋_GBK"/>
          <w:sz w:val="32"/>
          <w:szCs w:val="32"/>
          <w:shd w:val="clear" w:color="auto" w:fill="FFFFFF"/>
        </w:rPr>
        <w:t>及资金0.00万元。</w:t>
      </w:r>
    </w:p>
    <w:p>
      <w:pPr>
        <w:pStyle w:val="12"/>
        <w:snapToGrid w:val="0"/>
        <w:spacing w:before="0" w:beforeAutospacing="0" w:after="0" w:afterAutospacing="0" w:line="560" w:lineRule="exact"/>
        <w:ind w:firstLine="640" w:firstLineChars="200"/>
        <w:jc w:val="both"/>
        <w:rPr>
          <w:rFonts w:hint="default"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（二）绩效自评结果</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1.绩效目标自评表</w:t>
      </w:r>
      <w:r>
        <w:rPr>
          <w:rFonts w:ascii="Times New Roman" w:hAnsi="Times New Roman" w:eastAsia="方正仿宋_GBK"/>
          <w:sz w:val="32"/>
          <w:szCs w:val="32"/>
          <w:shd w:val="clear" w:color="auto" w:fill="FFFFFF"/>
        </w:rPr>
        <w:t>。</w:t>
      </w:r>
    </w:p>
    <w:p>
      <w:pPr>
        <w:pStyle w:val="35"/>
        <w:autoSpaceDE w:val="0"/>
        <w:spacing w:after="0"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详见公开报表。</w:t>
      </w:r>
    </w:p>
    <w:p>
      <w:pPr>
        <w:pStyle w:val="35"/>
        <w:autoSpaceDE w:val="0"/>
        <w:spacing w:after="0"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2.绩效自评报告或案例</w:t>
      </w:r>
      <w:r>
        <w:rPr>
          <w:rFonts w:hint="eastAsia" w:ascii="Times New Roman" w:hAnsi="Times New Roman" w:eastAsia="方正仿宋_GBK"/>
          <w:sz w:val="32"/>
          <w:szCs w:val="32"/>
          <w:shd w:val="clear" w:color="auto" w:fill="FFFFFF"/>
        </w:rPr>
        <w:t>。</w:t>
      </w:r>
    </w:p>
    <w:p>
      <w:pPr>
        <w:pStyle w:val="35"/>
        <w:autoSpaceDE w:val="0"/>
        <w:spacing w:after="0"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无。</w:t>
      </w:r>
    </w:p>
    <w:p>
      <w:pPr>
        <w:pStyle w:val="35"/>
        <w:autoSpaceDE w:val="0"/>
        <w:spacing w:after="0"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3.关于绩效自评结果的说明</w:t>
      </w:r>
      <w:r>
        <w:rPr>
          <w:rFonts w:hint="eastAsia" w:ascii="Times New Roman" w:hAnsi="Times New Roman" w:eastAsia="方正仿宋_GBK"/>
          <w:sz w:val="32"/>
          <w:szCs w:val="32"/>
          <w:shd w:val="clear" w:color="auto" w:fill="FFFFFF"/>
        </w:rPr>
        <w:t>。</w:t>
      </w:r>
    </w:p>
    <w:p>
      <w:pPr>
        <w:pStyle w:val="35"/>
        <w:autoSpaceDE w:val="0"/>
        <w:spacing w:after="0"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本年度基本公共卫生、基本药物制度等各项工作顺利完成，达到了年初工作</w:t>
      </w:r>
      <w:r>
        <w:rPr>
          <w:rFonts w:hint="eastAsia" w:ascii="Times New Roman" w:hAnsi="Times New Roman" w:eastAsia="方正仿宋_GBK"/>
          <w:sz w:val="32"/>
          <w:szCs w:val="32"/>
          <w:shd w:val="clear" w:color="auto" w:fill="FFFFFF"/>
        </w:rPr>
        <w:t>目标</w:t>
      </w:r>
      <w:r>
        <w:rPr>
          <w:rFonts w:ascii="Times New Roman" w:hAnsi="Times New Roman" w:eastAsia="方正仿宋_GBK"/>
          <w:sz w:val="32"/>
          <w:szCs w:val="32"/>
          <w:shd w:val="clear" w:color="auto" w:fill="FFFFFF"/>
        </w:rPr>
        <w:t>。</w:t>
      </w:r>
    </w:p>
    <w:p>
      <w:pPr>
        <w:pStyle w:val="35"/>
        <w:autoSpaceDE w:val="0"/>
        <w:spacing w:after="0" w:line="560" w:lineRule="exact"/>
        <w:ind w:firstLine="640"/>
        <w:rPr>
          <w:rFonts w:ascii="方正楷体_GBK" w:hAnsi="Times New Roman" w:eastAsia="方正楷体_GBK"/>
          <w:sz w:val="32"/>
          <w:szCs w:val="32"/>
          <w:shd w:val="clear" w:color="auto" w:fill="FFFFFF"/>
        </w:rPr>
      </w:pPr>
      <w:r>
        <w:rPr>
          <w:rFonts w:hint="eastAsia" w:ascii="方正楷体_GBK" w:hAnsi="Times New Roman" w:eastAsia="方正楷体_GBK"/>
          <w:sz w:val="32"/>
          <w:szCs w:val="32"/>
          <w:shd w:val="clear" w:color="auto" w:fill="FFFFFF"/>
        </w:rPr>
        <w:t>（三）重点绩效评价情况</w:t>
      </w:r>
    </w:p>
    <w:p>
      <w:pPr>
        <w:pStyle w:val="35"/>
        <w:autoSpaceDE w:val="0"/>
        <w:spacing w:after="0"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无。</w:t>
      </w:r>
    </w:p>
    <w:p>
      <w:pPr>
        <w:pStyle w:val="12"/>
        <w:shd w:val="clear" w:color="auto" w:fill="FFFFFF"/>
        <w:spacing w:before="0" w:beforeAutospacing="0" w:after="0" w:afterAutospacing="0" w:line="560" w:lineRule="exact"/>
        <w:ind w:firstLine="640" w:firstLineChars="200"/>
        <w:rPr>
          <w:rStyle w:val="16"/>
          <w:rFonts w:hint="default" w:ascii="方正黑体_GBK" w:hAnsi="Times New Roman" w:eastAsia="方正黑体_GBK"/>
          <w:b w:val="0"/>
          <w:sz w:val="32"/>
          <w:szCs w:val="32"/>
          <w:shd w:val="clear" w:color="auto" w:fill="FFFFFF"/>
        </w:rPr>
      </w:pPr>
      <w:r>
        <w:rPr>
          <w:rStyle w:val="16"/>
          <w:rFonts w:hint="default" w:ascii="方正黑体_GBK" w:hAnsi="Times New Roman" w:eastAsia="方正黑体_GBK"/>
          <w:b w:val="0"/>
          <w:sz w:val="32"/>
          <w:szCs w:val="32"/>
          <w:shd w:val="clear" w:color="auto" w:fill="FFFFFF"/>
        </w:rPr>
        <w:t>六、专业名词解释</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（五）使用非财政拨款结余</w:t>
      </w:r>
      <w:r>
        <w:rPr>
          <w:rFonts w:hint="default" w:ascii="Times New Roman" w:hAnsi="Times New Roman" w:eastAsia="方正仿宋_GBK"/>
          <w:sz w:val="32"/>
          <w:szCs w:val="32"/>
          <w:shd w:val="clear" w:color="auto" w:fill="FFFFFF"/>
        </w:rPr>
        <w:t>（含专用结余）：指单位在当年的“财政拨款收入”、“事业收入”、“经营收入”、“其他收入”等不足以安排当年支出的情况下，使用以前年度积累的非财政拨款结余弥补本年度收支缺口的资金。</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（十四）工资福利支出</w:t>
      </w:r>
      <w:r>
        <w:rPr>
          <w:rFonts w:hint="default" w:ascii="Times New Roman" w:hAnsi="Times New Roman" w:eastAsia="方正仿宋_GBK"/>
          <w:sz w:val="32"/>
          <w:szCs w:val="32"/>
          <w:shd w:val="clear" w:color="auto" w:fill="FFFFFF"/>
        </w:rPr>
        <w:t>（支出经济分类科目类级）：反映单位开支的在职职工和编制外长期聘用人员的各类劳动报酬，以及为上述人员缴纳的各项社会保险费等。</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（十五）商品和服务支出</w:t>
      </w:r>
      <w:r>
        <w:rPr>
          <w:rFonts w:hint="default" w:ascii="Times New Roman" w:hAnsi="Times New Roman" w:eastAsia="方正仿宋_GBK"/>
          <w:sz w:val="32"/>
          <w:szCs w:val="32"/>
          <w:shd w:val="clear" w:color="auto" w:fill="FFFFFF"/>
        </w:rPr>
        <w:t>（支出经济分类科目类级）：反映单位购买商品和服务的支出（不包括用于购置固定资产的支出、战略性和应急储备支出）。</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（十六）对个人和家庭的补助</w:t>
      </w:r>
      <w:r>
        <w:rPr>
          <w:rFonts w:hint="default" w:ascii="Times New Roman" w:hAnsi="Times New Roman" w:eastAsia="方正仿宋_GBK"/>
          <w:sz w:val="32"/>
          <w:szCs w:val="32"/>
          <w:shd w:val="clear" w:color="auto" w:fill="FFFFFF"/>
        </w:rPr>
        <w:t>（支出经济分类科目类级）：反映用于对个人和家庭的补助支出。</w:t>
      </w:r>
    </w:p>
    <w:p>
      <w:pPr>
        <w:pStyle w:val="12"/>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方正楷体_GBK" w:hAnsi="Times New Roman" w:eastAsia="方正楷体_GBK"/>
          <w:sz w:val="32"/>
          <w:szCs w:val="32"/>
          <w:shd w:val="clear" w:color="auto" w:fill="FFFFFF"/>
        </w:rPr>
        <w:t>（十七）其他资本性支出</w:t>
      </w:r>
      <w:r>
        <w:rPr>
          <w:rFonts w:hint="default" w:ascii="Times New Roman" w:hAnsi="Times New Roman" w:eastAsia="方正仿宋_GBK"/>
          <w:sz w:val="32"/>
          <w:szCs w:val="32"/>
          <w:shd w:val="clear" w:color="auto" w:fill="FFFFFF"/>
        </w:rPr>
        <w:t>（支出经济分类科目类级）：反映非各级发展与改革部门集中安排的用于购置固定资产、战略性和应急性储备、土地和无形资产，以及构建基础设施、大型修缮和财政支持企业更新改造所发生的支出。</w:t>
      </w:r>
    </w:p>
    <w:p>
      <w:pPr>
        <w:pStyle w:val="12"/>
        <w:shd w:val="clear" w:color="auto" w:fill="FFFFFF"/>
        <w:spacing w:before="0" w:beforeAutospacing="0" w:after="0" w:afterAutospacing="0" w:line="560" w:lineRule="exact"/>
        <w:ind w:firstLine="640" w:firstLineChars="200"/>
        <w:rPr>
          <w:rStyle w:val="16"/>
          <w:rFonts w:hint="default" w:ascii="方正黑体_GBK" w:eastAsia="方正黑体_GBK"/>
          <w:b w:val="0"/>
          <w:bCs/>
          <w:sz w:val="32"/>
          <w:szCs w:val="32"/>
        </w:rPr>
      </w:pPr>
      <w:r>
        <w:rPr>
          <w:rStyle w:val="16"/>
          <w:rFonts w:hint="default" w:ascii="方正黑体_GBK" w:eastAsia="方正黑体_GBK"/>
          <w:b w:val="0"/>
          <w:bCs/>
          <w:sz w:val="32"/>
          <w:szCs w:val="32"/>
        </w:rPr>
        <w:t>七、决算公开联系方式及信息反馈渠道</w:t>
      </w:r>
    </w:p>
    <w:p>
      <w:pPr>
        <w:spacing w:after="0" w:line="560" w:lineRule="exact"/>
        <w:ind w:firstLine="200"/>
      </w:pPr>
      <w:r>
        <w:rPr>
          <w:rFonts w:hint="default" w:ascii="Times New Roman" w:hAnsi="Times New Roman" w:eastAsia="方正仿宋_GBK"/>
          <w:sz w:val="32"/>
          <w:szCs w:val="32"/>
          <w:shd w:val="clear" w:color="auto" w:fill="FFFFFF"/>
        </w:rPr>
        <w:t>本单位决算公开信息反馈和联系方式：023-48663158</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65"/>
    <w:rsid w:val="00201678"/>
    <w:rsid w:val="00476D1A"/>
    <w:rsid w:val="009B7540"/>
    <w:rsid w:val="00AE49E6"/>
    <w:rsid w:val="00B14C65"/>
    <w:rsid w:val="00B93BC8"/>
    <w:rsid w:val="4D946321"/>
    <w:rsid w:val="4FBF5E35"/>
    <w:rsid w:val="7D22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after="160" w:line="278" w:lineRule="auto"/>
    </w:pPr>
    <w:rPr>
      <w:rFonts w:hint="eastAsia" w:ascii="宋体" w:hAnsi="宋体" w:eastAsia="宋体" w:cs="Times New Roman"/>
      <w:kern w:val="0"/>
      <w:sz w:val="24"/>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11">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unhideWhenUsed/>
    <w:qFormat/>
    <w:uiPriority w:val="0"/>
    <w:pPr>
      <w:spacing w:before="100" w:beforeAutospacing="1" w:after="100" w:afterAutospacing="1"/>
    </w:p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qFormat/>
    <w:uiPriority w:val="0"/>
    <w:rPr>
      <w:b/>
    </w:rPr>
  </w:style>
  <w:style w:type="character" w:customStyle="1" w:styleId="17">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szCs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paragraph" w:customStyle="1" w:styleId="35">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2200</Words>
  <Characters>2420</Characters>
  <Lines>105</Lines>
  <Paragraphs>82</Paragraphs>
  <TotalTime>14</TotalTime>
  <ScaleCrop>false</ScaleCrop>
  <LinksUpToDate>false</LinksUpToDate>
  <CharactersWithSpaces>4538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2025-10-22T06:56:00Z</dcterms:created>
  <dc:creator>通惠财务电脑</dc:creator>
  <cp:lastModifiedBy>Administrator</cp:lastModifiedBy>
  <dcterms:modified xsi:type="dcterms:W3CDTF">2025-10-29T07:37:07Z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