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F1C9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sz w:val="44"/>
          <w:szCs w:val="44"/>
        </w:rPr>
        <w:t>重</w:t>
      </w:r>
      <w:r>
        <w:rPr>
          <w:rFonts w:hint="default" w:ascii="Times New Roman" w:hAnsi="Times New Roman" w:eastAsia="方正小标宋_GBK" w:cs="Times New Roman"/>
          <w:b w:val="0"/>
          <w:bCs w:val="0"/>
          <w:kern w:val="2"/>
          <w:sz w:val="44"/>
          <w:szCs w:val="44"/>
          <w:lang w:val="en-US" w:eastAsia="zh-CN" w:bidi="ar-SA"/>
        </w:rPr>
        <w:t>庆市綦江区文化和旅游发展委员会</w:t>
      </w:r>
    </w:p>
    <w:p w14:paraId="49AA679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（本级）</w:t>
      </w:r>
    </w:p>
    <w:p w14:paraId="246E900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2024年度决算</w:t>
      </w:r>
      <w:r>
        <w:rPr>
          <w:rFonts w:hint="default" w:ascii="Times New Roman" w:hAnsi="Times New Roman" w:eastAsia="方正小标宋_GBK" w:cs="Times New Roman"/>
          <w:b w:val="0"/>
          <w:bCs w:val="0"/>
          <w:sz w:val="44"/>
          <w:szCs w:val="44"/>
        </w:rPr>
        <w:t>公开</w:t>
      </w:r>
      <w:r>
        <w:rPr>
          <w:rFonts w:hint="default" w:ascii="Times New Roman" w:hAnsi="Times New Roman" w:eastAsia="方正小标宋_GBK" w:cs="Times New Roman"/>
          <w:b w:val="0"/>
          <w:bCs w:val="0"/>
          <w:kern w:val="2"/>
          <w:sz w:val="44"/>
          <w:szCs w:val="44"/>
          <w:lang w:val="en-US" w:eastAsia="zh-CN" w:bidi="ar-SA"/>
        </w:rPr>
        <w:t>说明</w:t>
      </w:r>
    </w:p>
    <w:p w14:paraId="2E89410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kern w:val="2"/>
          <w:sz w:val="44"/>
          <w:szCs w:val="44"/>
          <w:lang w:val="en-US" w:eastAsia="zh-CN" w:bidi="ar-SA"/>
        </w:rPr>
      </w:pPr>
    </w:p>
    <w:p w14:paraId="223D8453">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一、部门基本情况</w:t>
      </w:r>
    </w:p>
    <w:p w14:paraId="10AF64F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4E13052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重庆市綦江区文化和旅游发展委员会主要职责是：</w:t>
      </w:r>
    </w:p>
    <w:p w14:paraId="0D3C11B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（1）贯彻执行党和国家宣传、文化和旅游、广播电视、文物和博物馆、体育工作的方针政策和法律法规，拟订全区文化和旅游、广播电视、文物和博物馆、体育政策措施并组织实施。</w:t>
      </w:r>
    </w:p>
    <w:p w14:paraId="3D9AFDB2">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（2）统筹规划全区文化事业、文化产业、体育事业、体育产业和旅游业发展，拟订文化和旅游、广播电视、文物和博物馆、体育事业发展规划并组织实施，推进文化和旅游融合发展，推进体制机制改革。</w:t>
      </w:r>
    </w:p>
    <w:p w14:paraId="36DE1F2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管理全区性重大文化、体育活动，指导区级重点文化、体育设施建设，负责全区旅游整体形象宣传和推广，促进文化产业、旅游产业、体育产业对外合作和市场推广，拟订旅游市场开发战略并组织实施，指导、推进全域旅游。指导、协调、推动广播电视领域产业发展。</w:t>
      </w:r>
    </w:p>
    <w:p w14:paraId="7A658A5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（4）负责管理全区文艺事业，指导艺术创作生产，扶持体现社会主义核心价值观、具有导向性代表性示范性的文艺作品，推动各门类艺术、各艺术品种发展。</w:t>
      </w:r>
    </w:p>
    <w:p w14:paraId="58DAFB0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全区公共文化事业发展，推进公共文化服务体系建设和旅游、体育公共服务建设，深入实施惠民工程，统筹推进基本公共文化服务标准化、均等化。指导实施全区广播电视领域公共服务重大公益工程和公益活动。</w:t>
      </w:r>
    </w:p>
    <w:p w14:paraId="5D227494">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（6）指导、推进全区文化和旅游、广播电视、文物和博物馆、体育行业科技创新发展，推进文化和旅游行业信息化、标准化。</w:t>
      </w:r>
    </w:p>
    <w:p w14:paraId="57E48E07">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（7）负责全区非物质文化遗产保护，推动非物质文化遗产的传承、普及、弘扬和振兴。</w:t>
      </w:r>
    </w:p>
    <w:p w14:paraId="4322178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（8）统筹规划全区文化产业、旅游产业、体育产业，组织实施文化和旅游资源普查、挖掘、保护和利用工作，承担文化市场和旅游经济运行监测体系建设工作，促进文化产业、旅游产业和体育产业发展。</w:t>
      </w:r>
    </w:p>
    <w:p w14:paraId="318E290F">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指导全区文化、旅游和体育市场发展，对文化、旅游和体育市场经营进行行业监管，推进文化、旅游和体育行业信用体系建设，依法规范文化、旅游和体育市场。负责文化、旅游和体育市场安全的综合协调和监督管理，指导应急救援工作。</w:t>
      </w:r>
    </w:p>
    <w:p w14:paraId="6FAB9A3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（10）指导全区文化市场综合执法，组织查处文化、文物、出版、广播电视、电影、旅游、体育等市场的违法行为，维护市场秩序。具体执法由区文化市场综合执法队伍承担。</w:t>
      </w:r>
    </w:p>
    <w:p w14:paraId="13ACD75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（11）负责对广播电视机构进行业务指导和行业监管,会同有关部门对网络视听节目服务机构进行管理。指导全区广播电视重点基础设施建设。</w:t>
      </w:r>
    </w:p>
    <w:p w14:paraId="26A7A28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（12）负责电视剧行业发展和电视剧创作生产。监督管理、审</w:t>
      </w:r>
      <w:r>
        <w:rPr>
          <w:rFonts w:hint="eastAsia" w:ascii="Times New Roman" w:hAnsi="Times New Roman" w:eastAsia="方正仿宋_GBK" w:cs="Times New Roman"/>
          <w:b w:val="0"/>
          <w:bCs w:val="0"/>
          <w:sz w:val="32"/>
          <w:szCs w:val="32"/>
          <w:shd w:val="clear" w:color="auto" w:fill="FFFFFF"/>
          <w:lang w:eastAsia="zh-CN"/>
        </w:rPr>
        <w:t>查</w:t>
      </w:r>
      <w:r>
        <w:rPr>
          <w:rFonts w:hint="default" w:ascii="Times New Roman" w:hAnsi="Times New Roman" w:eastAsia="方正仿宋_GBK" w:cs="Times New Roman"/>
          <w:b w:val="0"/>
          <w:bCs w:val="0"/>
          <w:sz w:val="32"/>
          <w:szCs w:val="32"/>
          <w:shd w:val="clear" w:color="auto" w:fill="FFFFFF"/>
        </w:rPr>
        <w:t>广播电视节目、网络视听节目的内容和质量。指导、监管广播电视广告播放。</w:t>
      </w:r>
    </w:p>
    <w:p w14:paraId="3359404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（13）负责推进广播电视与新媒体新技术新业态融合发展，推进广电网与电信网、互联网三网融合。</w:t>
      </w:r>
    </w:p>
    <w:p w14:paraId="5466A54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（14）负责对广播电视节目传输覆盖、监测和安全播出进行监管，负责应急广播体系建设。指导全区广播电视系统的安全工作。</w:t>
      </w:r>
    </w:p>
    <w:p w14:paraId="42434FE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15）负责指导全区文物和博物馆业务工作。负责管理和指导考古工作，组织、协调重大文物保护和考古项目的实施。组织开展文物资源调查，履行文物、博物馆安全督察职责。指导协调博物馆建设及博物馆间的交流与协作。</w:t>
      </w:r>
    </w:p>
    <w:p w14:paraId="284B433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（16）负责全区文化遗产保护和管理监督工作，协同住房和城乡建设部门负责历史文化名镇（村）保护和监督管理工作。 </w:t>
      </w:r>
    </w:p>
    <w:p w14:paraId="7A06CFF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（17）推行全民健身计划，指导并开展群众性体育活动，实施国家体育锻炼标准，开展国民体质监测。</w:t>
      </w:r>
    </w:p>
    <w:p w14:paraId="67612570">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（18）规划全区运动项目布局，指导优秀运动队的建设和业余训练工作。</w:t>
      </w:r>
    </w:p>
    <w:p w14:paraId="0909D8A3">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（19）指导、管理文化和旅游、广播电视、文物和博物馆、体育对外及对港澳台交流、合作和宣传、推广工作，组织全区大型文化和旅游、体育等对外及对港澳台交流活动。</w:t>
      </w:r>
    </w:p>
    <w:p w14:paraId="2A910EC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（20）拟订全区文化、旅游和体育行业人才队伍建设规划并组织实施，负责从业人员职业资格管理。</w:t>
      </w:r>
    </w:p>
    <w:p w14:paraId="58967DA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（21）负责机关、直属单位和所主管的社会组织党建工作。</w:t>
      </w:r>
    </w:p>
    <w:p w14:paraId="7F3CDB8F">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（22）完成区委、区政府交办的其他任务。</w:t>
      </w:r>
    </w:p>
    <w:p w14:paraId="582382B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楷体" w:cs="Times New Roman"/>
          <w:b w:val="0"/>
          <w:bCs w:val="0"/>
          <w:sz w:val="32"/>
          <w:szCs w:val="32"/>
          <w:shd w:val="clear" w:color="auto" w:fill="FFFFFF"/>
        </w:rPr>
      </w:pPr>
      <w:r>
        <w:rPr>
          <w:rStyle w:val="8"/>
          <w:rFonts w:hint="default" w:ascii="Times New Roman" w:hAnsi="Times New Roman" w:eastAsia="楷体" w:cs="Times New Roman"/>
          <w:b w:val="0"/>
          <w:bCs w:val="0"/>
          <w:sz w:val="32"/>
          <w:szCs w:val="32"/>
          <w:shd w:val="clear" w:color="auto" w:fill="FFFFFF"/>
        </w:rPr>
        <w:t>（二）机构设置</w:t>
      </w:r>
    </w:p>
    <w:p w14:paraId="34A9CD4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重庆市綦江区文化和旅游发展委员会设下列内设机构：</w:t>
      </w:r>
    </w:p>
    <w:p w14:paraId="607F3742">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办公室。（2）党群政工科。（3）财务科。（4）安全应急科（信访稳定科）。（5）公共服务科。（6）旅游管理科。（7）体育发展科。（8）文化遗产科。（9）媒体管理科。（10）产业发展科（招商引资科）。</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市场管理科（行政审批科）。</w:t>
      </w:r>
    </w:p>
    <w:p w14:paraId="18C9970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二、部门决算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06585FA3">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C69A2FC">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2171.57万元。收、支与2023年度相比，增加306.80万元，增长16.5%，主要原因是当年基金项目正常增加315.79万元</w:t>
      </w:r>
      <w:r>
        <w:rPr>
          <w:rFonts w:hint="eastAsia" w:ascii="Times New Roman" w:hAnsi="Times New Roman" w:eastAsia="方正仿宋_GBK" w:cs="Times New Roman"/>
          <w:b w:val="0"/>
          <w:bCs w:val="0"/>
          <w:sz w:val="32"/>
          <w:szCs w:val="32"/>
          <w:shd w:val="clear" w:color="auto" w:fill="FFFFFF"/>
          <w:lang w:eastAsia="zh-CN"/>
        </w:rPr>
        <w:t>，人员性，公用性资金正常减少</w:t>
      </w:r>
      <w:r>
        <w:rPr>
          <w:rFonts w:hint="eastAsia" w:ascii="Times New Roman" w:hAnsi="Times New Roman" w:eastAsia="方正仿宋_GBK" w:cs="Times New Roman"/>
          <w:b w:val="0"/>
          <w:bCs w:val="0"/>
          <w:sz w:val="32"/>
          <w:szCs w:val="32"/>
          <w:shd w:val="clear" w:color="auto" w:fill="FFFFFF"/>
          <w:lang w:val="en-US" w:eastAsia="zh-CN"/>
        </w:rPr>
        <w:t>8.98万元</w:t>
      </w:r>
      <w:r>
        <w:rPr>
          <w:rFonts w:hint="default" w:ascii="Times New Roman" w:hAnsi="Times New Roman" w:eastAsia="方正仿宋_GBK" w:cs="Times New Roman"/>
          <w:b w:val="0"/>
          <w:bCs w:val="0"/>
          <w:sz w:val="32"/>
          <w:szCs w:val="32"/>
          <w:shd w:val="clear" w:color="auto" w:fill="FFFFFF"/>
        </w:rPr>
        <w:t>。</w:t>
      </w:r>
    </w:p>
    <w:p w14:paraId="79732D4E">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2024年度收入合计2171.57万元，与2023年度相比，增加306.80万元，增长16.5%，主要原因是当年基金项目正常增加315.79万元</w:t>
      </w:r>
      <w:r>
        <w:rPr>
          <w:rFonts w:hint="eastAsia" w:ascii="Times New Roman" w:hAnsi="Times New Roman" w:eastAsia="方正仿宋_GBK" w:cs="Times New Roman"/>
          <w:b w:val="0"/>
          <w:bCs w:val="0"/>
          <w:sz w:val="32"/>
          <w:szCs w:val="32"/>
          <w:shd w:val="clear" w:color="auto" w:fill="FFFFFF"/>
          <w:lang w:eastAsia="zh-CN"/>
        </w:rPr>
        <w:t>，人员性，公用性资金正常减少</w:t>
      </w:r>
      <w:r>
        <w:rPr>
          <w:rFonts w:hint="eastAsia" w:ascii="Times New Roman" w:hAnsi="Times New Roman" w:eastAsia="方正仿宋_GBK" w:cs="Times New Roman"/>
          <w:b w:val="0"/>
          <w:bCs w:val="0"/>
          <w:sz w:val="32"/>
          <w:szCs w:val="32"/>
          <w:shd w:val="clear" w:color="auto" w:fill="FFFFFF"/>
          <w:lang w:val="en-US" w:eastAsia="zh-CN"/>
        </w:rPr>
        <w:t>8.98万元</w:t>
      </w:r>
      <w:r>
        <w:rPr>
          <w:rFonts w:hint="default" w:ascii="Times New Roman" w:hAnsi="Times New Roman" w:eastAsia="方正仿宋_GBK" w:cs="Times New Roman"/>
          <w:b w:val="0"/>
          <w:bCs w:val="0"/>
          <w:sz w:val="32"/>
          <w:szCs w:val="32"/>
          <w:shd w:val="clear" w:color="auto" w:fill="FFFFFF"/>
        </w:rPr>
        <w:t>。其中：财政拨款收入2171.57万元，占100.0%；事业收入0.00万元，占0.0%；经营收入0.00万元，占0.0%；其他收入0.00万元，占0.0%。此外，使用非财政拨款结余（含专用结余）0.00万元，年初结转和结余0.00万元。</w:t>
      </w:r>
    </w:p>
    <w:p w14:paraId="5B6ECCB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2171.57万元，与2023年度相比，增加306.80万元，增长16.5%，主要原因是文化类项目正常增加141.34万元，基本支出正常增加165.46万元。其中：基本支出855.43万元，占39.4%；项目支出1316.14万元，占60.6%；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766A9F1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374011D0">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158A19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2024年度财政拨款收、支总计均为2171.57万元。与2023年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相比，财政拨款收、支总计各增加306.80万元，增长16.5%。主要原因是文化类项目正常增加141.34万元，基本支出正常增加165.46万元。</w:t>
      </w:r>
    </w:p>
    <w:p w14:paraId="08235A0D">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21C515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2024年度一般公共预算财政拨款收入1492.20万元，与2023年度相比，减少8.99万元，下降0.6%。主要原因是项目类资金正常调减，但人员类资金有所增加，共同引起费用减少8.9</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万元。较年初预算数减少2834.24万元，下降65.5%。主要原因是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3BA8234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1492.20万元，与2023年度相比，减少8.99万元，下降0.6%。主要原因是项目类资金正常调减，但人员类资金有所增加，共同引起费用减少8.98万元。较年初预算数减少2834.24万元，下降65.5%。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p>
    <w:p w14:paraId="05784D0E">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021AD69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）文化旅游体育与传媒支出1209.79万元，占81.1%，较年初预算数减少1123.93万元，下降48.2%，主要原因是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p>
    <w:p w14:paraId="394D2AC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就业支出197.16万元，占13.2%，较年初预算数减少111.03万元，下降36.0%，主要原因是</w:t>
      </w:r>
      <w:r>
        <w:rPr>
          <w:rFonts w:hint="default" w:ascii="Times New Roman" w:hAnsi="Times New Roman" w:eastAsia="方正仿宋_GBK" w:cs="Times New Roman"/>
          <w:b w:val="0"/>
          <w:bCs w:val="0"/>
          <w:kern w:val="0"/>
          <w:sz w:val="32"/>
          <w:szCs w:val="32"/>
          <w:lang w:val="en-US" w:eastAsia="zh-CN" w:bidi="ar-SA"/>
        </w:rPr>
        <w:t>退休职工健康休养费支出有所减少。</w:t>
      </w:r>
    </w:p>
    <w:p w14:paraId="237C4AF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）卫生健康支出36.69万元，占2.5%，较年初预算数减少30.38万元，下降45.3%，主要原因是</w:t>
      </w:r>
      <w:r>
        <w:rPr>
          <w:rFonts w:hint="default" w:ascii="Times New Roman" w:hAnsi="Times New Roman" w:eastAsia="方正仿宋_GBK" w:cs="Times New Roman"/>
          <w:b w:val="0"/>
          <w:bCs w:val="0"/>
          <w:kern w:val="0"/>
          <w:sz w:val="32"/>
          <w:szCs w:val="32"/>
          <w:lang w:val="en-US" w:eastAsia="zh-CN" w:bidi="ar-SA"/>
        </w:rPr>
        <w:t>医保缴费基数是按照上年月平均工资申报，故实际缴费有所减少。</w:t>
      </w:r>
    </w:p>
    <w:p w14:paraId="4A6C46D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48.57万元，占3.3%，较年初预算数减少29.89万元，下降38.1%，主要原因是</w:t>
      </w:r>
      <w:r>
        <w:rPr>
          <w:rFonts w:hint="default" w:ascii="Times New Roman" w:hAnsi="Times New Roman" w:eastAsia="方正仿宋_GBK" w:cs="Times New Roman"/>
          <w:b w:val="0"/>
          <w:bCs w:val="0"/>
          <w:sz w:val="32"/>
          <w:szCs w:val="32"/>
          <w:shd w:val="clear" w:color="auto" w:fill="FFFFFF"/>
          <w:lang w:eastAsia="zh-CN"/>
        </w:rPr>
        <w:t>住房公积金</w:t>
      </w:r>
      <w:r>
        <w:rPr>
          <w:rFonts w:hint="default" w:ascii="Times New Roman" w:hAnsi="Times New Roman" w:eastAsia="方正仿宋_GBK" w:cs="Times New Roman"/>
          <w:b w:val="0"/>
          <w:bCs w:val="0"/>
          <w:kern w:val="0"/>
          <w:sz w:val="32"/>
          <w:szCs w:val="32"/>
          <w:lang w:val="en-US" w:eastAsia="zh-CN" w:bidi="ar-SA"/>
        </w:rPr>
        <w:t>缴费基数是按照上年月平均工资申报，故实际缴费有所减少。</w:t>
      </w:r>
    </w:p>
    <w:p w14:paraId="2209D15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AB5EAC6">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085E626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2024年度一般公共财政拨款基本支出855.43万元。</w:t>
      </w:r>
    </w:p>
    <w:p w14:paraId="437C879E">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707A3B6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727.88万元，与2023年度相比，增加148.76万元，增长25.7%，主要原因是主要是当年正常调入3人，同时补资共同造成人员性支出正常增加148.75万元。人员经费用途主要包括基本工资、津贴补贴、社会保障缴费、住房公积金等。</w:t>
      </w:r>
    </w:p>
    <w:p w14:paraId="2684972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公用经费127.56万元，与2023年度相比，增加16.71万元，增长15.1%，主要原因是当年正常调入3人引起公用费用正常增加16.70万元。公用经费用途主要包括办公费、邮电费、工会补助经费、其他交通费用等。</w:t>
      </w:r>
    </w:p>
    <w:p w14:paraId="360BCC70">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51C3E625">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679.37万元，与2023年度相比，增加315.79万元，增长86.9%，主要原因是当年基金项目正常增加315.79万元。本年支出679.37万元，与2023年度相比，增加315.79万元，增长86.9%，主要原因是当年基金项目正常增加315.79万元。</w:t>
      </w:r>
    </w:p>
    <w:p w14:paraId="07A6D923">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6B43CD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auto"/>
        </w:rPr>
        <w:t>本</w:t>
      </w:r>
      <w:r>
        <w:rPr>
          <w:rStyle w:val="8"/>
          <w:rFonts w:hint="eastAsia" w:ascii="Times New Roman" w:hAnsi="Times New Roman" w:eastAsia="方正仿宋_GBK" w:cs="Times New Roman"/>
          <w:b w:val="0"/>
          <w:bCs w:val="0"/>
          <w:sz w:val="32"/>
          <w:szCs w:val="32"/>
          <w:shd w:val="clear" w:color="auto" w:fill="auto"/>
          <w:lang w:eastAsia="zh-CN"/>
        </w:rPr>
        <w:t>单位</w:t>
      </w:r>
      <w:r>
        <w:rPr>
          <w:rStyle w:val="8"/>
          <w:rFonts w:hint="default" w:ascii="Times New Roman" w:hAnsi="Times New Roman" w:eastAsia="方正仿宋_GBK" w:cs="Times New Roman"/>
          <w:b w:val="0"/>
          <w:bCs w:val="0"/>
          <w:sz w:val="32"/>
          <w:szCs w:val="32"/>
          <w:shd w:val="clear" w:color="auto" w:fill="auto"/>
        </w:rPr>
        <w:t>2024年度无国有资本经营预算财政拨款支出。</w:t>
      </w:r>
    </w:p>
    <w:p w14:paraId="00A9CAD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4776767E">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505FFDF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2024年度“三公”经费支出共计8.19万元，较年初预算数减少6.81万元，下降45.4%，主要原因是</w:t>
      </w:r>
      <w:r>
        <w:rPr>
          <w:rFonts w:hint="default" w:ascii="Times New Roman" w:hAnsi="Times New Roman" w:eastAsia="方正仿宋_GBK" w:cs="Times New Roman"/>
          <w:b w:val="0"/>
          <w:bCs w:val="0"/>
          <w:kern w:val="0"/>
          <w:sz w:val="32"/>
          <w:szCs w:val="32"/>
          <w:lang w:val="en-US" w:eastAsia="zh-CN" w:bidi="ar-SA"/>
        </w:rPr>
        <w:t>认真</w:t>
      </w:r>
      <w:bookmarkStart w:id="0" w:name="_GoBack"/>
      <w:bookmarkEnd w:id="0"/>
      <w:r>
        <w:rPr>
          <w:rFonts w:hint="default" w:ascii="Times New Roman" w:hAnsi="Times New Roman" w:eastAsia="方正仿宋_GBK" w:cs="Times New Roman"/>
          <w:b w:val="0"/>
          <w:bCs w:val="0"/>
          <w:kern w:val="0"/>
          <w:sz w:val="32"/>
          <w:szCs w:val="32"/>
          <w:lang w:val="en-US" w:eastAsia="zh-CN" w:bidi="ar-SA"/>
        </w:rPr>
        <w:t>贯彻落实中央八项规定精神和厉行节约要求，实际支出有很大减少。</w:t>
      </w:r>
      <w:r>
        <w:rPr>
          <w:rFonts w:hint="default" w:ascii="Times New Roman" w:hAnsi="Times New Roman" w:eastAsia="方正仿宋_GBK" w:cs="Times New Roman"/>
          <w:b w:val="0"/>
          <w:bCs w:val="0"/>
          <w:sz w:val="32"/>
          <w:szCs w:val="32"/>
          <w:shd w:val="clear" w:color="auto" w:fill="FFFFFF"/>
        </w:rPr>
        <w:t>较上年支出数减少15.23万元，下降65.0%，主要原因是主要是当年无公车购置支出而减少16.84万元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运维费用减少0.11万元，公务接待正常增加1.71万元。</w:t>
      </w:r>
    </w:p>
    <w:p w14:paraId="7D70935D">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66806A1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w:t>
      </w:r>
    </w:p>
    <w:p w14:paraId="6925BB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车购置费0.00万元，费用支出较年初预算数无增减。较上年支出数减少16.84万元，下降100.0%，主要原因是</w:t>
      </w:r>
      <w:r>
        <w:rPr>
          <w:rFonts w:hint="default" w:ascii="Times New Roman" w:hAnsi="Times New Roman" w:eastAsia="方正仿宋_GBK" w:cs="Times New Roman"/>
          <w:b w:val="0"/>
          <w:bCs w:val="0"/>
          <w:sz w:val="32"/>
          <w:szCs w:val="32"/>
          <w:shd w:val="clear" w:color="auto" w:fill="FFFFFF"/>
          <w:lang w:eastAsia="zh-CN"/>
        </w:rPr>
        <w:t>上</w:t>
      </w:r>
      <w:r>
        <w:rPr>
          <w:rFonts w:hint="default" w:ascii="Times New Roman" w:hAnsi="Times New Roman" w:eastAsia="方正仿宋_GBK" w:cs="Times New Roman"/>
          <w:b w:val="0"/>
          <w:bCs w:val="0"/>
          <w:sz w:val="32"/>
          <w:szCs w:val="32"/>
          <w:shd w:val="clear" w:color="auto" w:fill="FFFFFF"/>
        </w:rPr>
        <w:t>年度发生公务车购置支出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本年度未发生公务车购置支出。</w:t>
      </w:r>
    </w:p>
    <w:p w14:paraId="03D38C8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车运行维护费5.12万元，主要用于</w:t>
      </w:r>
      <w:r>
        <w:rPr>
          <w:rFonts w:hint="default" w:ascii="Times New Roman" w:hAnsi="Times New Roman" w:eastAsia="方正仿宋_GBK" w:cs="Times New Roman"/>
          <w:b w:val="0"/>
          <w:bCs w:val="0"/>
          <w:color w:val="333333"/>
          <w:sz w:val="32"/>
          <w:szCs w:val="32"/>
        </w:rPr>
        <w:t>市</w:t>
      </w:r>
      <w:r>
        <w:rPr>
          <w:rFonts w:hint="default" w:ascii="Times New Roman" w:hAnsi="Times New Roman" w:eastAsia="方正仿宋_GBK" w:cs="Times New Roman"/>
          <w:b w:val="0"/>
          <w:bCs w:val="0"/>
          <w:sz w:val="32"/>
          <w:szCs w:val="32"/>
          <w:shd w:val="clear" w:color="auto" w:fill="FFFFFF"/>
        </w:rPr>
        <w:t>内因公出行、执法检查等工作所需车辆的燃料费、维修费、过桥过路费、保险费等。费用支出较年初预算数减少3.88万元，下降43.1%，主要原因是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严格落实公车使用规定，严禁公车私用，公车运行维护成本大幅下降。</w:t>
      </w:r>
      <w:r>
        <w:rPr>
          <w:rFonts w:hint="default" w:ascii="Times New Roman" w:hAnsi="Times New Roman" w:eastAsia="方正仿宋_GBK" w:cs="Times New Roman"/>
          <w:b w:val="0"/>
          <w:bCs w:val="0"/>
          <w:sz w:val="32"/>
          <w:szCs w:val="32"/>
          <w:shd w:val="clear" w:color="auto" w:fill="FFFFFF"/>
        </w:rPr>
        <w:t>较上年支出数减少0.12万元，下降2.3%，主要原因是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w:t>
      </w:r>
      <w:r>
        <w:rPr>
          <w:rFonts w:hint="default" w:ascii="Times New Roman" w:hAnsi="Times New Roman" w:eastAsia="方正仿宋_GBK" w:cs="Times New Roman"/>
          <w:b w:val="0"/>
          <w:bCs w:val="0"/>
          <w:sz w:val="32"/>
          <w:szCs w:val="32"/>
          <w:shd w:val="clear" w:color="auto" w:fill="FFFFFF"/>
        </w:rPr>
        <w:t>运维费用减少0.1</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14:paraId="3D508E0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公务接待费3.07万元，主要用于市区外单位来人交流工作接待。费用支出较年初预算数减少2.93万元，下降48.8%，主要原因是</w:t>
      </w:r>
      <w:r>
        <w:rPr>
          <w:rFonts w:hint="default" w:ascii="Times New Roman" w:hAnsi="Times New Roman" w:eastAsia="方正仿宋_GBK" w:cs="Times New Roman"/>
          <w:b w:val="0"/>
          <w:bCs w:val="0"/>
          <w:kern w:val="0"/>
          <w:sz w:val="32"/>
          <w:szCs w:val="32"/>
          <w:lang w:val="en-US" w:eastAsia="zh-CN" w:bidi="ar-SA"/>
        </w:rPr>
        <w:t>强化公务接待支出管理，严格遵守公务接待开支范围和开支标准，严格控制陪餐人数，对应由接待对象承担的费用一律由接待对象自行支付，所以实际支出公务接待费大幅度减少。</w:t>
      </w:r>
      <w:r>
        <w:rPr>
          <w:rFonts w:hint="default" w:ascii="Times New Roman" w:hAnsi="Times New Roman" w:eastAsia="方正仿宋_GBK" w:cs="Times New Roman"/>
          <w:b w:val="0"/>
          <w:bCs w:val="0"/>
          <w:sz w:val="32"/>
          <w:szCs w:val="32"/>
          <w:shd w:val="clear" w:color="auto" w:fill="FFFFFF"/>
        </w:rPr>
        <w:t>较上年支出数增加1.72万元，增长127.4%，主要原因是当年外单位来人交流增多而接待人数增加造成费用增加1.72万元。</w:t>
      </w:r>
    </w:p>
    <w:p w14:paraId="58B5CF82">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65D8BFD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0个团组，0人；公务用车购置0辆，公务车保有量为2辆；国内公务接待54批次430人，其中：国内外事接待0批次，0人；国（境）外公务接待0批次，0人。2024年本部门人均接待费71.32元，车均购置费0万元，车均维护费2.56万元。</w:t>
      </w:r>
    </w:p>
    <w:p w14:paraId="2BA005A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6508565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1A0BF2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本年度会议费支出1.29万元，与2023年度相比，减少2.91万元，下降69.3%，主要原因是当年参加会议的人数减少而节约费用2.91万元。本年度培训费支出8.15万元，与2023年度相比，增加2.36万元，增长40.8%，主要原因是当年职工参加培训人次增加而费用正常增加2.36万元。本年度差旅费支出24.77</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与2023年度相比，增加11.41万元，增长85.4%，主要原因是</w:t>
      </w:r>
      <w:r>
        <w:rPr>
          <w:rFonts w:hint="default" w:ascii="Times New Roman" w:hAnsi="Times New Roman" w:eastAsia="方正仿宋_GBK" w:cs="Times New Roman"/>
          <w:b w:val="0"/>
          <w:bCs w:val="0"/>
          <w:color w:val="auto"/>
          <w:sz w:val="32"/>
          <w:szCs w:val="32"/>
          <w:shd w:val="clear" w:color="auto" w:fill="FFFFFF"/>
          <w:lang w:eastAsia="zh-CN"/>
        </w:rPr>
        <w:t>根据重点工作安排出差人次有所增多，故差旅费支出有所增加。</w:t>
      </w:r>
    </w:p>
    <w:p w14:paraId="70064B78">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2805F83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sz w:val="32"/>
          <w:szCs w:val="32"/>
          <w:shd w:val="clear" w:color="auto" w:fill="FFFFFF"/>
        </w:rPr>
        <w:t>2024年度本部门机关运行经费支出127.56万元，机关运行经费主要用于开支</w:t>
      </w:r>
      <w:r>
        <w:rPr>
          <w:rFonts w:hint="default" w:ascii="Times New Roman" w:hAnsi="Times New Roman" w:eastAsia="方正仿宋_GBK" w:cs="Times New Roman"/>
          <w:b w:val="0"/>
          <w:bCs w:val="0"/>
          <w:sz w:val="32"/>
        </w:rPr>
        <w:t>办公费、印刷费、邮电费、水电费、物管费、差旅费、会议费、培训费及其他商品和服务支出等。</w:t>
      </w:r>
      <w:r>
        <w:rPr>
          <w:rFonts w:hint="default" w:ascii="Times New Roman" w:hAnsi="Times New Roman" w:eastAsia="方正仿宋_GBK" w:cs="Times New Roman"/>
          <w:b w:val="0"/>
          <w:bCs w:val="0"/>
          <w:sz w:val="32"/>
          <w:szCs w:val="32"/>
          <w:shd w:val="clear" w:color="auto" w:fill="FFFFFF"/>
        </w:rPr>
        <w:t>机关运行经费较上年支出数增加16.71万元，增长15.1%，主要原因是将原列为日常项目中的公用支出调为正常公用后增加16.7</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w:t>
      </w:r>
    </w:p>
    <w:p w14:paraId="1551A786">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219327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截至2024年12月31日，本部门共有车辆2辆，其中，副部（省）级及以上领导用车0辆、主要负责人用车0辆、机要通信用车0辆、应急保障用车1辆、执法执勤用车0辆，特种专业技术用车1辆，离退休干部用车0辆。单价100万元（含）以上专用设备0台（套）。</w:t>
      </w:r>
    </w:p>
    <w:p w14:paraId="7F550199">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144601E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政府采购支出总额261.24万元，其中：政府采购货物支出0.00万元、政府采购工程支出0.00万元、政府采购服务支出261.24万元。授予中小企业合同金额261.24</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元，占政府采购支出总额的100.0%，其中：授予小微企业合同金额261.24万元，占政府采购支出总额的100.0 %。主要用于</w:t>
      </w:r>
      <w:r>
        <w:rPr>
          <w:rFonts w:hint="default" w:ascii="Times New Roman" w:hAnsi="Times New Roman" w:eastAsia="方正仿宋_GBK" w:cs="Times New Roman"/>
          <w:b w:val="0"/>
          <w:bCs w:val="0"/>
          <w:kern w:val="0"/>
          <w:sz w:val="32"/>
          <w:szCs w:val="32"/>
        </w:rPr>
        <w:t>采购部分健身器材和购买公共文化演出等。</w:t>
      </w:r>
    </w:p>
    <w:p w14:paraId="0F4C13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五、2024年度预算绩效管理情况说明</w:t>
      </w:r>
    </w:p>
    <w:p w14:paraId="2249DDC1">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07A50D4E">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w:t>
      </w:r>
      <w:r>
        <w:rPr>
          <w:rFonts w:hint="default" w:ascii="Times New Roman" w:hAnsi="Times New Roman" w:eastAsia="方正仿宋_GBK" w:cs="Times New Roman"/>
          <w:b w:val="0"/>
          <w:bCs w:val="0"/>
          <w:sz w:val="32"/>
          <w:szCs w:val="32"/>
          <w:shd w:val="clear" w:color="auto" w:fill="FFFFFF"/>
          <w:lang w:val="en-US" w:eastAsia="zh-CN"/>
        </w:rPr>
        <w:t>44</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个二级项目开展了绩效自评，涉及财政拨款项目支出资金1,316.14万元。</w:t>
      </w:r>
    </w:p>
    <w:p w14:paraId="575E57C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4924C29E">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129CF5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0CE3DBBA">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7A8654AF">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14B2EAEC">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0E01073F">
      <w:pPr>
        <w:pStyle w:val="12"/>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00000767">
      <w:pPr>
        <w:pStyle w:val="13"/>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14:paraId="3B26AB7C">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六、专业名词解释</w:t>
      </w:r>
    </w:p>
    <w:p w14:paraId="507CC6F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EE3842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50C4DE8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2B711875">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AE7AB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C8FE37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377CA6B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1E15AC7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77191DEB">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497A1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4F1A6E6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196482C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61C37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84907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3C2C825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F849CD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45F01CD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D89757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七、决算公开联系方式及信息反馈渠道</w:t>
      </w:r>
    </w:p>
    <w:p w14:paraId="54524950">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宋体" w:cs="Times New Roman"/>
          <w:b w:val="0"/>
          <w:bCs w:val="0"/>
          <w:color w:val="000000"/>
          <w:sz w:val="21"/>
          <w:szCs w:val="21"/>
          <w:lang w:val="en-US" w:bidi="ar"/>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w:t>
      </w:r>
      <w:r>
        <w:rPr>
          <w:rFonts w:hint="default" w:ascii="Times New Roman" w:hAnsi="Times New Roman" w:eastAsia="微软雅黑" w:cs="Times New Roman"/>
          <w:b w:val="0"/>
          <w:bCs w:val="0"/>
          <w:color w:val="333333"/>
          <w:sz w:val="32"/>
          <w:szCs w:val="32"/>
          <w:lang w:val="en-US" w:eastAsia="zh-CN"/>
        </w:rPr>
        <w:t>678206</w:t>
      </w:r>
    </w:p>
    <w:sectPr>
      <w:headerReference r:id="rId3" w:type="default"/>
      <w:footerReference r:id="rId4" w:type="default"/>
      <w:pgSz w:w="11900" w:h="16840"/>
      <w:pgMar w:top="2098" w:right="1531" w:bottom="1984" w:left="1531" w:header="0" w:footer="283"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A82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D3689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D3689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4779E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4779E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75A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6DFA133"/>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EFF56EE"/>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593F07"/>
    <w:rsid w:val="39B82A39"/>
    <w:rsid w:val="39F33306"/>
    <w:rsid w:val="3B0E2BB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4A0363"/>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EAC138"/>
    <w:rsid w:val="5842572D"/>
    <w:rsid w:val="58FC51DB"/>
    <w:rsid w:val="598A28E2"/>
    <w:rsid w:val="5C1336B7"/>
    <w:rsid w:val="5C263CE4"/>
    <w:rsid w:val="5C5D2777"/>
    <w:rsid w:val="5C722D7F"/>
    <w:rsid w:val="5D290C69"/>
    <w:rsid w:val="5EFA176D"/>
    <w:rsid w:val="5F0247F9"/>
    <w:rsid w:val="5F2D4A41"/>
    <w:rsid w:val="5F7425DF"/>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F92D05"/>
    <w:rsid w:val="6FFB2E76"/>
    <w:rsid w:val="70AB70D6"/>
    <w:rsid w:val="70DE5507"/>
    <w:rsid w:val="71C34D91"/>
    <w:rsid w:val="71ED38AA"/>
    <w:rsid w:val="72DB435C"/>
    <w:rsid w:val="74DD62BA"/>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6DB7EE"/>
    <w:rsid w:val="7B7D43A1"/>
    <w:rsid w:val="7BD06A28"/>
    <w:rsid w:val="7C1E4CD7"/>
    <w:rsid w:val="7C3A7C0B"/>
    <w:rsid w:val="7C5248E4"/>
    <w:rsid w:val="7C566698"/>
    <w:rsid w:val="7CE56AF6"/>
    <w:rsid w:val="7CF02E5B"/>
    <w:rsid w:val="7D213FB2"/>
    <w:rsid w:val="7FF723E4"/>
    <w:rsid w:val="7FFFA72E"/>
    <w:rsid w:val="BDF62277"/>
    <w:rsid w:val="C9FC45E6"/>
    <w:rsid w:val="D7FF23BD"/>
    <w:rsid w:val="E2FF21A1"/>
    <w:rsid w:val="E5A9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_Style 1"/>
    <w:basedOn w:val="1"/>
    <w:qFormat/>
    <w:uiPriority w:val="34"/>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paragraph" w:customStyle="1" w:styleId="13">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4">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7711</Words>
  <Characters>21008</Characters>
  <Lines>161</Lines>
  <Paragraphs>45</Paragraphs>
  <TotalTime>6</TotalTime>
  <ScaleCrop>false</ScaleCrop>
  <LinksUpToDate>false</LinksUpToDate>
  <CharactersWithSpaces>21460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2024-07-14T02:00:00Z</dcterms:created>
  <dc:creator>Administrator</dc:creator>
  <cp:lastModifiedBy>Administrator</cp:lastModifiedBy>
  <dcterms:modified xsi:type="dcterms:W3CDTF">2025-11-04T02:46:28Z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C50C1285BC5948E9BEB7BB22208C432A_13</vt:lpwstr>
  </property>
</Properties>
</file>