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794C3">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重庆市綦江区体育中心</w:t>
      </w:r>
    </w:p>
    <w:p w14:paraId="502F1B0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77C4C1D2">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firstLine="880" w:firstLineChars="200"/>
        <w:jc w:val="both"/>
        <w:textAlignment w:val="auto"/>
        <w:rPr>
          <w:rFonts w:hint="default" w:ascii="Times New Roman" w:hAnsi="Times New Roman" w:eastAsia="方正小标宋_GBK" w:cs="Times New Roman"/>
          <w:b w:val="0"/>
          <w:bCs w:val="0"/>
          <w:sz w:val="44"/>
          <w:szCs w:val="44"/>
          <w:shd w:val="clear" w:color="auto" w:fill="FFFFFF"/>
        </w:rPr>
      </w:pPr>
    </w:p>
    <w:p w14:paraId="32C016BF">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14:paraId="077935FE">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6ED95EA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1.负责具体实施对体育局直管的全区体育场馆的管理、使用、维护和维修工作。</w:t>
      </w:r>
    </w:p>
    <w:p w14:paraId="02927E1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2.负责实施全区国民体质监测工作。</w:t>
      </w:r>
    </w:p>
    <w:p w14:paraId="5F0FE5D0">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3.负责为体育训练提供场地保障工作。</w:t>
      </w:r>
    </w:p>
    <w:p w14:paraId="2F7C56A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4.负责做好体育馆免费和低收费对外开放工作。</w:t>
      </w:r>
    </w:p>
    <w:p w14:paraId="42F80D71">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5.负责为全区大型集会提供场地保障工作。</w:t>
      </w:r>
    </w:p>
    <w:p w14:paraId="24AB72E8">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6.负责对体育局直管的全区体育场馆附属设施的管理工作。</w:t>
      </w:r>
    </w:p>
    <w:p w14:paraId="45D895EE">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7.协调做好全区体育场地的管理和指导工作。</w:t>
      </w:r>
    </w:p>
    <w:p w14:paraId="23B75A7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8.负责组织、实施、指导全区群众体育工作，负责社会体育指导员培训管理工作。</w:t>
      </w:r>
    </w:p>
    <w:p w14:paraId="24E5C72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9.完成上级交办的其他工作。</w:t>
      </w:r>
    </w:p>
    <w:p w14:paraId="75747F0B">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3235E5D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重庆市綦江区体育中心为区文化旅游委所属事业单位，机构类型为公益一类事业单位，机构级别为正科级，经费形式为财政全额拨款，宗旨为提供体育运动场所及相关服务，促进体育事业发展。</w:t>
      </w:r>
    </w:p>
    <w:p w14:paraId="017B4AF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14:paraId="53B57B96">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（三）内设机构</w:t>
      </w:r>
    </w:p>
    <w:p w14:paraId="6F7963AF">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根据上述职能，重庆市綦江区体育中心下设综合部、业务部等2个内设机构。</w:t>
      </w:r>
    </w:p>
    <w:p w14:paraId="40022E7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二、单位决算收支情况说明</w:t>
      </w:r>
    </w:p>
    <w:p w14:paraId="499FE3E7">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3998811A">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467.18万元。收、支与2023年度相比，增加66.27万元，增长16.5%，主要原因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w:t>
      </w:r>
    </w:p>
    <w:p w14:paraId="4A09611F">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467.18万元，与2023年度相比，增加66.27万元，增长16.5%，主要原因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其中：财政拨款收入467.18万元，占100.0%；事业收入0.00万元，占0.0%；经营收入0.00万元，占0.0%；其他收入0.00万元，占0.0%。此外，使用非财政拨款结余（含专用结余）0.00万元，年初结转和结余0.00万元。</w:t>
      </w:r>
    </w:p>
    <w:p w14:paraId="60E6941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2024年度支出合计467.18万元，与2023年度相比，增加66.27万元，增长16.5%，主要原因是</w:t>
      </w:r>
      <w:bookmarkStart w:id="0" w:name="_GoBack"/>
      <w:bookmarkEnd w:id="0"/>
      <w:r>
        <w:rPr>
          <w:rFonts w:hint="default" w:ascii="Times New Roman" w:hAnsi="Times New Roman" w:eastAsia="方正仿宋_GBK" w:cs="Times New Roman"/>
          <w:b w:val="0"/>
          <w:bCs w:val="0"/>
          <w:sz w:val="32"/>
          <w:szCs w:val="32"/>
          <w:shd w:val="clear" w:color="auto" w:fill="FFFFFF"/>
        </w:rPr>
        <w:t>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其中：基本支出176.68万元，占37.8%；项目支出290.50万元，占62.2%；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168F8AC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38ABE6C9">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5D0EFCC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467.18万元。与2023年度相比，财政拨款收、支总计各增加66.27万元，增长16.5%。主要原因是本年度新增彩票公益金与区县分成清算(体育馆消防整改)项目经费15万元、重庆市公共体育设施智慧化建设补助资金项目经费20万元、彩票公益金与区县分成清算（体育馆维修专项）60万元、彩票公益金与区县分成清算（举办、承办、参加各级各类赛事活动）项目经费39.8万元等。</w:t>
      </w:r>
    </w:p>
    <w:p w14:paraId="0543307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70E2A02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332.38万元，与2023年度相比，减少24.53万元，下降6.9%。主要原因是公共体育场馆向社会免费低收费开放补助资金减少25万元。较年初预算数减少253.86万元，下降43.3%。主要原因是年中调剂减少全民健身设施补短板工程中央基建投资预算(活力运动5人制1号足球场)256万元到具体实施街镇。此外，年初财政拨款结转和结余0.00万元。</w:t>
      </w:r>
    </w:p>
    <w:p w14:paraId="3FB3272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332.38万元，与2023年度相比，减少24.53万元，下降6.9%。主要原因是公共体育场馆向社会免费低收费开放补助资金减少25万元。较年初预算数减少253.86万元，下降43.3%。主要原因是年中调剂减少全民健身设施补短板工程中央基建投资预算(活力运动5人制1号足球场)256万元到具体实施街镇。</w:t>
      </w:r>
    </w:p>
    <w:p w14:paraId="5AA3610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5DA3D88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（1）文化旅游体育与传媒支出292.30万元，占87.9%，较年初预算数减少260.50万元，下降47.1%，主要原因是年中调剂减少全民健身设施补短板工程中央基建投资预算(活力运动5人制1号足球场)256万元到具体实施街镇</w:t>
      </w:r>
    </w:p>
    <w:p w14:paraId="0E75701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（2）社会保障和就业支出26.25万元，占7.9%，较年初预算数增加6.83万元，增长35.2%，主要原因是本年度补缴以前年度养老保险。</w:t>
      </w:r>
    </w:p>
    <w:p w14:paraId="215BFE1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（3）卫生健康支出6.75万元，占2.0%，较年初预算数减少0.20万元，下降2.9%，主要原因是缴存职工医疗保险减少。</w:t>
      </w:r>
    </w:p>
    <w:p w14:paraId="5A5402AA">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7.07万元，占2.1%，较年初预算数无增减，主要原因是缴存职工住房公积金无增减。</w:t>
      </w:r>
    </w:p>
    <w:p w14:paraId="79E92C3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14:paraId="54F50C99">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5455054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2024年度一般公共财政拨款基本支出176.68万元。</w:t>
      </w:r>
    </w:p>
    <w:p w14:paraId="059B615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50D22CC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人员经费146.36万元，与2023年度相比，增加21.71万元，增长17.4%，主要原因是本年度补缴以前年度养老保险。人员经费用途主要包括</w:t>
      </w:r>
      <w:r>
        <w:rPr>
          <w:rFonts w:hint="default" w:ascii="Times New Roman" w:hAnsi="Times New Roman" w:eastAsia="方正仿宋_GBK" w:cs="Times New Roman"/>
          <w:b w:val="0"/>
          <w:bCs w:val="0"/>
          <w:sz w:val="32"/>
          <w:szCs w:val="32"/>
        </w:rPr>
        <w:t>基本工资、津贴补贴、奖金、社会保障缴费、医疗费、住房公积金和对个人和家庭的补助等</w:t>
      </w:r>
      <w:r>
        <w:rPr>
          <w:rFonts w:hint="default" w:ascii="Times New Roman" w:hAnsi="Times New Roman" w:eastAsia="方正仿宋_GBK" w:cs="Times New Roman"/>
          <w:b w:val="0"/>
          <w:bCs w:val="0"/>
          <w:sz w:val="32"/>
          <w:szCs w:val="32"/>
          <w:shd w:val="clear" w:color="auto" w:fill="FFFFFF"/>
        </w:rPr>
        <w:t>。</w:t>
      </w:r>
    </w:p>
    <w:p w14:paraId="0C433DB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公用经费30.31万元，与2023年度相比，增加8.75万元，增长40.6%，主要原因是本年度把以往的运作性项目经费、独立运行补丁项目经费调整为公用经费基本支出。公用经费用途主要包括</w:t>
      </w:r>
      <w:r>
        <w:rPr>
          <w:rFonts w:hint="default" w:ascii="Times New Roman" w:hAnsi="Times New Roman" w:eastAsia="方正仿宋_GBK" w:cs="Times New Roman"/>
          <w:b w:val="0"/>
          <w:bCs w:val="0"/>
          <w:sz w:val="32"/>
          <w:szCs w:val="32"/>
        </w:rPr>
        <w:t>办公费、劳务费、邮电费、水电费、维修费、公务用车运行维护费、其他交通费用、培训费、工会经费及其他商品和服务支出等。</w:t>
      </w:r>
    </w:p>
    <w:p w14:paraId="0105F6F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0287499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134.80万元，与2023年度相比，增加90.80万元，增长206.4%，主要原因是本年度新增彩票公益金与区县分成清算(体育馆消防整改)项目经费15万元、重庆市公共体育设施智慧化建设补助资金项目经费20万元、彩票公益金与区县分成清算（体育馆维修专项）60万元等。本年支出134.80万元，与2023年度相比，增加90.80万元，增长206.4%，主要原因是新增彩票公益金与区县分成清算(体育馆消防整改)项目经费15万元、重庆市公共体育设施智慧化建设补助资金项目经费20万元、彩票公益金与区县分成清算（体育馆维修专项）60万元等。</w:t>
      </w:r>
    </w:p>
    <w:p w14:paraId="386EC9C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336E026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14:paraId="7932FDC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14:paraId="52206DA0">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3F9D19A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2024年度“三公”经费支出共计0.00万元，较年初预算数无增减，较上年支出数无增减，主要原因一是本单位无公务车辆；二是</w:t>
      </w:r>
      <w:r>
        <w:rPr>
          <w:rFonts w:hint="default" w:ascii="Times New Roman" w:hAnsi="Times New Roman" w:eastAsia="方正仿宋_GBK" w:cs="Times New Roman"/>
          <w:b w:val="0"/>
          <w:bCs w:val="0"/>
          <w:sz w:val="32"/>
          <w:szCs w:val="32"/>
        </w:rPr>
        <w:t>严格落实公务接待规定，厉行节约，无相关费用支出。</w:t>
      </w:r>
    </w:p>
    <w:p w14:paraId="34183960">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67AFE32A">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2024年度本单位因公出国（境）费用0.00万元，</w:t>
      </w:r>
      <w:r>
        <w:rPr>
          <w:rFonts w:hint="default" w:ascii="Times New Roman" w:hAnsi="Times New Roman" w:eastAsia="方正仿宋_GBK" w:cs="Times New Roman"/>
          <w:b w:val="0"/>
          <w:bCs w:val="0"/>
          <w:sz w:val="32"/>
          <w:szCs w:val="32"/>
        </w:rPr>
        <w:t>费用支出较年初预算数和上年支出数无增减，主要原因是本单位未发生因公出国（境）费用。</w:t>
      </w:r>
    </w:p>
    <w:p w14:paraId="17292069">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公务车购置费0万元，费用支出较年初预算数和上年支出数无增减，主要原因是本单位未发生公务车购置费。</w:t>
      </w:r>
    </w:p>
    <w:p w14:paraId="761C862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公务用车运行维护费0.00万元，费用支出较年初预算数无增减，较上年支出数无增减，主要原因是本单位无公务用车，无相关费用支出。</w:t>
      </w:r>
    </w:p>
    <w:p w14:paraId="69BF8C1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公务接待费0.00万元，费用支出较年初预算数无增减，较上年支出数无增减，主要原因是</w:t>
      </w:r>
      <w:r>
        <w:rPr>
          <w:rFonts w:hint="default" w:ascii="Times New Roman" w:hAnsi="Times New Roman" w:eastAsia="方正仿宋_GBK" w:cs="Times New Roman"/>
          <w:b w:val="0"/>
          <w:bCs w:val="0"/>
          <w:sz w:val="32"/>
          <w:szCs w:val="32"/>
        </w:rPr>
        <w:t>认真落实中央八项规定精神，无公函的一律不予接待，规范公务接待管理，本年度无相关费用支出。</w:t>
      </w:r>
    </w:p>
    <w:p w14:paraId="76585C7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13A9E5E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4C9F454">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14:paraId="794EB188">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0B6E95DE">
      <w:pPr>
        <w:keepNext w:val="0"/>
        <w:keepLines w:val="0"/>
        <w:pageBreakBefore w:val="0"/>
        <w:widowControl w:val="0"/>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本年度会议费支出0.00万元，与2023年度相比，无增减，主要原因是本年度仍无会议费支出。本年度培训费支出3.81万元，与2023年度相比，减少1.72万元，下降31.1%，主要原因是</w:t>
      </w:r>
      <w:r>
        <w:rPr>
          <w:rFonts w:hint="default" w:ascii="Times New Roman" w:hAnsi="Times New Roman" w:eastAsia="方正仿宋_GBK" w:cs="Times New Roman"/>
          <w:b w:val="0"/>
          <w:bCs w:val="0"/>
          <w:sz w:val="32"/>
          <w:szCs w:val="32"/>
        </w:rPr>
        <w:t>当年培训人数、次数减少节约费用1.72万元。</w:t>
      </w:r>
      <w:r>
        <w:rPr>
          <w:rFonts w:hint="default" w:ascii="Times New Roman" w:hAnsi="Times New Roman" w:eastAsia="方正仿宋_GBK" w:cs="Times New Roman"/>
          <w:b w:val="0"/>
          <w:bCs w:val="0"/>
          <w:sz w:val="32"/>
          <w:szCs w:val="32"/>
          <w:shd w:val="clear" w:color="auto" w:fill="FFFFFF"/>
        </w:rPr>
        <w:t>本年度差旅费支出6.46</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与2023年度相比，减少1.39万元，下降17.7%，主要原因是本年度出差人数、次数减少，相关费用减少1.39万元。</w:t>
      </w:r>
    </w:p>
    <w:p w14:paraId="745BCBCC">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0CB4390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按照单位决算列报口径，我单位不在机关运行经费统计范围之内。</w:t>
      </w:r>
    </w:p>
    <w:p w14:paraId="627B37D2">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5A07A71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A0308DB">
      <w:pPr>
        <w:pStyle w:val="14"/>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09E0BE2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14:paraId="2600BE2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14:paraId="13D3B5B6">
      <w:pPr>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根据预算绩效管理要求，我单位对9个项目开展了绩效自评，其中，以填报绩效自评表形式开展自评9项，涉及资金290.5万元。</w:t>
      </w:r>
    </w:p>
    <w:p w14:paraId="2F79BDD8">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（二）绩效自评结果</w:t>
      </w:r>
    </w:p>
    <w:p w14:paraId="24951374">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1.绩效目标自评表</w:t>
      </w:r>
    </w:p>
    <w:p w14:paraId="70289266">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1F7263D1">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2.绩效自评报告或案例</w:t>
      </w:r>
    </w:p>
    <w:p w14:paraId="6FBB06B5">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2E47DAD0">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3.关于绩效自评结果的说明</w:t>
      </w:r>
    </w:p>
    <w:p w14:paraId="467AB0A4">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本年度本单位对9个项目开展了自评，评价结果均为优秀，2个项目评价结果为良好，较好地完成了年度绩效目标。</w:t>
      </w:r>
    </w:p>
    <w:p w14:paraId="5B39552F">
      <w:pPr>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（三）重点绩效评价结果</w:t>
      </w:r>
    </w:p>
    <w:p w14:paraId="1F032392">
      <w:pPr>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区财政局未委托第三方对本单位的整体、政策或项目开展重点绩效评价。</w:t>
      </w:r>
    </w:p>
    <w:p w14:paraId="16572708">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6"/>
          <w:rFonts w:hint="default" w:ascii="Times New Roman" w:hAnsi="Times New Roman" w:eastAsia="方正仿宋_GBK" w:cs="Times New Roman"/>
          <w:b w:val="0"/>
          <w:bCs w:val="0"/>
          <w:sz w:val="32"/>
          <w:szCs w:val="32"/>
          <w:shd w:val="clear" w:color="auto" w:fill="FFFFFF"/>
        </w:rPr>
        <w:t xml:space="preserve"> </w:t>
      </w:r>
      <w:r>
        <w:rPr>
          <w:rStyle w:val="13"/>
          <w:rFonts w:hint="default" w:ascii="Times New Roman" w:hAnsi="Times New Roman" w:eastAsia="黑体" w:cs="Times New Roman"/>
          <w:b w:val="0"/>
          <w:bCs w:val="0"/>
          <w:sz w:val="32"/>
          <w:szCs w:val="32"/>
          <w:shd w:val="clear" w:color="auto" w:fill="FFFFFF"/>
        </w:rPr>
        <w:t>六、专业名词解释</w:t>
      </w:r>
    </w:p>
    <w:p w14:paraId="7B2AAC0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指本年度从本级财政单位取得的财政拨款，包括一般公共预算财政拨款和政府性基金预算财政拨款。</w:t>
      </w:r>
    </w:p>
    <w:p w14:paraId="0CCFFBB6">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1CB891D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7D5D97B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393B773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C7550B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7AD17266">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1CFECC9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408483C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419E1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08C2D8F8">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27807E5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2DD4E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B5298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60951E5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7222AD3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23199D36">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3460EDE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14:paraId="2535520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微软雅黑" w:cs="Times New Roman"/>
          <w:b w:val="0"/>
          <w:bCs w:val="0"/>
          <w:color w:val="333333"/>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023-48228058</w:t>
      </w:r>
    </w:p>
    <w:p w14:paraId="4E19BA0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CFD">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FBFF80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7FBFF80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3EB568DC">
                          <w:pPr>
                            <w:pStyle w:val="6"/>
                            <w:jc w:val="both"/>
                            <w:rPr>
                              <w:rFonts w:hint="default" w:cs="宋体"/>
                            </w:rPr>
                          </w:pPr>
                          <w:r>
                            <w:rPr>
                              <w:rFonts w:cs="宋体"/>
                            </w:rPr>
                            <w:t>— 27.1 —</w:t>
                          </w:r>
                        </w:p>
                      </w:txbxContent>
                    </wps:txbx>
                    <wps:bodyPr wrap="none" lIns="0" tIns="0" rIns="0" bIns="0" upright="1"/>
                  </wps:wsp>
                </a:graphicData>
              </a:graphic>
            </wp:anchor>
          </w:drawing>
        </mc:Choice>
        <mc:Fallback>
          <w:pict>
            <v:shape id="文本框 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&#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NVFTYAAAACgEAAA8AAAAAAAAAAQAgAAAAIgAAAGRy&#10;cy9kb3ducmV2LnhtbFBLAQIUABQAAAAIAIdO4kB19OfkzAEAAIoDAAAOAAAAAAAAAAEAIAAAACcB&#10;AABkcnMvZTJvRG9jLnhtbFBLBQYAAAAABgAGAFkBAABlBQAAAAA=&#10;">
              <v:fill on="f" focussize="0,0"/>
              <v:stroke on="f" weight="0.5pt"/>
              <v:imagedata o:title=""/>
              <o:lock v:ext="edit" aspectratio="f"/>
              <v:textbox inset="0mm,0mm,0mm,0mm">
                <w:txbxContent>
                  <w:p w14:paraId="3EB568DC">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6DA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00B03CCD"/>
    <w:rsid w:val="000239C6"/>
    <w:rsid w:val="00135BC8"/>
    <w:rsid w:val="001D3BB7"/>
    <w:rsid w:val="002B254B"/>
    <w:rsid w:val="00320EBC"/>
    <w:rsid w:val="0034050A"/>
    <w:rsid w:val="0044504F"/>
    <w:rsid w:val="0046067B"/>
    <w:rsid w:val="00466C9B"/>
    <w:rsid w:val="00486CFC"/>
    <w:rsid w:val="00491DDD"/>
    <w:rsid w:val="00506511"/>
    <w:rsid w:val="00520DA7"/>
    <w:rsid w:val="00550ABE"/>
    <w:rsid w:val="00557CA5"/>
    <w:rsid w:val="005E0303"/>
    <w:rsid w:val="00623A85"/>
    <w:rsid w:val="006F16F9"/>
    <w:rsid w:val="00766F27"/>
    <w:rsid w:val="00770383"/>
    <w:rsid w:val="007819D4"/>
    <w:rsid w:val="007B419D"/>
    <w:rsid w:val="007B7C4B"/>
    <w:rsid w:val="007D3D39"/>
    <w:rsid w:val="009763C3"/>
    <w:rsid w:val="00984C6A"/>
    <w:rsid w:val="00994AF7"/>
    <w:rsid w:val="009B67B8"/>
    <w:rsid w:val="009C14C9"/>
    <w:rsid w:val="009D2B67"/>
    <w:rsid w:val="009E1452"/>
    <w:rsid w:val="00A566F9"/>
    <w:rsid w:val="00A5670F"/>
    <w:rsid w:val="00AF2751"/>
    <w:rsid w:val="00B03CCD"/>
    <w:rsid w:val="00BE2B89"/>
    <w:rsid w:val="00BF0D89"/>
    <w:rsid w:val="00C10E9E"/>
    <w:rsid w:val="00C14184"/>
    <w:rsid w:val="00C20C3E"/>
    <w:rsid w:val="00C5163E"/>
    <w:rsid w:val="00CD336C"/>
    <w:rsid w:val="00CF2ACF"/>
    <w:rsid w:val="00CF4C54"/>
    <w:rsid w:val="00CF5043"/>
    <w:rsid w:val="00D03AAF"/>
    <w:rsid w:val="00D04976"/>
    <w:rsid w:val="00D052F9"/>
    <w:rsid w:val="00D6722F"/>
    <w:rsid w:val="00DD0539"/>
    <w:rsid w:val="00DE6A5A"/>
    <w:rsid w:val="00E07662"/>
    <w:rsid w:val="00E368E9"/>
    <w:rsid w:val="00EE1E33"/>
    <w:rsid w:val="00EE3D12"/>
    <w:rsid w:val="00F51E58"/>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7E52828"/>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7833B"/>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94C5B"/>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BFF58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7B10F9"/>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FEB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850</Words>
  <Characters>4846</Characters>
  <Lines>40</Lines>
  <Paragraphs>11</Paragraphs>
  <TotalTime>151</TotalTime>
  <ScaleCrop>false</ScaleCrop>
  <LinksUpToDate>false</LinksUpToDate>
  <CharactersWithSpaces>5685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2025-11-04T02:37:55Z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A0E1ACC94E384BEF9069265B31A756CF_13</vt:lpwstr>
  </property>
  <property fmtid="{D5CDD505-2E9C-101B-9397-08002B2CF9AE}" pid="4" name="KSOTemplateDocerSaveRecord">
    <vt:lpwstr>eyJoZGlkIjoiYzZkNzQ4ZWFiZmQ4NTRhOWRkZTk3YTMwMjlmMmZhYmUiLCJ1c2VySWQiOiIxMDUyNDMwMTIwIn0=</vt:lpwstr>
  </property>
</Properties>
</file>