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93D8C4">
      <w:pPr>
        <w:pStyle w:val="9"/>
        <w:keepNext w:val="0"/>
        <w:keepLines w:val="0"/>
        <w:pageBreakBefore w:val="0"/>
        <w:widowControl w:val="0"/>
        <w:kinsoku/>
        <w:wordWrap/>
        <w:overflowPunct/>
        <w:topLinePunct w:val="0"/>
        <w:autoSpaceDN/>
        <w:bidi w:val="0"/>
        <w:adjustRightInd/>
        <w:spacing w:before="0" w:beforeAutospacing="0" w:after="0" w:afterAutospacing="0" w:line="576" w:lineRule="exact"/>
        <w:ind w:left="0" w:leftChars="0" w:firstLine="880" w:firstLineChars="200"/>
        <w:jc w:val="center"/>
        <w:textAlignment w:val="auto"/>
        <w:rPr>
          <w:rFonts w:hint="default" w:ascii="Times New Roman" w:hAnsi="Times New Roman" w:eastAsia="方正小标宋_GBK" w:cs="Times New Roman"/>
          <w:b w:val="0"/>
          <w:bCs w:val="0"/>
          <w:sz w:val="44"/>
          <w:szCs w:val="44"/>
        </w:rPr>
      </w:pPr>
      <w:r>
        <w:rPr>
          <w:rFonts w:hint="default" w:ascii="Times New Roman" w:hAnsi="Times New Roman" w:eastAsia="方正小标宋_GBK" w:cs="Times New Roman"/>
          <w:b w:val="0"/>
          <w:bCs w:val="0"/>
          <w:sz w:val="44"/>
          <w:szCs w:val="44"/>
        </w:rPr>
        <w:t>重庆市綦江区文化市场综合行政执法支队</w:t>
      </w:r>
    </w:p>
    <w:p w14:paraId="11C130C5">
      <w:pPr>
        <w:pStyle w:val="9"/>
        <w:keepNext w:val="0"/>
        <w:keepLines w:val="0"/>
        <w:pageBreakBefore w:val="0"/>
        <w:widowControl w:val="0"/>
        <w:kinsoku/>
        <w:wordWrap/>
        <w:overflowPunct/>
        <w:topLinePunct w:val="0"/>
        <w:autoSpaceDN/>
        <w:bidi w:val="0"/>
        <w:adjustRightInd/>
        <w:spacing w:before="0" w:beforeAutospacing="0" w:after="0" w:afterAutospacing="0" w:line="576" w:lineRule="exact"/>
        <w:ind w:left="0" w:leftChars="0" w:firstLine="880" w:firstLineChars="200"/>
        <w:jc w:val="center"/>
        <w:textAlignment w:val="auto"/>
        <w:rPr>
          <w:rFonts w:hint="default" w:ascii="Times New Roman" w:hAnsi="Times New Roman" w:eastAsia="方正小标宋_GBK" w:cs="Times New Roman"/>
          <w:b w:val="0"/>
          <w:bCs w:val="0"/>
          <w:sz w:val="44"/>
          <w:szCs w:val="44"/>
          <w:shd w:val="clear" w:color="auto" w:fill="FFFFFF"/>
        </w:rPr>
      </w:pPr>
      <w:r>
        <w:rPr>
          <w:rFonts w:hint="default" w:ascii="Times New Roman" w:hAnsi="Times New Roman" w:eastAsia="方正小标宋_GBK" w:cs="Times New Roman"/>
          <w:b w:val="0"/>
          <w:bCs w:val="0"/>
          <w:sz w:val="44"/>
          <w:szCs w:val="44"/>
          <w:shd w:val="clear" w:color="auto" w:fill="FFFFFF"/>
        </w:rPr>
        <w:t>2024年度决算公开说明</w:t>
      </w:r>
    </w:p>
    <w:p w14:paraId="0176BA45">
      <w:pPr>
        <w:pStyle w:val="9"/>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76" w:lineRule="exact"/>
        <w:ind w:left="0" w:leftChars="0" w:firstLine="640" w:firstLineChars="200"/>
        <w:jc w:val="both"/>
        <w:textAlignment w:val="auto"/>
        <w:rPr>
          <w:rStyle w:val="13"/>
          <w:rFonts w:hint="default" w:ascii="Times New Roman" w:hAnsi="Times New Roman" w:eastAsia="黑体" w:cs="Times New Roman"/>
          <w:b w:val="0"/>
          <w:bCs w:val="0"/>
          <w:sz w:val="32"/>
          <w:szCs w:val="32"/>
          <w:shd w:val="clear" w:color="auto" w:fill="FFFFFF"/>
        </w:rPr>
      </w:pPr>
    </w:p>
    <w:p w14:paraId="6671970A">
      <w:pPr>
        <w:pStyle w:val="9"/>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76" w:lineRule="exact"/>
        <w:ind w:left="0" w:leftChars="0" w:firstLine="640" w:firstLineChars="200"/>
        <w:jc w:val="both"/>
        <w:textAlignment w:val="auto"/>
        <w:rPr>
          <w:rStyle w:val="13"/>
          <w:rFonts w:hint="default" w:ascii="Times New Roman" w:hAnsi="Times New Roman" w:eastAsia="黑体" w:cs="Times New Roman"/>
          <w:b w:val="0"/>
          <w:bCs w:val="0"/>
          <w:sz w:val="32"/>
          <w:szCs w:val="32"/>
          <w:shd w:val="clear" w:color="auto" w:fill="FFFFFF"/>
        </w:rPr>
      </w:pPr>
      <w:r>
        <w:rPr>
          <w:rStyle w:val="13"/>
          <w:rFonts w:hint="default" w:ascii="Times New Roman" w:hAnsi="Times New Roman" w:eastAsia="黑体" w:cs="Times New Roman"/>
          <w:b w:val="0"/>
          <w:bCs w:val="0"/>
          <w:sz w:val="32"/>
          <w:szCs w:val="32"/>
          <w:shd w:val="clear" w:color="auto" w:fill="FFFFFF"/>
        </w:rPr>
        <w:t>一、单位基本情况</w:t>
      </w:r>
    </w:p>
    <w:p w14:paraId="0ECDEB89">
      <w:pPr>
        <w:keepNext w:val="0"/>
        <w:keepLines w:val="0"/>
        <w:pageBreakBefore w:val="0"/>
        <w:widowControl w:val="0"/>
        <w:kinsoku/>
        <w:wordWrap/>
        <w:overflowPunct/>
        <w:topLinePunct w:val="0"/>
        <w:autoSpaceDE w:val="0"/>
        <w:autoSpaceDN/>
        <w:bidi w:val="0"/>
        <w:adjustRightInd/>
        <w:spacing w:line="576" w:lineRule="exact"/>
        <w:ind w:left="0" w:leftChars="0" w:firstLine="640" w:firstLineChars="200"/>
        <w:jc w:val="both"/>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（一）职能职责</w:t>
      </w:r>
    </w:p>
    <w:p w14:paraId="2A620D4B">
      <w:pPr>
        <w:keepNext w:val="0"/>
        <w:keepLines w:val="0"/>
        <w:pageBreakBefore w:val="0"/>
        <w:widowControl w:val="0"/>
        <w:shd w:val="clear" w:color="auto" w:fill="FFFFFF"/>
        <w:kinsoku/>
        <w:wordWrap/>
        <w:overflowPunct/>
        <w:topLinePunct w:val="0"/>
        <w:autoSpaceDN/>
        <w:bidi w:val="0"/>
        <w:adjustRightInd/>
        <w:spacing w:line="576" w:lineRule="exact"/>
        <w:ind w:left="0" w:leftChars="0"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重庆市綦江区文化市场综合行政执法支队以区文化旅游委名义实施执法，统一行使文化、文物、出版、广播电视、电影、体育、旅游市场行政执法职责。</w:t>
      </w:r>
    </w:p>
    <w:p w14:paraId="1B4EAC31">
      <w:pPr>
        <w:keepNext w:val="0"/>
        <w:keepLines w:val="0"/>
        <w:pageBreakBefore w:val="0"/>
        <w:widowControl w:val="0"/>
        <w:shd w:val="clear" w:color="auto" w:fill="FFFFFF"/>
        <w:kinsoku/>
        <w:wordWrap/>
        <w:overflowPunct/>
        <w:topLinePunct w:val="0"/>
        <w:autoSpaceDN/>
        <w:bidi w:val="0"/>
        <w:adjustRightInd/>
        <w:spacing w:line="576" w:lineRule="exact"/>
        <w:ind w:left="0" w:leftChars="0"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1.贯彻实施国家和重庆市有关文化市场综合行政执法的方针政策、法律法规。</w:t>
      </w:r>
    </w:p>
    <w:p w14:paraId="59233B74">
      <w:pPr>
        <w:keepNext w:val="0"/>
        <w:keepLines w:val="0"/>
        <w:pageBreakBefore w:val="0"/>
        <w:widowControl w:val="0"/>
        <w:shd w:val="clear" w:color="auto" w:fill="FFFFFF"/>
        <w:kinsoku/>
        <w:wordWrap/>
        <w:overflowPunct/>
        <w:topLinePunct w:val="0"/>
        <w:autoSpaceDN/>
        <w:bidi w:val="0"/>
        <w:adjustRightInd/>
        <w:spacing w:line="576" w:lineRule="exact"/>
        <w:ind w:left="0" w:leftChars="0"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2.承担文化、文物方面的执法职能。</w:t>
      </w:r>
    </w:p>
    <w:p w14:paraId="2A45336D">
      <w:pPr>
        <w:keepNext w:val="0"/>
        <w:keepLines w:val="0"/>
        <w:pageBreakBefore w:val="0"/>
        <w:widowControl w:val="0"/>
        <w:shd w:val="clear" w:color="auto" w:fill="FFFFFF"/>
        <w:kinsoku/>
        <w:wordWrap/>
        <w:overflowPunct/>
        <w:topLinePunct w:val="0"/>
        <w:autoSpaceDN/>
        <w:bidi w:val="0"/>
        <w:adjustRightInd/>
        <w:spacing w:line="576" w:lineRule="exact"/>
        <w:ind w:left="0" w:leftChars="0"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3.承担出版、广播电视、电影方面的执法职能。</w:t>
      </w:r>
    </w:p>
    <w:p w14:paraId="63C30E4C">
      <w:pPr>
        <w:keepNext w:val="0"/>
        <w:keepLines w:val="0"/>
        <w:pageBreakBefore w:val="0"/>
        <w:widowControl w:val="0"/>
        <w:shd w:val="clear" w:color="auto" w:fill="FFFFFF"/>
        <w:kinsoku/>
        <w:wordWrap/>
        <w:overflowPunct/>
        <w:topLinePunct w:val="0"/>
        <w:autoSpaceDN/>
        <w:bidi w:val="0"/>
        <w:adjustRightInd/>
        <w:spacing w:line="576" w:lineRule="exact"/>
        <w:ind w:left="0" w:leftChars="0"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4.承担体育市场方面的执法职能。</w:t>
      </w:r>
    </w:p>
    <w:p w14:paraId="67FF0269">
      <w:pPr>
        <w:keepNext w:val="0"/>
        <w:keepLines w:val="0"/>
        <w:pageBreakBefore w:val="0"/>
        <w:widowControl w:val="0"/>
        <w:shd w:val="clear" w:color="auto" w:fill="FFFFFF"/>
        <w:kinsoku/>
        <w:wordWrap/>
        <w:overflowPunct/>
        <w:topLinePunct w:val="0"/>
        <w:autoSpaceDN/>
        <w:bidi w:val="0"/>
        <w:adjustRightInd/>
        <w:spacing w:line="576" w:lineRule="exact"/>
        <w:ind w:left="0" w:leftChars="0"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5.承担旅游市场方面的执法职能。</w:t>
      </w:r>
    </w:p>
    <w:p w14:paraId="476A2BB2">
      <w:pPr>
        <w:keepNext w:val="0"/>
        <w:keepLines w:val="0"/>
        <w:pageBreakBefore w:val="0"/>
        <w:widowControl w:val="0"/>
        <w:shd w:val="clear" w:color="auto" w:fill="FFFFFF"/>
        <w:kinsoku/>
        <w:wordWrap/>
        <w:overflowPunct/>
        <w:topLinePunct w:val="0"/>
        <w:autoSpaceDN/>
        <w:bidi w:val="0"/>
        <w:adjustRightInd/>
        <w:spacing w:line="576" w:lineRule="exact"/>
        <w:ind w:left="0" w:leftChars="0"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6.承担全区文化市场综合行政执法组织协调工作。</w:t>
      </w:r>
    </w:p>
    <w:p w14:paraId="4530BA43">
      <w:pPr>
        <w:keepNext w:val="0"/>
        <w:keepLines w:val="0"/>
        <w:pageBreakBefore w:val="0"/>
        <w:widowControl w:val="0"/>
        <w:shd w:val="clear" w:color="auto" w:fill="FFFFFF"/>
        <w:kinsoku/>
        <w:wordWrap/>
        <w:overflowPunct/>
        <w:topLinePunct w:val="0"/>
        <w:autoSpaceDN/>
        <w:bidi w:val="0"/>
        <w:adjustRightInd/>
        <w:spacing w:line="576" w:lineRule="exact"/>
        <w:ind w:left="0" w:leftChars="0"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7.监督指导各镇（街道）综合行政执法机构开展职责权限范围内的文化市场综合执法工作。</w:t>
      </w:r>
    </w:p>
    <w:p w14:paraId="08B9EDB1">
      <w:pPr>
        <w:keepNext w:val="0"/>
        <w:keepLines w:val="0"/>
        <w:pageBreakBefore w:val="0"/>
        <w:widowControl w:val="0"/>
        <w:shd w:val="clear" w:color="auto" w:fill="FFFFFF"/>
        <w:kinsoku/>
        <w:wordWrap/>
        <w:overflowPunct/>
        <w:topLinePunct w:val="0"/>
        <w:autoSpaceDN/>
        <w:bidi w:val="0"/>
        <w:adjustRightInd/>
        <w:spacing w:line="576" w:lineRule="exact"/>
        <w:ind w:left="0" w:leftChars="0"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8.承担文化、体育和旅游市场投诉、举报受理工作。</w:t>
      </w:r>
    </w:p>
    <w:p w14:paraId="13B4BE72">
      <w:pPr>
        <w:keepNext w:val="0"/>
        <w:keepLines w:val="0"/>
        <w:pageBreakBefore w:val="0"/>
        <w:widowControl w:val="0"/>
        <w:shd w:val="clear" w:color="auto" w:fill="FFFFFF"/>
        <w:kinsoku/>
        <w:wordWrap/>
        <w:overflowPunct/>
        <w:topLinePunct w:val="0"/>
        <w:autoSpaceDN/>
        <w:bidi w:val="0"/>
        <w:adjustRightInd/>
        <w:spacing w:line="576" w:lineRule="exact"/>
        <w:ind w:left="0" w:leftChars="0"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9.承担“扫黄打非”有关工作任务。</w:t>
      </w:r>
    </w:p>
    <w:p w14:paraId="2E98FEFC">
      <w:pPr>
        <w:keepNext w:val="0"/>
        <w:keepLines w:val="0"/>
        <w:pageBreakBefore w:val="0"/>
        <w:widowControl w:val="0"/>
        <w:shd w:val="clear" w:color="auto" w:fill="FFFFFF"/>
        <w:kinsoku/>
        <w:wordWrap/>
        <w:overflowPunct/>
        <w:topLinePunct w:val="0"/>
        <w:autoSpaceDN/>
        <w:bidi w:val="0"/>
        <w:adjustRightInd/>
        <w:spacing w:line="576" w:lineRule="exact"/>
        <w:ind w:left="0" w:leftChars="0" w:firstLine="640" w:firstLineChars="200"/>
        <w:jc w:val="both"/>
        <w:textAlignment w:val="auto"/>
        <w:rPr>
          <w:rFonts w:hint="default" w:ascii="Times New Roman" w:hAnsi="Times New Roman" w:eastAsia="微软雅黑" w:cs="Times New Roman"/>
          <w:b w:val="0"/>
          <w:bCs w:val="0"/>
          <w:color w:val="333333"/>
        </w:rPr>
      </w:pPr>
      <w:r>
        <w:rPr>
          <w:rFonts w:hint="default" w:ascii="Times New Roman" w:hAnsi="Times New Roman" w:eastAsia="微软雅黑" w:cs="Times New Roman"/>
          <w:b w:val="0"/>
          <w:bCs w:val="0"/>
          <w:color w:val="333333"/>
          <w:sz w:val="32"/>
          <w:szCs w:val="32"/>
        </w:rPr>
        <w:t>10.</w:t>
      </w:r>
      <w:r>
        <w:rPr>
          <w:rFonts w:hint="default" w:ascii="Times New Roman" w:hAnsi="Times New Roman" w:eastAsia="方正仿宋_GBK" w:cs="Times New Roman"/>
          <w:b w:val="0"/>
          <w:bCs w:val="0"/>
          <w:color w:val="333333"/>
          <w:sz w:val="32"/>
          <w:szCs w:val="32"/>
        </w:rPr>
        <w:t>完成区委、区政府和区委宣传部、区文化旅游委交办的其他任务。</w:t>
      </w:r>
    </w:p>
    <w:p w14:paraId="4E02EABF">
      <w:pPr>
        <w:keepNext w:val="0"/>
        <w:keepLines w:val="0"/>
        <w:pageBreakBefore w:val="0"/>
        <w:widowControl w:val="0"/>
        <w:kinsoku/>
        <w:wordWrap/>
        <w:overflowPunct/>
        <w:topLinePunct w:val="0"/>
        <w:autoSpaceDE w:val="0"/>
        <w:autoSpaceDN/>
        <w:bidi w:val="0"/>
        <w:adjustRightInd/>
        <w:spacing w:line="576" w:lineRule="exact"/>
        <w:ind w:left="0" w:leftChars="0" w:firstLine="640" w:firstLineChars="200"/>
        <w:jc w:val="both"/>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（二）机构设置</w:t>
      </w:r>
    </w:p>
    <w:p w14:paraId="09D80482">
      <w:pPr>
        <w:keepNext w:val="0"/>
        <w:keepLines w:val="0"/>
        <w:pageBreakBefore w:val="0"/>
        <w:widowControl w:val="0"/>
        <w:shd w:val="clear" w:color="auto" w:fill="FFFFFF"/>
        <w:kinsoku/>
        <w:wordWrap/>
        <w:overflowPunct/>
        <w:topLinePunct w:val="0"/>
        <w:autoSpaceDN/>
        <w:bidi w:val="0"/>
        <w:adjustRightInd/>
        <w:spacing w:line="576" w:lineRule="exact"/>
        <w:ind w:left="0" w:leftChars="0"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重庆市綦江区文化市场综合行政执法支队以重庆市綦江区文化市场行政执法支队为基础，整合文化、文物、出版、广播电视、电影、体育、旅游市场领域的行政执法职责，相应将重庆市綦江区文化市场行政执法支队更名为重庆市綦江区文化市场综合行政执法支队，为区文化旅游委管理的行政执法机构，机构规格为副处级。</w:t>
      </w:r>
    </w:p>
    <w:p w14:paraId="108B7255">
      <w:pPr>
        <w:keepNext w:val="0"/>
        <w:keepLines w:val="0"/>
        <w:pageBreakBefore w:val="0"/>
        <w:widowControl w:val="0"/>
        <w:shd w:val="clear" w:color="auto" w:fill="FFFFFF"/>
        <w:kinsoku/>
        <w:wordWrap/>
        <w:overflowPunct/>
        <w:topLinePunct w:val="0"/>
        <w:autoSpaceDN/>
        <w:bidi w:val="0"/>
        <w:adjustRightInd/>
        <w:spacing w:line="576" w:lineRule="exact"/>
        <w:ind w:left="0" w:leftChars="0"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本单位为二级预算单位无下属单位。</w:t>
      </w:r>
    </w:p>
    <w:p w14:paraId="0B533D7B">
      <w:pPr>
        <w:keepNext w:val="0"/>
        <w:keepLines w:val="0"/>
        <w:pageBreakBefore w:val="0"/>
        <w:widowControl w:val="0"/>
        <w:kinsoku/>
        <w:wordWrap/>
        <w:overflowPunct/>
        <w:topLinePunct w:val="0"/>
        <w:autoSpaceDE w:val="0"/>
        <w:autoSpaceDN/>
        <w:bidi w:val="0"/>
        <w:adjustRightInd/>
        <w:spacing w:line="576" w:lineRule="exact"/>
        <w:ind w:left="0" w:leftChars="0" w:firstLine="640" w:firstLineChars="200"/>
        <w:jc w:val="both"/>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（三）内设机构</w:t>
      </w:r>
    </w:p>
    <w:p w14:paraId="369505A9">
      <w:pPr>
        <w:keepNext w:val="0"/>
        <w:keepLines w:val="0"/>
        <w:pageBreakBefore w:val="0"/>
        <w:widowControl w:val="0"/>
        <w:shd w:val="clear" w:color="auto" w:fill="FFFFFF"/>
        <w:kinsoku/>
        <w:wordWrap/>
        <w:overflowPunct/>
        <w:topLinePunct w:val="0"/>
        <w:autoSpaceDN/>
        <w:bidi w:val="0"/>
        <w:adjustRightInd/>
        <w:spacing w:line="576" w:lineRule="exact"/>
        <w:ind w:left="0" w:leftChars="0"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根据上述职能，重庆市綦江区文化市场综合行政执法支队内设综合科、法制科、文化市场执法科、旅游和体育市场执法科。</w:t>
      </w:r>
    </w:p>
    <w:p w14:paraId="23940FB5">
      <w:pPr>
        <w:pStyle w:val="9"/>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76" w:lineRule="exact"/>
        <w:ind w:left="0" w:leftChars="0" w:firstLine="640" w:firstLineChars="200"/>
        <w:jc w:val="both"/>
        <w:textAlignment w:val="auto"/>
        <w:rPr>
          <w:rStyle w:val="13"/>
          <w:rFonts w:hint="default" w:ascii="Times New Roman" w:hAnsi="Times New Roman" w:eastAsia="黑体" w:cs="Times New Roman"/>
          <w:b w:val="0"/>
          <w:bCs w:val="0"/>
          <w:sz w:val="32"/>
          <w:szCs w:val="32"/>
          <w:shd w:val="clear" w:color="auto" w:fill="FFFFFF"/>
        </w:rPr>
      </w:pPr>
      <w:r>
        <w:rPr>
          <w:rStyle w:val="13"/>
          <w:rFonts w:hint="default" w:ascii="Times New Roman" w:hAnsi="Times New Roman" w:eastAsia="黑体" w:cs="Times New Roman"/>
          <w:b w:val="0"/>
          <w:bCs w:val="0"/>
          <w:sz w:val="32"/>
          <w:szCs w:val="32"/>
          <w:shd w:val="clear" w:color="auto" w:fill="FFFFFF"/>
        </w:rPr>
        <w:t>二、单位决算收支情况说明</w:t>
      </w:r>
    </w:p>
    <w:p w14:paraId="3806E8B6">
      <w:pPr>
        <w:pStyle w:val="14"/>
        <w:keepNext w:val="0"/>
        <w:keepLines w:val="0"/>
        <w:pageBreakBefore w:val="0"/>
        <w:widowControl w:val="0"/>
        <w:kinsoku/>
        <w:wordWrap/>
        <w:overflowPunct/>
        <w:topLinePunct w:val="0"/>
        <w:autoSpaceDE w:val="0"/>
        <w:autoSpaceDN/>
        <w:bidi w:val="0"/>
        <w:adjustRightInd/>
        <w:spacing w:line="576" w:lineRule="exact"/>
        <w:ind w:left="0" w:leftChars="0" w:firstLine="640" w:firstLineChars="200"/>
        <w:jc w:val="both"/>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（一）收入支出决算总体情况说明</w:t>
      </w:r>
    </w:p>
    <w:p w14:paraId="19F95CA6">
      <w:pPr>
        <w:pStyle w:val="9"/>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76" w:lineRule="exact"/>
        <w:ind w:left="0" w:leftChars="0"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2024年度收、支总计均为226.83万元。收、支与2023年度相比，增加2.17万元，增长1.0%，主要原因是年度考核奖纳入社保缴费基数，并补缴以前年度社保缴费，人员经费相应增加。</w:t>
      </w:r>
    </w:p>
    <w:p w14:paraId="2D64EDCF">
      <w:pPr>
        <w:pStyle w:val="9"/>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76" w:lineRule="exact"/>
        <w:ind w:left="0" w:leftChars="0"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Style w:val="13"/>
          <w:rFonts w:hint="default" w:ascii="Times New Roman" w:hAnsi="Times New Roman" w:eastAsia="方正仿宋_GBK" w:cs="Times New Roman"/>
          <w:b w:val="0"/>
          <w:bCs w:val="0"/>
          <w:sz w:val="32"/>
          <w:szCs w:val="32"/>
          <w:shd w:val="clear" w:color="auto" w:fill="FFFFFF"/>
        </w:rPr>
        <w:t>1.收入情况。</w:t>
      </w:r>
      <w:r>
        <w:rPr>
          <w:rFonts w:hint="default" w:ascii="Times New Roman" w:hAnsi="Times New Roman" w:eastAsia="方正仿宋_GBK" w:cs="Times New Roman"/>
          <w:b w:val="0"/>
          <w:bCs w:val="0"/>
          <w:sz w:val="32"/>
          <w:szCs w:val="32"/>
          <w:shd w:val="clear" w:color="auto" w:fill="FFFFFF"/>
        </w:rPr>
        <w:t>2024年度收入合计226.83万元，与2023年度相比，增加2.17万元，增长1.0%，主要原因是年度考核奖纳入社保缴费基数，并补缴以前年度社保缴费，人员经费相应增加。其中：财政拨款收入226.83万元，占100.0%；事业收入0.00万元，占0.0%；经营收入0.00万元，占0.0%；其他收入0.00万元，占0.0%。此外，使用非财政拨款结余（含专用结余）0.00万元，年初结转和结余0.00万元。</w:t>
      </w:r>
    </w:p>
    <w:p w14:paraId="140706C8">
      <w:pPr>
        <w:pStyle w:val="9"/>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76" w:lineRule="exact"/>
        <w:ind w:left="0" w:leftChars="0"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Style w:val="13"/>
          <w:rFonts w:hint="default" w:ascii="Times New Roman" w:hAnsi="Times New Roman" w:eastAsia="方正仿宋_GBK" w:cs="Times New Roman"/>
          <w:b w:val="0"/>
          <w:bCs w:val="0"/>
          <w:sz w:val="32"/>
          <w:szCs w:val="32"/>
          <w:shd w:val="clear" w:color="auto" w:fill="FFFFFF"/>
        </w:rPr>
        <w:t>2.支出情况。</w:t>
      </w:r>
      <w:r>
        <w:rPr>
          <w:rFonts w:hint="default" w:ascii="Times New Roman" w:hAnsi="Times New Roman" w:eastAsia="方正仿宋_GBK" w:cs="Times New Roman"/>
          <w:b w:val="0"/>
          <w:bCs w:val="0"/>
          <w:sz w:val="32"/>
          <w:szCs w:val="32"/>
          <w:shd w:val="clear" w:color="auto" w:fill="FFFFFF"/>
        </w:rPr>
        <w:t>2024年度支出合计226.83万元，与2023年度相比，增加2.17万元，增长1.0%，主要原因是年度考核奖纳入社保缴费基数，并补缴以前年度社保缴费，人员经费支出相应增加。其中：基本支出218.43万元，占96.3%；项目支出8.40万元，占3.7%；经营支出</w:t>
      </w:r>
      <w:r>
        <w:rPr>
          <w:rFonts w:hint="default" w:ascii="Times New Roman" w:hAnsi="Times New Roman" w:eastAsia="方正仿宋_GBK" w:cs="Times New Roman"/>
          <w:b w:val="0"/>
          <w:bCs w:val="0"/>
          <w:sz w:val="32"/>
          <w:szCs w:val="32"/>
        </w:rPr>
        <w:t>0.00</w:t>
      </w:r>
      <w:r>
        <w:rPr>
          <w:rFonts w:hint="default" w:ascii="Times New Roman" w:hAnsi="Times New Roman" w:eastAsia="方正仿宋_GBK" w:cs="Times New Roman"/>
          <w:b w:val="0"/>
          <w:bCs w:val="0"/>
          <w:sz w:val="32"/>
          <w:szCs w:val="32"/>
          <w:shd w:val="clear" w:color="auto" w:fill="FFFFFF"/>
        </w:rPr>
        <w:t>万元，占0.0%。此外，结余分配0.00万元。</w:t>
      </w:r>
    </w:p>
    <w:p w14:paraId="745C0668">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left="0" w:leftChars="0" w:firstLine="640" w:firstLineChars="200"/>
        <w:jc w:val="both"/>
        <w:textAlignment w:val="auto"/>
        <w:rPr>
          <w:rFonts w:hint="default" w:ascii="Times New Roman" w:hAnsi="Times New Roman" w:eastAsia="方正仿宋_GBK" w:cs="Times New Roman"/>
          <w:b w:val="0"/>
          <w:bCs w:val="0"/>
          <w:sz w:val="32"/>
          <w:szCs w:val="32"/>
        </w:rPr>
      </w:pPr>
      <w:r>
        <w:rPr>
          <w:rStyle w:val="13"/>
          <w:rFonts w:hint="default" w:ascii="Times New Roman" w:hAnsi="Times New Roman" w:eastAsia="方正仿宋_GBK" w:cs="Times New Roman"/>
          <w:b w:val="0"/>
          <w:bCs w:val="0"/>
          <w:sz w:val="32"/>
          <w:szCs w:val="32"/>
          <w:shd w:val="clear" w:color="auto" w:fill="FFFFFF"/>
        </w:rPr>
        <w:t>3.结转结余情况。</w:t>
      </w:r>
      <w:r>
        <w:rPr>
          <w:rFonts w:hint="default" w:ascii="Times New Roman" w:hAnsi="Times New Roman" w:eastAsia="方正仿宋_GBK" w:cs="Times New Roman"/>
          <w:b w:val="0"/>
          <w:bCs w:val="0"/>
          <w:sz w:val="32"/>
          <w:szCs w:val="32"/>
          <w:shd w:val="clear" w:color="auto" w:fill="FFFFFF"/>
        </w:rPr>
        <w:t>2024年度年末结转和结余0.00万元，与2023年度相比，无增减。</w:t>
      </w:r>
    </w:p>
    <w:p w14:paraId="09E19C4A">
      <w:pPr>
        <w:pStyle w:val="14"/>
        <w:keepNext w:val="0"/>
        <w:keepLines w:val="0"/>
        <w:pageBreakBefore w:val="0"/>
        <w:widowControl w:val="0"/>
        <w:kinsoku/>
        <w:wordWrap/>
        <w:overflowPunct/>
        <w:topLinePunct w:val="0"/>
        <w:autoSpaceDE w:val="0"/>
        <w:autoSpaceDN/>
        <w:bidi w:val="0"/>
        <w:adjustRightInd/>
        <w:spacing w:line="576" w:lineRule="exact"/>
        <w:ind w:left="0" w:leftChars="0" w:firstLine="640" w:firstLineChars="200"/>
        <w:jc w:val="both"/>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（二）财政拨款收入支出决算总体情况说明</w:t>
      </w:r>
    </w:p>
    <w:p w14:paraId="3B11FF79">
      <w:pPr>
        <w:pStyle w:val="9"/>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76" w:lineRule="exact"/>
        <w:ind w:left="0" w:leftChars="0"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2024年度财政拨款收、支总计均为226.83万元。与2023年度相比，财政拨款收、支总计各增加2.17万元，增长1.0%。主要原因是年度考核奖纳入社保缴费基数，并补缴以前年度社保缴费，人员经费相应增加。</w:t>
      </w:r>
    </w:p>
    <w:p w14:paraId="605535E8">
      <w:pPr>
        <w:pStyle w:val="14"/>
        <w:keepNext w:val="0"/>
        <w:keepLines w:val="0"/>
        <w:pageBreakBefore w:val="0"/>
        <w:widowControl w:val="0"/>
        <w:kinsoku/>
        <w:wordWrap/>
        <w:overflowPunct/>
        <w:topLinePunct w:val="0"/>
        <w:autoSpaceDE w:val="0"/>
        <w:autoSpaceDN/>
        <w:bidi w:val="0"/>
        <w:adjustRightInd/>
        <w:spacing w:line="576" w:lineRule="exact"/>
        <w:ind w:left="0" w:leftChars="0" w:firstLine="640" w:firstLineChars="200"/>
        <w:jc w:val="both"/>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（三）一般公共预算财政拨款收入支出决算情况说明</w:t>
      </w:r>
    </w:p>
    <w:p w14:paraId="60EC744E">
      <w:pPr>
        <w:pStyle w:val="9"/>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76" w:lineRule="exact"/>
        <w:ind w:left="0" w:leftChars="0" w:firstLine="640" w:firstLineChars="200"/>
        <w:jc w:val="both"/>
        <w:textAlignment w:val="auto"/>
        <w:rPr>
          <w:rFonts w:hint="default" w:ascii="Times New Roman" w:hAnsi="Times New Roman" w:eastAsia="方正仿宋_GBK" w:cs="Times New Roman"/>
          <w:b w:val="0"/>
          <w:bCs w:val="0"/>
          <w:sz w:val="32"/>
          <w:szCs w:val="32"/>
        </w:rPr>
      </w:pPr>
      <w:r>
        <w:rPr>
          <w:rStyle w:val="13"/>
          <w:rFonts w:hint="default" w:ascii="Times New Roman" w:hAnsi="Times New Roman" w:eastAsia="方正仿宋_GBK" w:cs="Times New Roman"/>
          <w:b w:val="0"/>
          <w:bCs w:val="0"/>
          <w:sz w:val="32"/>
          <w:szCs w:val="32"/>
          <w:shd w:val="clear" w:color="auto" w:fill="FFFFFF"/>
        </w:rPr>
        <w:t>1.收入情况。</w:t>
      </w:r>
      <w:r>
        <w:rPr>
          <w:rFonts w:hint="default" w:ascii="Times New Roman" w:hAnsi="Times New Roman" w:eastAsia="方正仿宋_GBK" w:cs="Times New Roman"/>
          <w:b w:val="0"/>
          <w:bCs w:val="0"/>
          <w:sz w:val="32"/>
          <w:szCs w:val="32"/>
          <w:shd w:val="clear" w:color="auto" w:fill="FFFFFF"/>
        </w:rPr>
        <w:t>2024年度一般公共预算财政拨款收入226.83万元，与2023年度相比，增加2.17万元，增长1.0%。主要原因是年度考核奖纳入社保缴费基数，并补缴以前年度社保缴费，人员经费相应增加。较年初预算数减少6.21万元，下降2.7%。主要原因是厉行节约，公用经费调整减少6.47万元。此外，年初财政拨款结转和结余0.00万元。</w:t>
      </w:r>
    </w:p>
    <w:p w14:paraId="3703734F">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left="0" w:leftChars="0"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Style w:val="13"/>
          <w:rFonts w:hint="default" w:ascii="Times New Roman" w:hAnsi="Times New Roman" w:eastAsia="方正仿宋_GBK" w:cs="Times New Roman"/>
          <w:b w:val="0"/>
          <w:bCs w:val="0"/>
          <w:sz w:val="32"/>
          <w:szCs w:val="32"/>
          <w:shd w:val="clear" w:color="auto" w:fill="FFFFFF"/>
        </w:rPr>
        <w:t>2.支出情况。</w:t>
      </w:r>
      <w:r>
        <w:rPr>
          <w:rFonts w:hint="default" w:ascii="Times New Roman" w:hAnsi="Times New Roman" w:eastAsia="方正仿宋_GBK" w:cs="Times New Roman"/>
          <w:b w:val="0"/>
          <w:bCs w:val="0"/>
          <w:sz w:val="32"/>
          <w:szCs w:val="32"/>
          <w:shd w:val="clear" w:color="auto" w:fill="FFFFFF"/>
        </w:rPr>
        <w:t>2024年度一般公共预算财政拨款支出226.83万元，与2023年度相比，增加2.17万元，增长1.0%。主要原因是年度考核奖纳入社保缴费基数，并补缴以前年度社保缴费，人员经费相应增加。较年初预算数减少6.21万元，下降2.7%。主要原因是厉行节约，公用经费支出减少6.47万元。</w:t>
      </w:r>
    </w:p>
    <w:p w14:paraId="4CBFCF59">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left="0" w:leftChars="0"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一般公共预算财政拨款支出主要用途如下：</w:t>
      </w:r>
    </w:p>
    <w:p w14:paraId="1D5DCD8B">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left="0" w:leftChars="0"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（1）文化旅游体育与传媒支出177.16万元，占78.1%，较年初预算数减少6.40万元，下降3.5%，主要原因是厉行节约，公用经费支出减少6.47万元。</w:t>
      </w:r>
    </w:p>
    <w:p w14:paraId="3AA7AFF4">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left="0" w:leftChars="0"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（2）社会保障和就业支出24.28万元，占10.7%，较年初预算数减少0.14万元，下降0.6%，主要原因是年中调整减少职业年金。</w:t>
      </w:r>
    </w:p>
    <w:p w14:paraId="045B89DD">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left="0" w:leftChars="0"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（3）卫生健康支出11.56万元，占5.1%，较年初预算数增加0.45万元，增长4.1%，主要原因是年中调整减少医疗费。</w:t>
      </w:r>
    </w:p>
    <w:p w14:paraId="2A1D9386">
      <w:pPr>
        <w:keepNext w:val="0"/>
        <w:keepLines w:val="0"/>
        <w:pageBreakBefore w:val="0"/>
        <w:widowControl w:val="0"/>
        <w:kinsoku/>
        <w:wordWrap/>
        <w:overflowPunct/>
        <w:topLinePunct w:val="0"/>
        <w:autoSpaceDN/>
        <w:bidi w:val="0"/>
        <w:adjustRightInd/>
        <w:spacing w:line="576" w:lineRule="exact"/>
        <w:ind w:left="0" w:leftChars="0"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（4）</w:t>
      </w:r>
      <w:r>
        <w:rPr>
          <w:rFonts w:hint="default" w:ascii="Times New Roman" w:hAnsi="Times New Roman" w:eastAsia="方正仿宋_GBK" w:cs="Times New Roman"/>
          <w:b w:val="0"/>
          <w:bCs w:val="0"/>
          <w:sz w:val="32"/>
          <w:szCs w:val="32"/>
        </w:rPr>
        <w:t>住房保障支出</w:t>
      </w:r>
      <w:r>
        <w:rPr>
          <w:rFonts w:hint="default" w:ascii="Times New Roman" w:hAnsi="Times New Roman" w:eastAsia="方正仿宋_GBK" w:cs="Times New Roman"/>
          <w:b w:val="0"/>
          <w:bCs w:val="0"/>
          <w:sz w:val="32"/>
          <w:szCs w:val="32"/>
          <w:shd w:val="clear" w:color="auto" w:fill="FFFFFF"/>
        </w:rPr>
        <w:t>13.83万元，占6.1%，较年初预算数减少0.13万元，下降0.9%，主要原因是缴存职工</w:t>
      </w:r>
      <w:r>
        <w:rPr>
          <w:rFonts w:hint="eastAsia" w:ascii="Times New Roman" w:hAnsi="Times New Roman" w:eastAsia="方正仿宋_GBK" w:cs="Times New Roman"/>
          <w:b w:val="0"/>
          <w:bCs w:val="0"/>
          <w:sz w:val="32"/>
          <w:szCs w:val="32"/>
          <w:shd w:val="clear" w:color="auto" w:fill="FFFFFF"/>
          <w:lang w:eastAsia="zh-CN"/>
        </w:rPr>
        <w:t>住房公积金</w:t>
      </w:r>
      <w:r>
        <w:rPr>
          <w:rFonts w:hint="default" w:ascii="Times New Roman" w:hAnsi="Times New Roman" w:eastAsia="方正仿宋_GBK" w:cs="Times New Roman"/>
          <w:b w:val="0"/>
          <w:bCs w:val="0"/>
          <w:sz w:val="32"/>
          <w:szCs w:val="32"/>
          <w:shd w:val="clear" w:color="auto" w:fill="FFFFFF"/>
        </w:rPr>
        <w:t>减少。</w:t>
      </w:r>
    </w:p>
    <w:p w14:paraId="7C4B1689">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left="0" w:leftChars="0" w:firstLine="640" w:firstLineChars="200"/>
        <w:jc w:val="both"/>
        <w:textAlignment w:val="auto"/>
        <w:rPr>
          <w:rFonts w:hint="default" w:ascii="Times New Roman" w:hAnsi="Times New Roman" w:eastAsia="方正仿宋_GBK" w:cs="Times New Roman"/>
          <w:b w:val="0"/>
          <w:bCs w:val="0"/>
          <w:color w:val="FF0000"/>
          <w:sz w:val="32"/>
          <w:szCs w:val="32"/>
          <w:shd w:val="clear" w:color="auto" w:fill="FFFFFF"/>
        </w:rPr>
      </w:pPr>
      <w:r>
        <w:rPr>
          <w:rStyle w:val="13"/>
          <w:rFonts w:hint="default" w:ascii="Times New Roman" w:hAnsi="Times New Roman" w:eastAsia="方正仿宋_GBK" w:cs="Times New Roman"/>
          <w:b w:val="0"/>
          <w:bCs w:val="0"/>
          <w:sz w:val="32"/>
          <w:szCs w:val="32"/>
          <w:shd w:val="clear" w:color="auto" w:fill="FFFFFF"/>
        </w:rPr>
        <w:t>3.结转结余情况。</w:t>
      </w:r>
      <w:r>
        <w:rPr>
          <w:rFonts w:hint="default" w:ascii="Times New Roman" w:hAnsi="Times New Roman" w:eastAsia="方正仿宋_GBK" w:cs="Times New Roman"/>
          <w:b w:val="0"/>
          <w:bCs w:val="0"/>
          <w:sz w:val="32"/>
          <w:szCs w:val="32"/>
          <w:shd w:val="clear" w:color="auto" w:fill="FFFFFF"/>
        </w:rPr>
        <w:t>2024年度年末一般公共预算财政拨款结转和结余0.00万元，与2023年度相比，无增减。</w:t>
      </w:r>
    </w:p>
    <w:p w14:paraId="6DA7646D">
      <w:pPr>
        <w:pStyle w:val="14"/>
        <w:keepNext w:val="0"/>
        <w:keepLines w:val="0"/>
        <w:pageBreakBefore w:val="0"/>
        <w:widowControl w:val="0"/>
        <w:kinsoku/>
        <w:wordWrap/>
        <w:overflowPunct/>
        <w:topLinePunct w:val="0"/>
        <w:autoSpaceDE w:val="0"/>
        <w:autoSpaceDN/>
        <w:bidi w:val="0"/>
        <w:adjustRightInd/>
        <w:spacing w:line="576" w:lineRule="exact"/>
        <w:ind w:left="0" w:leftChars="0" w:firstLine="640" w:firstLineChars="200"/>
        <w:jc w:val="both"/>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（四）一般公共预算财政拨款基本支出决算情况说明</w:t>
      </w:r>
    </w:p>
    <w:p w14:paraId="48AB0A70">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left="0" w:leftChars="0"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2024年度一般公共财政拨款基本支出218.43万元。</w:t>
      </w:r>
    </w:p>
    <w:p w14:paraId="48F5CB3A">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left="0" w:leftChars="0"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其中：</w:t>
      </w:r>
    </w:p>
    <w:p w14:paraId="2B23F69E">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left="0" w:leftChars="0" w:firstLine="640" w:firstLineChars="200"/>
        <w:jc w:val="both"/>
        <w:textAlignment w:val="auto"/>
        <w:rPr>
          <w:rFonts w:hint="default" w:ascii="Times New Roman" w:hAnsi="Times New Roman" w:eastAsia="方正仿宋_GBK" w:cs="Times New Roman"/>
          <w:b w:val="0"/>
          <w:bCs w:val="0"/>
          <w:color w:val="FF000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人员经费170.39万元，与2023年度相比，增加14.03万元，增长9.0%，主要原因是本年度养老保险及清算2022年及以前年度待遇，人员经费增长</w:t>
      </w:r>
      <w:r>
        <w:rPr>
          <w:rFonts w:hint="default" w:ascii="Times New Roman" w:hAnsi="Times New Roman" w:cs="Times New Roman"/>
          <w:b w:val="0"/>
          <w:bCs w:val="0"/>
        </w:rPr>
        <w:t>。</w:t>
      </w:r>
      <w:r>
        <w:rPr>
          <w:rFonts w:hint="default" w:ascii="Times New Roman" w:hAnsi="Times New Roman" w:eastAsia="方正仿宋_GBK" w:cs="Times New Roman"/>
          <w:b w:val="0"/>
          <w:bCs w:val="0"/>
          <w:sz w:val="32"/>
          <w:szCs w:val="32"/>
          <w:shd w:val="clear" w:color="auto" w:fill="FFFFFF"/>
        </w:rPr>
        <w:t>人员经费用途主要包括基本工资、津贴补贴、社会保障缴费、</w:t>
      </w:r>
      <w:r>
        <w:rPr>
          <w:rFonts w:hint="eastAsia" w:ascii="Times New Roman" w:hAnsi="Times New Roman" w:eastAsia="方正仿宋_GBK" w:cs="Times New Roman"/>
          <w:b w:val="0"/>
          <w:bCs w:val="0"/>
          <w:sz w:val="32"/>
          <w:szCs w:val="32"/>
          <w:shd w:val="clear" w:color="auto" w:fill="FFFFFF"/>
          <w:lang w:eastAsia="zh-CN"/>
        </w:rPr>
        <w:t>住房公积</w:t>
      </w:r>
      <w:bookmarkStart w:id="0" w:name="_GoBack"/>
      <w:bookmarkEnd w:id="0"/>
      <w:r>
        <w:rPr>
          <w:rFonts w:hint="default" w:ascii="Times New Roman" w:hAnsi="Times New Roman" w:eastAsia="方正仿宋_GBK" w:cs="Times New Roman"/>
          <w:b w:val="0"/>
          <w:bCs w:val="0"/>
          <w:sz w:val="32"/>
          <w:szCs w:val="32"/>
          <w:shd w:val="clear" w:color="auto" w:fill="FFFFFF"/>
        </w:rPr>
        <w:t>金等。</w:t>
      </w:r>
    </w:p>
    <w:p w14:paraId="62DC4BF8">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left="0" w:leftChars="0"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公用经费48.03万元，与2023年度相比，增加9.54万元，增长24.8%，主要原因是本年度把以往的运作性项目经费、独立运行补丁项目经费调整为公用经费基本支出。公用经费用途主要包括办公费、邮电费、工会补助经费、其他交通费用等。</w:t>
      </w:r>
    </w:p>
    <w:p w14:paraId="36672187">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left="0" w:leftChars="0" w:firstLine="640" w:firstLineChars="200"/>
        <w:jc w:val="both"/>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（五）政府性基金预算收支决算情况说明</w:t>
      </w:r>
    </w:p>
    <w:p w14:paraId="6EFD309F">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left="0" w:leftChars="0"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本单位2024年度无政府性基金预算财政拨款收支。</w:t>
      </w:r>
    </w:p>
    <w:p w14:paraId="59C86928">
      <w:pPr>
        <w:pStyle w:val="14"/>
        <w:keepNext w:val="0"/>
        <w:keepLines w:val="0"/>
        <w:pageBreakBefore w:val="0"/>
        <w:widowControl w:val="0"/>
        <w:kinsoku/>
        <w:wordWrap/>
        <w:overflowPunct/>
        <w:topLinePunct w:val="0"/>
        <w:autoSpaceDE w:val="0"/>
        <w:autoSpaceDN/>
        <w:bidi w:val="0"/>
        <w:adjustRightInd/>
        <w:spacing w:line="576" w:lineRule="exact"/>
        <w:ind w:left="0" w:leftChars="0" w:firstLine="640" w:firstLineChars="200"/>
        <w:jc w:val="both"/>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（六）国有资本经营预算财政拨款支出决算情况说明</w:t>
      </w:r>
    </w:p>
    <w:p w14:paraId="59FDAF36">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left="0" w:leftChars="0"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本单位2024年度无国有资本经营预算财政拨款支出。</w:t>
      </w:r>
    </w:p>
    <w:p w14:paraId="33D4AF7E">
      <w:pPr>
        <w:pStyle w:val="9"/>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76" w:lineRule="exact"/>
        <w:ind w:left="0" w:leftChars="0" w:firstLine="640" w:firstLineChars="200"/>
        <w:jc w:val="both"/>
        <w:textAlignment w:val="auto"/>
        <w:rPr>
          <w:rStyle w:val="13"/>
          <w:rFonts w:hint="default" w:ascii="Times New Roman" w:hAnsi="Times New Roman" w:eastAsia="黑体" w:cs="Times New Roman"/>
          <w:b w:val="0"/>
          <w:bCs w:val="0"/>
          <w:sz w:val="32"/>
          <w:szCs w:val="32"/>
          <w:shd w:val="clear" w:color="auto" w:fill="FFFFFF"/>
        </w:rPr>
      </w:pPr>
      <w:r>
        <w:rPr>
          <w:rStyle w:val="13"/>
          <w:rFonts w:hint="default" w:ascii="Times New Roman" w:hAnsi="Times New Roman" w:eastAsia="黑体" w:cs="Times New Roman"/>
          <w:b w:val="0"/>
          <w:bCs w:val="0"/>
          <w:sz w:val="32"/>
          <w:szCs w:val="32"/>
          <w:shd w:val="clear" w:color="auto" w:fill="FFFFFF"/>
        </w:rPr>
        <w:t>三、财政拨款“三公”经费情况说明</w:t>
      </w:r>
    </w:p>
    <w:p w14:paraId="29E0AA54">
      <w:pPr>
        <w:pStyle w:val="14"/>
        <w:keepNext w:val="0"/>
        <w:keepLines w:val="0"/>
        <w:pageBreakBefore w:val="0"/>
        <w:widowControl w:val="0"/>
        <w:kinsoku/>
        <w:wordWrap/>
        <w:overflowPunct/>
        <w:topLinePunct w:val="0"/>
        <w:autoSpaceDE w:val="0"/>
        <w:autoSpaceDN/>
        <w:bidi w:val="0"/>
        <w:adjustRightInd/>
        <w:spacing w:line="576" w:lineRule="exact"/>
        <w:ind w:left="0" w:leftChars="0" w:firstLine="640" w:firstLineChars="200"/>
        <w:jc w:val="both"/>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（一）“三公”经费支出总体情况说明</w:t>
      </w:r>
    </w:p>
    <w:p w14:paraId="743A3A68">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left="0" w:leftChars="0"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2024年度“三公”经费支出共计3.62万元，较年初预算数减少0.38万元，下降9.5%，主要原因是严格落实政府部门“过紧日子”要求，年中压减“三公”经费预算。较上年支出数增加1.31万元，增长56.7%，主要原因是本年度文化执法、扫黄打非出行检查次数增多，公务用车运行维护费增加。</w:t>
      </w:r>
    </w:p>
    <w:p w14:paraId="124FFA34">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left="0" w:leftChars="0" w:firstLine="640" w:firstLineChars="200"/>
        <w:jc w:val="both"/>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（二）“三公”经费分项支出情况</w:t>
      </w:r>
    </w:p>
    <w:p w14:paraId="1475AC04">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left="0" w:leftChars="0"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2024年度本部门因公出国（境）费用0.00万元。费用支出较年初预算数无增减，较上年支出数无增减，主要原因是上年度与本年度均未发生因公出国（境）支出。</w:t>
      </w:r>
    </w:p>
    <w:p w14:paraId="5BC310F2">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left="0" w:leftChars="0"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公务用车购置费0.00万元，费用支出较年初预算数无增减，较上年支出数无增减，主要原因是上年度与本年度均未发生公务车购置支出。</w:t>
      </w:r>
    </w:p>
    <w:p w14:paraId="3E9D6DE0">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left="0" w:leftChars="0"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公务用车运行维护费3.20万元，主要用于机要文件交换、扫黄打非和文化执法等所需车辆的燃料费、维修费、过桥过路费、保险费等。费用支出较年初预算数减少0.30万元，下降8.6%，主要原因是</w:t>
      </w:r>
      <w:r>
        <w:rPr>
          <w:rFonts w:hint="default" w:ascii="Times New Roman" w:hAnsi="Times New Roman" w:eastAsia="方正仿宋_GBK" w:cs="Times New Roman"/>
          <w:b w:val="0"/>
          <w:bCs w:val="0"/>
          <w:sz w:val="32"/>
          <w:szCs w:val="32"/>
        </w:rPr>
        <w:t>认真贯彻落实中央八项规定精神和厉行节约要求，严格控制运行成本</w:t>
      </w:r>
      <w:r>
        <w:rPr>
          <w:rFonts w:hint="default" w:ascii="Times New Roman" w:hAnsi="Times New Roman" w:eastAsia="方正仿宋_GBK" w:cs="Times New Roman"/>
          <w:b w:val="0"/>
          <w:bCs w:val="0"/>
          <w:sz w:val="32"/>
          <w:szCs w:val="32"/>
          <w:shd w:val="clear" w:color="auto" w:fill="FFFFFF"/>
        </w:rPr>
        <w:t>。较上年支出数增加1.29万元，增长67.5%，主要原因是本年度文化执法、扫黄打非出行检查次数增多。</w:t>
      </w:r>
    </w:p>
    <w:p w14:paraId="5EBB3DF1">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left="0" w:leftChars="0"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公务接待费0.42万元，主要用于</w:t>
      </w:r>
      <w:r>
        <w:rPr>
          <w:rFonts w:hint="default" w:ascii="Times New Roman" w:hAnsi="Times New Roman" w:eastAsia="方正仿宋_GBK" w:cs="Times New Roman"/>
          <w:b w:val="0"/>
          <w:bCs w:val="0"/>
          <w:sz w:val="32"/>
          <w:szCs w:val="32"/>
        </w:rPr>
        <w:t>与区外其他单位（部门）业务往来、上下级公务处理、公务办理等出具公函的公务接待</w:t>
      </w:r>
      <w:r>
        <w:rPr>
          <w:rFonts w:hint="default" w:ascii="Times New Roman" w:hAnsi="Times New Roman" w:eastAsia="方正仿宋_GBK" w:cs="Times New Roman"/>
          <w:b w:val="0"/>
          <w:bCs w:val="0"/>
          <w:sz w:val="32"/>
          <w:szCs w:val="32"/>
          <w:shd w:val="clear" w:color="auto" w:fill="FFFFFF"/>
        </w:rPr>
        <w:t>。费用支出较年初预算数减少0.08万元，下降16.0%，主要原因是</w:t>
      </w:r>
      <w:r>
        <w:rPr>
          <w:rFonts w:hint="default" w:ascii="Times New Roman" w:hAnsi="Times New Roman" w:eastAsia="方正仿宋_GBK" w:cs="Times New Roman"/>
          <w:b w:val="0"/>
          <w:bCs w:val="0"/>
          <w:sz w:val="32"/>
          <w:szCs w:val="32"/>
        </w:rPr>
        <w:t>严格遵守公务接待开支范围和开支标准，严格控制陪餐人数</w:t>
      </w:r>
      <w:r>
        <w:rPr>
          <w:rFonts w:hint="default" w:ascii="Times New Roman" w:hAnsi="Times New Roman" w:eastAsia="方正仿宋_GBK" w:cs="Times New Roman"/>
          <w:b w:val="0"/>
          <w:bCs w:val="0"/>
          <w:color w:val="000000" w:themeColor="text1"/>
          <w:sz w:val="32"/>
          <w:szCs w:val="32"/>
          <w:shd w:val="clear" w:color="auto" w:fill="FFFFFF"/>
        </w:rPr>
        <w:t>。</w:t>
      </w:r>
      <w:r>
        <w:rPr>
          <w:rFonts w:hint="default" w:ascii="Times New Roman" w:hAnsi="Times New Roman" w:eastAsia="方正仿宋_GBK" w:cs="Times New Roman"/>
          <w:b w:val="0"/>
          <w:bCs w:val="0"/>
          <w:sz w:val="32"/>
          <w:szCs w:val="32"/>
          <w:shd w:val="clear" w:color="auto" w:fill="FFFFFF"/>
        </w:rPr>
        <w:t>较上年支出数增加0.02万元，增长5.0%，主要原因是本年接待人数和次数增多。</w:t>
      </w:r>
    </w:p>
    <w:p w14:paraId="235D23BF">
      <w:pPr>
        <w:pStyle w:val="14"/>
        <w:keepNext w:val="0"/>
        <w:keepLines w:val="0"/>
        <w:pageBreakBefore w:val="0"/>
        <w:widowControl w:val="0"/>
        <w:kinsoku/>
        <w:wordWrap/>
        <w:overflowPunct/>
        <w:topLinePunct w:val="0"/>
        <w:autoSpaceDE w:val="0"/>
        <w:autoSpaceDN/>
        <w:bidi w:val="0"/>
        <w:adjustRightInd/>
        <w:spacing w:line="576" w:lineRule="exact"/>
        <w:ind w:left="0" w:leftChars="0" w:firstLine="640" w:firstLineChars="200"/>
        <w:jc w:val="both"/>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（三）“三公”经费实物量情况</w:t>
      </w:r>
    </w:p>
    <w:p w14:paraId="7936867F">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left="0" w:leftChars="0"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2024年度本单位因公出国（境）共计0个团组，0人；公务用车购置0辆，公务车保有量为1辆；国内公务接待9批次69人，其中：国内外事接待0批次，0人；国（境）外公务接待0批次，0人。2024年本单位人均接待费61.49元，车均购置费0万元，车均维护费3.20万元。</w:t>
      </w:r>
    </w:p>
    <w:p w14:paraId="04856F72">
      <w:pPr>
        <w:pStyle w:val="9"/>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76" w:lineRule="exact"/>
        <w:ind w:left="0" w:leftChars="0" w:firstLine="640" w:firstLineChars="200"/>
        <w:jc w:val="both"/>
        <w:textAlignment w:val="auto"/>
        <w:rPr>
          <w:rStyle w:val="13"/>
          <w:rFonts w:hint="default" w:ascii="Times New Roman" w:hAnsi="Times New Roman" w:eastAsia="黑体" w:cs="Times New Roman"/>
          <w:b w:val="0"/>
          <w:bCs w:val="0"/>
          <w:sz w:val="32"/>
          <w:szCs w:val="32"/>
          <w:shd w:val="clear" w:color="auto" w:fill="FFFFFF"/>
        </w:rPr>
      </w:pPr>
      <w:r>
        <w:rPr>
          <w:rStyle w:val="13"/>
          <w:rFonts w:hint="default" w:ascii="Times New Roman" w:hAnsi="Times New Roman" w:eastAsia="黑体" w:cs="Times New Roman"/>
          <w:b w:val="0"/>
          <w:bCs w:val="0"/>
          <w:sz w:val="32"/>
          <w:szCs w:val="32"/>
          <w:shd w:val="clear" w:color="auto" w:fill="FFFFFF"/>
        </w:rPr>
        <w:t>四、其他需要说明的事项</w:t>
      </w:r>
    </w:p>
    <w:p w14:paraId="4508B9FC">
      <w:pPr>
        <w:pStyle w:val="9"/>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76" w:lineRule="exact"/>
        <w:ind w:left="0" w:leftChars="0" w:firstLine="640" w:firstLineChars="200"/>
        <w:jc w:val="both"/>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（一）财政拨款会议费、培训费和差旅费情况说明</w:t>
      </w:r>
    </w:p>
    <w:p w14:paraId="28AEA45C">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left="0" w:leftChars="0"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本年度会议费支出0.00万元，与2023年度相比，减少0.22万元，下降100.0%，主要原因是本年度未组织和参加会议，无相关费用支出。本年度培训费支出0.35万元，与2023年度相比，减少0.87万元，下降71.3%，主要原因是</w:t>
      </w:r>
      <w:r>
        <w:rPr>
          <w:rFonts w:hint="default" w:ascii="Times New Roman" w:hAnsi="Times New Roman" w:eastAsia="方正仿宋_GBK" w:cs="Times New Roman"/>
          <w:b w:val="0"/>
          <w:bCs w:val="0"/>
          <w:color w:val="333333"/>
          <w:sz w:val="32"/>
          <w:szCs w:val="32"/>
        </w:rPr>
        <w:t>严控培训参加人员、培训次数节约支出</w:t>
      </w:r>
      <w:r>
        <w:rPr>
          <w:rFonts w:hint="default" w:ascii="Times New Roman" w:hAnsi="Times New Roman" w:eastAsia="微软雅黑" w:cs="Times New Roman"/>
          <w:b w:val="0"/>
          <w:bCs w:val="0"/>
          <w:color w:val="333333"/>
          <w:sz w:val="32"/>
          <w:szCs w:val="32"/>
        </w:rPr>
        <w:t>0.87</w:t>
      </w:r>
      <w:r>
        <w:rPr>
          <w:rFonts w:hint="default" w:ascii="Times New Roman" w:hAnsi="Times New Roman" w:eastAsia="方正仿宋_GBK" w:cs="Times New Roman"/>
          <w:b w:val="0"/>
          <w:bCs w:val="0"/>
          <w:color w:val="333333"/>
          <w:sz w:val="32"/>
          <w:szCs w:val="32"/>
        </w:rPr>
        <w:t>万元</w:t>
      </w:r>
      <w:r>
        <w:rPr>
          <w:rFonts w:hint="default" w:ascii="Times New Roman" w:hAnsi="Times New Roman" w:eastAsia="方正仿宋_GBK" w:cs="Times New Roman"/>
          <w:b w:val="0"/>
          <w:bCs w:val="0"/>
          <w:sz w:val="32"/>
          <w:szCs w:val="32"/>
          <w:shd w:val="clear" w:color="auto" w:fill="FFFFFF"/>
        </w:rPr>
        <w:t>。本年度差旅费支出0.35</w:t>
      </w:r>
      <w:r>
        <w:rPr>
          <w:rFonts w:hint="default" w:ascii="Times New Roman" w:hAnsi="Times New Roman" w:eastAsia="方正仿宋_GBK" w:cs="Times New Roman"/>
          <w:b w:val="0"/>
          <w:bCs w:val="0"/>
          <w:sz w:val="32"/>
          <w:szCs w:val="32"/>
        </w:rPr>
        <w:t>万元，</w:t>
      </w:r>
      <w:r>
        <w:rPr>
          <w:rFonts w:hint="default" w:ascii="Times New Roman" w:hAnsi="Times New Roman" w:eastAsia="方正仿宋_GBK" w:cs="Times New Roman"/>
          <w:b w:val="0"/>
          <w:bCs w:val="0"/>
          <w:sz w:val="32"/>
          <w:szCs w:val="32"/>
          <w:shd w:val="clear" w:color="auto" w:fill="FFFFFF"/>
        </w:rPr>
        <w:t>与2023年度相比，减少1.11万元，下降76.0%，主要原因是厉行节约，相近事项“打包”外出办理，差旅费节约1.11万元。</w:t>
      </w:r>
    </w:p>
    <w:p w14:paraId="4D6FC32D">
      <w:pPr>
        <w:pStyle w:val="14"/>
        <w:keepNext w:val="0"/>
        <w:keepLines w:val="0"/>
        <w:pageBreakBefore w:val="0"/>
        <w:widowControl w:val="0"/>
        <w:kinsoku/>
        <w:wordWrap/>
        <w:overflowPunct/>
        <w:topLinePunct w:val="0"/>
        <w:autoSpaceDE w:val="0"/>
        <w:autoSpaceDN/>
        <w:bidi w:val="0"/>
        <w:adjustRightInd/>
        <w:spacing w:line="576" w:lineRule="exact"/>
        <w:ind w:left="0" w:leftChars="0" w:firstLine="640" w:firstLineChars="200"/>
        <w:jc w:val="both"/>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（二）机关运行经费情况说明</w:t>
      </w:r>
    </w:p>
    <w:p w14:paraId="0D4E1DE8">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left="0" w:leftChars="0"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2024年度本单位机关运行经费支出48.03万元，机关运行经费主要用于开支包括</w:t>
      </w:r>
      <w:r>
        <w:rPr>
          <w:rFonts w:hint="default" w:ascii="Times New Roman" w:hAnsi="Times New Roman" w:eastAsia="方正仿宋_GBK" w:cs="Times New Roman"/>
          <w:b w:val="0"/>
          <w:bCs w:val="0"/>
          <w:sz w:val="32"/>
          <w:szCs w:val="32"/>
        </w:rPr>
        <w:t>办公费、印刷费、水费、电费、邮电费、差旅费、维修费、会议费、培训费、公务接待费、劳务费、工会经费、福利费、公务用车运行维护费、其他交通费用等。</w:t>
      </w:r>
      <w:r>
        <w:rPr>
          <w:rFonts w:hint="default" w:ascii="Times New Roman" w:hAnsi="Times New Roman" w:eastAsia="方正仿宋_GBK" w:cs="Times New Roman"/>
          <w:b w:val="0"/>
          <w:bCs w:val="0"/>
          <w:sz w:val="32"/>
          <w:szCs w:val="32"/>
          <w:shd w:val="clear" w:color="auto" w:fill="FFFFFF"/>
        </w:rPr>
        <w:t>机关运行经费较上年支出数增加9.54万元，增长24.8%，主要原因是把以往的运作性项目经费、独立运行补丁项目经费调整为公用经费基本支出。</w:t>
      </w:r>
    </w:p>
    <w:p w14:paraId="59FF639A">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left="0" w:leftChars="0" w:firstLine="640" w:firstLineChars="200"/>
        <w:jc w:val="both"/>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（三）国有资产占用情况说明</w:t>
      </w:r>
    </w:p>
    <w:p w14:paraId="1EA5614D">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left="0" w:leftChars="0"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截至2024年12月31日，本单位共有车辆1辆，其中，副部（省）级及以上领导用车0辆、主要负责人用车0辆、机要通信用车0辆、应急保障用车1辆、执法执勤用车0辆，特种专业技术用车0辆，离退休干部用车0辆。单价100万元（含）以上专用设备0台（套）。</w:t>
      </w:r>
    </w:p>
    <w:p w14:paraId="19228AC0">
      <w:pPr>
        <w:pStyle w:val="14"/>
        <w:keepNext w:val="0"/>
        <w:keepLines w:val="0"/>
        <w:pageBreakBefore w:val="0"/>
        <w:widowControl w:val="0"/>
        <w:kinsoku/>
        <w:wordWrap/>
        <w:overflowPunct/>
        <w:topLinePunct w:val="0"/>
        <w:autoSpaceDE w:val="0"/>
        <w:autoSpaceDN/>
        <w:bidi w:val="0"/>
        <w:adjustRightInd/>
        <w:spacing w:line="576" w:lineRule="exact"/>
        <w:ind w:left="0" w:leftChars="0" w:firstLine="640" w:firstLineChars="200"/>
        <w:jc w:val="both"/>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（四）政府采购支出情况说明</w:t>
      </w:r>
    </w:p>
    <w:p w14:paraId="108275C3">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left="0" w:leftChars="0"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2024年度我单位未发生政府采购事项，无相关经费支出。</w:t>
      </w:r>
    </w:p>
    <w:p w14:paraId="72957708">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left="0" w:leftChars="0" w:firstLine="640" w:firstLineChars="200"/>
        <w:jc w:val="both"/>
        <w:textAlignment w:val="auto"/>
        <w:rPr>
          <w:rStyle w:val="13"/>
          <w:rFonts w:hint="default" w:ascii="Times New Roman" w:hAnsi="Times New Roman" w:eastAsia="黑体" w:cs="Times New Roman"/>
          <w:b w:val="0"/>
          <w:bCs w:val="0"/>
          <w:sz w:val="32"/>
          <w:szCs w:val="32"/>
          <w:shd w:val="clear" w:color="auto" w:fill="FFFFFF"/>
        </w:rPr>
      </w:pPr>
      <w:r>
        <w:rPr>
          <w:rStyle w:val="13"/>
          <w:rFonts w:hint="default" w:ascii="Times New Roman" w:hAnsi="Times New Roman" w:eastAsia="黑体" w:cs="Times New Roman"/>
          <w:b w:val="0"/>
          <w:bCs w:val="0"/>
          <w:sz w:val="32"/>
          <w:szCs w:val="32"/>
          <w:shd w:val="clear" w:color="auto" w:fill="FFFFFF"/>
        </w:rPr>
        <w:t>五、2024年度预算绩效管理情况说明</w:t>
      </w:r>
    </w:p>
    <w:p w14:paraId="1E8E80D8">
      <w:pPr>
        <w:pStyle w:val="15"/>
        <w:keepNext w:val="0"/>
        <w:keepLines w:val="0"/>
        <w:pageBreakBefore w:val="0"/>
        <w:widowControl w:val="0"/>
        <w:kinsoku/>
        <w:wordWrap/>
        <w:overflowPunct/>
        <w:topLinePunct w:val="0"/>
        <w:autoSpaceDE w:val="0"/>
        <w:autoSpaceDN/>
        <w:bidi w:val="0"/>
        <w:adjustRightInd/>
        <w:spacing w:before="0" w:beforeAutospacing="0" w:after="0" w:afterAutospacing="0" w:line="576" w:lineRule="exact"/>
        <w:ind w:left="0" w:leftChars="0" w:firstLine="640" w:firstLineChars="200"/>
        <w:jc w:val="both"/>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（一）单位自评情况</w:t>
      </w:r>
    </w:p>
    <w:p w14:paraId="5FF56073">
      <w:pPr>
        <w:pStyle w:val="15"/>
        <w:keepNext w:val="0"/>
        <w:keepLines w:val="0"/>
        <w:pageBreakBefore w:val="0"/>
        <w:widowControl w:val="0"/>
        <w:kinsoku/>
        <w:wordWrap/>
        <w:overflowPunct/>
        <w:topLinePunct w:val="0"/>
        <w:autoSpaceDE w:val="0"/>
        <w:autoSpaceDN/>
        <w:bidi w:val="0"/>
        <w:adjustRightInd/>
        <w:spacing w:before="0" w:beforeAutospacing="0" w:after="0" w:afterAutospacing="0" w:line="576" w:lineRule="exact"/>
        <w:ind w:left="0" w:leftChars="0"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我单位对2个二级项目开展了绩效自评，涉及财政拨款项目支出资金8.4万元。</w:t>
      </w:r>
    </w:p>
    <w:p w14:paraId="6D12C541">
      <w:pPr>
        <w:pStyle w:val="15"/>
        <w:keepNext w:val="0"/>
        <w:keepLines w:val="0"/>
        <w:pageBreakBefore w:val="0"/>
        <w:widowControl w:val="0"/>
        <w:kinsoku/>
        <w:wordWrap/>
        <w:overflowPunct/>
        <w:topLinePunct w:val="0"/>
        <w:autoSpaceDN/>
        <w:bidi w:val="0"/>
        <w:adjustRightInd/>
        <w:spacing w:before="0" w:beforeAutospacing="0" w:after="0" w:afterAutospacing="0" w:line="576" w:lineRule="exact"/>
        <w:ind w:left="0" w:leftChars="0"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部门整体绩效自评表</w:t>
      </w:r>
    </w:p>
    <w:p w14:paraId="07A31A48">
      <w:pPr>
        <w:keepNext w:val="0"/>
        <w:keepLines w:val="0"/>
        <w:pageBreakBefore w:val="0"/>
        <w:widowControl w:val="0"/>
        <w:kinsoku/>
        <w:wordWrap/>
        <w:overflowPunct/>
        <w:topLinePunct w:val="0"/>
        <w:autoSpaceDN/>
        <w:bidi w:val="0"/>
        <w:adjustRightInd/>
        <w:spacing w:line="576" w:lineRule="exact"/>
        <w:ind w:left="0" w:leftChars="0"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详见附件。</w:t>
      </w:r>
    </w:p>
    <w:p w14:paraId="1B6613DF">
      <w:pPr>
        <w:pStyle w:val="15"/>
        <w:keepNext w:val="0"/>
        <w:keepLines w:val="0"/>
        <w:pageBreakBefore w:val="0"/>
        <w:widowControl w:val="0"/>
        <w:kinsoku/>
        <w:wordWrap/>
        <w:overflowPunct/>
        <w:topLinePunct w:val="0"/>
        <w:autoSpaceDN/>
        <w:bidi w:val="0"/>
        <w:adjustRightInd/>
        <w:spacing w:before="0" w:beforeAutospacing="0" w:after="0" w:afterAutospacing="0" w:line="576" w:lineRule="exact"/>
        <w:ind w:left="0" w:leftChars="0"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项目支出绩效自评表</w:t>
      </w:r>
    </w:p>
    <w:p w14:paraId="63FB562E">
      <w:pPr>
        <w:keepNext w:val="0"/>
        <w:keepLines w:val="0"/>
        <w:pageBreakBefore w:val="0"/>
        <w:widowControl w:val="0"/>
        <w:kinsoku/>
        <w:wordWrap/>
        <w:overflowPunct/>
        <w:topLinePunct w:val="0"/>
        <w:autoSpaceDN/>
        <w:bidi w:val="0"/>
        <w:adjustRightInd/>
        <w:spacing w:line="576" w:lineRule="exact"/>
        <w:ind w:left="0" w:leftChars="0"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详见附件。</w:t>
      </w:r>
    </w:p>
    <w:p w14:paraId="07B23F77">
      <w:pPr>
        <w:pStyle w:val="15"/>
        <w:keepNext w:val="0"/>
        <w:keepLines w:val="0"/>
        <w:pageBreakBefore w:val="0"/>
        <w:widowControl w:val="0"/>
        <w:kinsoku/>
        <w:wordWrap/>
        <w:overflowPunct/>
        <w:topLinePunct w:val="0"/>
        <w:autoSpaceDE w:val="0"/>
        <w:autoSpaceDN/>
        <w:bidi w:val="0"/>
        <w:adjustRightInd/>
        <w:spacing w:before="0" w:beforeAutospacing="0" w:after="0" w:afterAutospacing="0" w:line="576" w:lineRule="exact"/>
        <w:ind w:left="0" w:leftChars="0" w:firstLine="640" w:firstLineChars="200"/>
        <w:jc w:val="both"/>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（二）部门绩效评价情况</w:t>
      </w:r>
    </w:p>
    <w:p w14:paraId="32AE20A8">
      <w:pPr>
        <w:keepNext w:val="0"/>
        <w:keepLines w:val="0"/>
        <w:pageBreakBefore w:val="0"/>
        <w:widowControl w:val="0"/>
        <w:kinsoku/>
        <w:wordWrap/>
        <w:overflowPunct/>
        <w:topLinePunct w:val="0"/>
        <w:autoSpaceDN/>
        <w:bidi w:val="0"/>
        <w:adjustRightInd/>
        <w:spacing w:line="576" w:lineRule="exact"/>
        <w:ind w:left="0" w:leftChars="0"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本年度本单位未委托第三方开展绩效评价。</w:t>
      </w:r>
    </w:p>
    <w:p w14:paraId="0C247FB5">
      <w:pPr>
        <w:pStyle w:val="19"/>
        <w:keepNext w:val="0"/>
        <w:keepLines w:val="0"/>
        <w:pageBreakBefore w:val="0"/>
        <w:widowControl w:val="0"/>
        <w:kinsoku/>
        <w:wordWrap/>
        <w:overflowPunct/>
        <w:topLinePunct w:val="0"/>
        <w:autoSpaceDE w:val="0"/>
        <w:autoSpaceDN/>
        <w:bidi w:val="0"/>
        <w:adjustRightInd/>
        <w:spacing w:line="576" w:lineRule="exact"/>
        <w:ind w:left="0" w:leftChars="0"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lang w:bidi="ar"/>
        </w:rPr>
        <w:t>（三）财政绩效评价情况</w:t>
      </w:r>
    </w:p>
    <w:p w14:paraId="3D74F58C">
      <w:pPr>
        <w:pStyle w:val="20"/>
        <w:keepNext w:val="0"/>
        <w:keepLines w:val="0"/>
        <w:pageBreakBefore w:val="0"/>
        <w:widowControl w:val="0"/>
        <w:tabs>
          <w:tab w:val="center" w:pos="4153"/>
          <w:tab w:val="left" w:pos="7275"/>
        </w:tabs>
        <w:kinsoku/>
        <w:wordWrap/>
        <w:overflowPunct/>
        <w:topLinePunct w:val="0"/>
        <w:autoSpaceDN/>
        <w:bidi w:val="0"/>
        <w:adjustRightInd/>
        <w:spacing w:line="576" w:lineRule="exact"/>
        <w:ind w:left="0" w:leftChars="0" w:firstLine="640" w:firstLineChars="200"/>
        <w:jc w:val="both"/>
        <w:textAlignment w:val="auto"/>
        <w:rPr>
          <w:rFonts w:hint="default" w:ascii="Times New Roman" w:hAnsi="Times New Roman" w:eastAsia="方正仿宋_GBK" w:cs="Times New Roman"/>
          <w:b w:val="0"/>
          <w:bCs w:val="0"/>
          <w:kern w:val="0"/>
          <w:sz w:val="32"/>
          <w:szCs w:val="32"/>
        </w:rPr>
      </w:pPr>
      <w:r>
        <w:rPr>
          <w:rFonts w:hint="default" w:ascii="Times New Roman" w:hAnsi="Times New Roman" w:eastAsia="方正仿宋_GBK" w:cs="Times New Roman"/>
          <w:b w:val="0"/>
          <w:bCs w:val="0"/>
          <w:kern w:val="0"/>
          <w:sz w:val="32"/>
          <w:szCs w:val="32"/>
        </w:rPr>
        <w:t>区财政局未委托第三方对本单位的整体、政策或项目开展重点绩效评价。</w:t>
      </w:r>
    </w:p>
    <w:p w14:paraId="1D1E7734">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left="0" w:leftChars="0" w:firstLine="640" w:firstLineChars="200"/>
        <w:jc w:val="both"/>
        <w:textAlignment w:val="auto"/>
        <w:rPr>
          <w:rStyle w:val="13"/>
          <w:rFonts w:hint="default" w:ascii="Times New Roman" w:hAnsi="Times New Roman" w:eastAsia="黑体" w:cs="Times New Roman"/>
          <w:b w:val="0"/>
          <w:bCs w:val="0"/>
          <w:sz w:val="32"/>
          <w:szCs w:val="32"/>
          <w:shd w:val="clear" w:color="auto" w:fill="FFFFFF"/>
        </w:rPr>
      </w:pPr>
      <w:r>
        <w:rPr>
          <w:rStyle w:val="13"/>
          <w:rFonts w:hint="default" w:ascii="Times New Roman" w:hAnsi="Times New Roman" w:eastAsia="黑体" w:cs="Times New Roman"/>
          <w:b w:val="0"/>
          <w:bCs w:val="0"/>
          <w:sz w:val="32"/>
          <w:szCs w:val="32"/>
          <w:shd w:val="clear" w:color="auto" w:fill="FFFFFF"/>
        </w:rPr>
        <w:t>六、专业名词解释</w:t>
      </w:r>
    </w:p>
    <w:p w14:paraId="2FF4D70A">
      <w:pPr>
        <w:pStyle w:val="15"/>
        <w:keepNext w:val="0"/>
        <w:keepLines w:val="0"/>
        <w:pageBreakBefore w:val="0"/>
        <w:widowControl w:val="0"/>
        <w:kinsoku/>
        <w:wordWrap/>
        <w:overflowPunct/>
        <w:topLinePunct w:val="0"/>
        <w:autoSpaceDN/>
        <w:bidi w:val="0"/>
        <w:adjustRightInd/>
        <w:spacing w:before="0" w:beforeAutospacing="0" w:after="0" w:afterAutospacing="0" w:line="576" w:lineRule="exact"/>
        <w:ind w:left="0" w:leftChars="0" w:firstLine="640" w:firstLineChars="200"/>
        <w:jc w:val="both"/>
        <w:textAlignment w:val="auto"/>
        <w:rPr>
          <w:rFonts w:hint="default" w:ascii="Times New Roman" w:hAnsi="Times New Roman" w:eastAsia="方正仿宋_GBK" w:cs="Times New Roman"/>
          <w:b w:val="0"/>
          <w:bCs w:val="0"/>
          <w:sz w:val="32"/>
          <w:szCs w:val="32"/>
        </w:rPr>
      </w:pPr>
      <w:r>
        <w:rPr>
          <w:rStyle w:val="13"/>
          <w:rFonts w:hint="default" w:ascii="Times New Roman" w:hAnsi="Times New Roman" w:eastAsia="楷体" w:cs="Times New Roman"/>
          <w:b w:val="0"/>
          <w:bCs w:val="0"/>
          <w:sz w:val="32"/>
          <w:szCs w:val="32"/>
          <w:shd w:val="clear" w:color="auto" w:fill="FFFFFF"/>
        </w:rPr>
        <w:t>（一）财政拨款收入：</w:t>
      </w:r>
      <w:r>
        <w:rPr>
          <w:rFonts w:hint="default" w:ascii="Times New Roman" w:hAnsi="Times New Roman" w:eastAsia="方正仿宋_GBK" w:cs="Times New Roman"/>
          <w:b w:val="0"/>
          <w:bCs w:val="0"/>
          <w:sz w:val="32"/>
          <w:szCs w:val="32"/>
          <w:shd w:val="clear" w:color="auto" w:fill="FFFFFF"/>
        </w:rPr>
        <w:t>指本年度从本级财政部门取得的财政拨款，包括一般公共预算财政拨款和政府性基金预算财政拨款。</w:t>
      </w:r>
    </w:p>
    <w:p w14:paraId="2D386B84">
      <w:pPr>
        <w:pStyle w:val="15"/>
        <w:keepNext w:val="0"/>
        <w:keepLines w:val="0"/>
        <w:pageBreakBefore w:val="0"/>
        <w:widowControl w:val="0"/>
        <w:kinsoku/>
        <w:wordWrap/>
        <w:overflowPunct/>
        <w:topLinePunct w:val="0"/>
        <w:autoSpaceDN/>
        <w:bidi w:val="0"/>
        <w:adjustRightInd/>
        <w:spacing w:before="0" w:beforeAutospacing="0" w:after="0" w:afterAutospacing="0" w:line="576" w:lineRule="exact"/>
        <w:ind w:left="0" w:leftChars="0" w:firstLine="640" w:firstLineChars="200"/>
        <w:jc w:val="both"/>
        <w:textAlignment w:val="auto"/>
        <w:rPr>
          <w:rFonts w:hint="default" w:ascii="Times New Roman" w:hAnsi="Times New Roman" w:eastAsia="方正仿宋_GBK" w:cs="Times New Roman"/>
          <w:b w:val="0"/>
          <w:bCs w:val="0"/>
          <w:sz w:val="32"/>
          <w:szCs w:val="32"/>
        </w:rPr>
      </w:pPr>
      <w:r>
        <w:rPr>
          <w:rStyle w:val="13"/>
          <w:rFonts w:hint="default" w:ascii="Times New Roman" w:hAnsi="Times New Roman" w:eastAsia="楷体" w:cs="Times New Roman"/>
          <w:b w:val="0"/>
          <w:bCs w:val="0"/>
          <w:sz w:val="32"/>
          <w:szCs w:val="32"/>
          <w:shd w:val="clear" w:color="auto" w:fill="FFFFFF"/>
        </w:rPr>
        <w:t>（二）事业收入：</w:t>
      </w:r>
      <w:r>
        <w:rPr>
          <w:rFonts w:hint="default" w:ascii="Times New Roman" w:hAnsi="Times New Roman" w:eastAsia="方正仿宋_GBK" w:cs="Times New Roman"/>
          <w:b w:val="0"/>
          <w:bCs w:val="0"/>
          <w:sz w:val="32"/>
          <w:szCs w:val="32"/>
          <w:shd w:val="clear" w:color="auto" w:fill="FFFFFF"/>
        </w:rPr>
        <w:t>指事业单位开展专业业务活动及其辅助活动取得的现金流入；事业单位收到的财政专户实际核拨的教育收费等资金在此反映。</w:t>
      </w:r>
    </w:p>
    <w:p w14:paraId="793E1FE7">
      <w:pPr>
        <w:pStyle w:val="15"/>
        <w:keepNext w:val="0"/>
        <w:keepLines w:val="0"/>
        <w:pageBreakBefore w:val="0"/>
        <w:widowControl w:val="0"/>
        <w:kinsoku/>
        <w:wordWrap/>
        <w:overflowPunct/>
        <w:topLinePunct w:val="0"/>
        <w:autoSpaceDN/>
        <w:bidi w:val="0"/>
        <w:adjustRightInd/>
        <w:spacing w:before="0" w:beforeAutospacing="0" w:after="0" w:afterAutospacing="0" w:line="576" w:lineRule="exact"/>
        <w:ind w:left="0" w:leftChars="0" w:firstLine="640" w:firstLineChars="200"/>
        <w:jc w:val="both"/>
        <w:textAlignment w:val="auto"/>
        <w:rPr>
          <w:rFonts w:hint="default" w:ascii="Times New Roman" w:hAnsi="Times New Roman" w:eastAsia="方正仿宋_GBK" w:cs="Times New Roman"/>
          <w:b w:val="0"/>
          <w:bCs w:val="0"/>
          <w:sz w:val="32"/>
          <w:szCs w:val="32"/>
        </w:rPr>
      </w:pPr>
      <w:r>
        <w:rPr>
          <w:rStyle w:val="13"/>
          <w:rFonts w:hint="default" w:ascii="Times New Roman" w:hAnsi="Times New Roman" w:eastAsia="楷体" w:cs="Times New Roman"/>
          <w:b w:val="0"/>
          <w:bCs w:val="0"/>
          <w:sz w:val="32"/>
          <w:szCs w:val="32"/>
          <w:shd w:val="clear" w:color="auto" w:fill="FFFFFF"/>
        </w:rPr>
        <w:t>（三）经营收入：</w:t>
      </w:r>
      <w:r>
        <w:rPr>
          <w:rFonts w:hint="default" w:ascii="Times New Roman" w:hAnsi="Times New Roman" w:eastAsia="方正仿宋_GBK" w:cs="Times New Roman"/>
          <w:b w:val="0"/>
          <w:bCs w:val="0"/>
          <w:sz w:val="32"/>
          <w:szCs w:val="32"/>
          <w:shd w:val="clear" w:color="auto" w:fill="FFFFFF"/>
        </w:rPr>
        <w:t>指事业单位在专业业务活动及其辅助活动之外开展非独立核算经营活动取得的现金流入。</w:t>
      </w:r>
    </w:p>
    <w:p w14:paraId="2D76732F">
      <w:pPr>
        <w:pStyle w:val="15"/>
        <w:keepNext w:val="0"/>
        <w:keepLines w:val="0"/>
        <w:pageBreakBefore w:val="0"/>
        <w:widowControl w:val="0"/>
        <w:kinsoku/>
        <w:wordWrap/>
        <w:overflowPunct/>
        <w:topLinePunct w:val="0"/>
        <w:autoSpaceDN/>
        <w:bidi w:val="0"/>
        <w:adjustRightInd/>
        <w:spacing w:before="0" w:beforeAutospacing="0" w:after="0" w:afterAutospacing="0" w:line="576" w:lineRule="exact"/>
        <w:ind w:left="0" w:leftChars="0" w:firstLine="640" w:firstLineChars="200"/>
        <w:jc w:val="both"/>
        <w:textAlignment w:val="auto"/>
        <w:rPr>
          <w:rFonts w:hint="default" w:ascii="Times New Roman" w:hAnsi="Times New Roman" w:eastAsia="方正仿宋_GBK" w:cs="Times New Roman"/>
          <w:b w:val="0"/>
          <w:bCs w:val="0"/>
          <w:sz w:val="32"/>
          <w:szCs w:val="32"/>
        </w:rPr>
      </w:pPr>
      <w:r>
        <w:rPr>
          <w:rStyle w:val="13"/>
          <w:rFonts w:hint="default" w:ascii="Times New Roman" w:hAnsi="Times New Roman" w:eastAsia="楷体" w:cs="Times New Roman"/>
          <w:b w:val="0"/>
          <w:bCs w:val="0"/>
          <w:sz w:val="32"/>
          <w:szCs w:val="32"/>
          <w:shd w:val="clear" w:color="auto" w:fill="FFFFFF"/>
        </w:rPr>
        <w:t>（四）其他收入：</w:t>
      </w:r>
      <w:r>
        <w:rPr>
          <w:rFonts w:hint="default" w:ascii="Times New Roman" w:hAnsi="Times New Roman" w:eastAsia="方正仿宋_GBK" w:cs="Times New Roman"/>
          <w:b w:val="0"/>
          <w:bCs w:val="0"/>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52C8B0B1">
      <w:pPr>
        <w:pStyle w:val="15"/>
        <w:keepNext w:val="0"/>
        <w:keepLines w:val="0"/>
        <w:pageBreakBefore w:val="0"/>
        <w:widowControl w:val="0"/>
        <w:kinsoku/>
        <w:wordWrap/>
        <w:overflowPunct/>
        <w:topLinePunct w:val="0"/>
        <w:autoSpaceDN/>
        <w:bidi w:val="0"/>
        <w:adjustRightInd/>
        <w:spacing w:before="0" w:beforeAutospacing="0" w:after="0" w:afterAutospacing="0" w:line="576" w:lineRule="exact"/>
        <w:ind w:left="0" w:leftChars="0" w:firstLine="640" w:firstLineChars="200"/>
        <w:jc w:val="both"/>
        <w:textAlignment w:val="auto"/>
        <w:rPr>
          <w:rFonts w:hint="default" w:ascii="Times New Roman" w:hAnsi="Times New Roman" w:eastAsia="方正仿宋_GBK" w:cs="Times New Roman"/>
          <w:b w:val="0"/>
          <w:bCs w:val="0"/>
          <w:sz w:val="32"/>
          <w:szCs w:val="32"/>
        </w:rPr>
      </w:pPr>
      <w:r>
        <w:rPr>
          <w:rStyle w:val="13"/>
          <w:rFonts w:hint="default" w:ascii="Times New Roman" w:hAnsi="Times New Roman" w:eastAsia="楷体" w:cs="Times New Roman"/>
          <w:b w:val="0"/>
          <w:bCs w:val="0"/>
          <w:sz w:val="32"/>
          <w:szCs w:val="32"/>
          <w:shd w:val="clear" w:color="auto" w:fill="FFFFFF"/>
        </w:rPr>
        <w:t>（五）使用非财政拨款结余（含专用结余）：</w:t>
      </w:r>
      <w:r>
        <w:rPr>
          <w:rFonts w:hint="default" w:ascii="Times New Roman" w:hAnsi="Times New Roman" w:eastAsia="方正仿宋_GBK" w:cs="Times New Roman"/>
          <w:b w:val="0"/>
          <w:bCs w:val="0"/>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4E91EA26">
      <w:pPr>
        <w:pStyle w:val="15"/>
        <w:keepNext w:val="0"/>
        <w:keepLines w:val="0"/>
        <w:pageBreakBefore w:val="0"/>
        <w:widowControl w:val="0"/>
        <w:kinsoku/>
        <w:wordWrap/>
        <w:overflowPunct/>
        <w:topLinePunct w:val="0"/>
        <w:autoSpaceDN/>
        <w:bidi w:val="0"/>
        <w:adjustRightInd/>
        <w:spacing w:before="0" w:beforeAutospacing="0" w:after="0" w:afterAutospacing="0" w:line="576" w:lineRule="exact"/>
        <w:ind w:left="0" w:leftChars="0" w:firstLine="640" w:firstLineChars="200"/>
        <w:jc w:val="both"/>
        <w:textAlignment w:val="auto"/>
        <w:rPr>
          <w:rFonts w:hint="default" w:ascii="Times New Roman" w:hAnsi="Times New Roman" w:eastAsia="方正仿宋_GBK" w:cs="Times New Roman"/>
          <w:b w:val="0"/>
          <w:bCs w:val="0"/>
          <w:sz w:val="32"/>
          <w:szCs w:val="32"/>
        </w:rPr>
      </w:pPr>
      <w:r>
        <w:rPr>
          <w:rStyle w:val="13"/>
          <w:rFonts w:hint="default" w:ascii="Times New Roman" w:hAnsi="Times New Roman" w:eastAsia="楷体" w:cs="Times New Roman"/>
          <w:b w:val="0"/>
          <w:bCs w:val="0"/>
          <w:sz w:val="32"/>
          <w:szCs w:val="32"/>
          <w:shd w:val="clear" w:color="auto" w:fill="FFFFFF"/>
        </w:rPr>
        <w:t>（六）年初结转和结余：</w:t>
      </w:r>
      <w:r>
        <w:rPr>
          <w:rFonts w:hint="default" w:ascii="Times New Roman" w:hAnsi="Times New Roman" w:eastAsia="方正仿宋_GBK" w:cs="Times New Roman"/>
          <w:b w:val="0"/>
          <w:bCs w:val="0"/>
          <w:sz w:val="32"/>
          <w:szCs w:val="32"/>
          <w:shd w:val="clear" w:color="auto" w:fill="FFFFFF"/>
        </w:rPr>
        <w:t>指单位上年结转本年使用的基本支出结转、项目支出结转和结余、经营结余。</w:t>
      </w:r>
    </w:p>
    <w:p w14:paraId="02C73005">
      <w:pPr>
        <w:pStyle w:val="15"/>
        <w:keepNext w:val="0"/>
        <w:keepLines w:val="0"/>
        <w:pageBreakBefore w:val="0"/>
        <w:widowControl w:val="0"/>
        <w:kinsoku/>
        <w:wordWrap/>
        <w:overflowPunct/>
        <w:topLinePunct w:val="0"/>
        <w:autoSpaceDN/>
        <w:bidi w:val="0"/>
        <w:adjustRightInd/>
        <w:spacing w:before="0" w:beforeAutospacing="0" w:after="0" w:afterAutospacing="0" w:line="576" w:lineRule="exact"/>
        <w:ind w:left="0" w:leftChars="0" w:firstLine="640" w:firstLineChars="200"/>
        <w:jc w:val="both"/>
        <w:textAlignment w:val="auto"/>
        <w:rPr>
          <w:rFonts w:hint="default" w:ascii="Times New Roman" w:hAnsi="Times New Roman" w:eastAsia="方正仿宋_GBK" w:cs="Times New Roman"/>
          <w:b w:val="0"/>
          <w:bCs w:val="0"/>
          <w:sz w:val="32"/>
          <w:szCs w:val="32"/>
        </w:rPr>
      </w:pPr>
      <w:r>
        <w:rPr>
          <w:rStyle w:val="13"/>
          <w:rFonts w:hint="default" w:ascii="Times New Roman" w:hAnsi="Times New Roman" w:eastAsia="楷体" w:cs="Times New Roman"/>
          <w:b w:val="0"/>
          <w:bCs w:val="0"/>
          <w:sz w:val="32"/>
          <w:szCs w:val="32"/>
          <w:shd w:val="clear" w:color="auto" w:fill="FFFFFF"/>
        </w:rPr>
        <w:t>（七）结余分配：</w:t>
      </w:r>
      <w:r>
        <w:rPr>
          <w:rFonts w:hint="default" w:ascii="Times New Roman" w:hAnsi="Times New Roman" w:eastAsia="方正仿宋_GBK" w:cs="Times New Roman"/>
          <w:b w:val="0"/>
          <w:bCs w:val="0"/>
          <w:sz w:val="32"/>
          <w:szCs w:val="32"/>
          <w:shd w:val="clear" w:color="auto" w:fill="FFFFFF"/>
        </w:rPr>
        <w:t>指单位按照国家有关规定，缴纳所得税、提取专用基金、转入非财政拨款结余等当年结余的分配情况。</w:t>
      </w:r>
    </w:p>
    <w:p w14:paraId="643AC11C">
      <w:pPr>
        <w:pStyle w:val="15"/>
        <w:keepNext w:val="0"/>
        <w:keepLines w:val="0"/>
        <w:pageBreakBefore w:val="0"/>
        <w:widowControl w:val="0"/>
        <w:kinsoku/>
        <w:wordWrap/>
        <w:overflowPunct/>
        <w:topLinePunct w:val="0"/>
        <w:autoSpaceDN/>
        <w:bidi w:val="0"/>
        <w:adjustRightInd/>
        <w:spacing w:before="0" w:beforeAutospacing="0" w:after="0" w:afterAutospacing="0" w:line="576" w:lineRule="exact"/>
        <w:ind w:left="0" w:leftChars="0" w:firstLine="640" w:firstLineChars="200"/>
        <w:jc w:val="both"/>
        <w:textAlignment w:val="auto"/>
        <w:rPr>
          <w:rFonts w:hint="default" w:ascii="Times New Roman" w:hAnsi="Times New Roman" w:eastAsia="方正仿宋_GBK" w:cs="Times New Roman"/>
          <w:b w:val="0"/>
          <w:bCs w:val="0"/>
          <w:sz w:val="32"/>
          <w:szCs w:val="32"/>
        </w:rPr>
      </w:pPr>
      <w:r>
        <w:rPr>
          <w:rStyle w:val="13"/>
          <w:rFonts w:hint="default" w:ascii="Times New Roman" w:hAnsi="Times New Roman" w:eastAsia="楷体" w:cs="Times New Roman"/>
          <w:b w:val="0"/>
          <w:bCs w:val="0"/>
          <w:sz w:val="32"/>
          <w:szCs w:val="32"/>
          <w:shd w:val="clear" w:color="auto" w:fill="FFFFFF"/>
        </w:rPr>
        <w:t>（八）年末结转和结余：</w:t>
      </w:r>
      <w:r>
        <w:rPr>
          <w:rFonts w:hint="default" w:ascii="Times New Roman" w:hAnsi="Times New Roman" w:eastAsia="方正仿宋_GBK" w:cs="Times New Roman"/>
          <w:b w:val="0"/>
          <w:bCs w:val="0"/>
          <w:sz w:val="32"/>
          <w:szCs w:val="32"/>
          <w:shd w:val="clear" w:color="auto" w:fill="FFFFFF"/>
        </w:rPr>
        <w:t>指单位结转下年的基本支出结转、项目支出结转和结余、经营结余。</w:t>
      </w:r>
    </w:p>
    <w:p w14:paraId="7570DC31">
      <w:pPr>
        <w:pStyle w:val="15"/>
        <w:keepNext w:val="0"/>
        <w:keepLines w:val="0"/>
        <w:pageBreakBefore w:val="0"/>
        <w:widowControl w:val="0"/>
        <w:kinsoku/>
        <w:wordWrap/>
        <w:overflowPunct/>
        <w:topLinePunct w:val="0"/>
        <w:autoSpaceDN/>
        <w:bidi w:val="0"/>
        <w:adjustRightInd/>
        <w:spacing w:before="0" w:beforeAutospacing="0" w:after="0" w:afterAutospacing="0" w:line="576" w:lineRule="exact"/>
        <w:ind w:left="0" w:leftChars="0" w:firstLine="640" w:firstLineChars="200"/>
        <w:jc w:val="both"/>
        <w:textAlignment w:val="auto"/>
        <w:rPr>
          <w:rFonts w:hint="default" w:ascii="Times New Roman" w:hAnsi="Times New Roman" w:eastAsia="方正仿宋_GBK" w:cs="Times New Roman"/>
          <w:b w:val="0"/>
          <w:bCs w:val="0"/>
          <w:sz w:val="32"/>
          <w:szCs w:val="32"/>
        </w:rPr>
      </w:pPr>
      <w:r>
        <w:rPr>
          <w:rStyle w:val="13"/>
          <w:rFonts w:hint="default" w:ascii="Times New Roman" w:hAnsi="Times New Roman" w:eastAsia="楷体" w:cs="Times New Roman"/>
          <w:b w:val="0"/>
          <w:bCs w:val="0"/>
          <w:sz w:val="32"/>
          <w:szCs w:val="32"/>
          <w:shd w:val="clear" w:color="auto" w:fill="FFFFFF"/>
        </w:rPr>
        <w:t>（九）基本支出：</w:t>
      </w:r>
      <w:r>
        <w:rPr>
          <w:rFonts w:hint="default" w:ascii="Times New Roman" w:hAnsi="Times New Roman" w:eastAsia="方正仿宋_GBK" w:cs="Times New Roman"/>
          <w:b w:val="0"/>
          <w:bCs w:val="0"/>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3A00956E">
      <w:pPr>
        <w:pStyle w:val="15"/>
        <w:keepNext w:val="0"/>
        <w:keepLines w:val="0"/>
        <w:pageBreakBefore w:val="0"/>
        <w:widowControl w:val="0"/>
        <w:kinsoku/>
        <w:wordWrap/>
        <w:overflowPunct/>
        <w:topLinePunct w:val="0"/>
        <w:autoSpaceDN/>
        <w:bidi w:val="0"/>
        <w:adjustRightInd/>
        <w:spacing w:before="0" w:beforeAutospacing="0" w:after="0" w:afterAutospacing="0" w:line="576" w:lineRule="exact"/>
        <w:ind w:left="0" w:leftChars="0" w:firstLine="640" w:firstLineChars="200"/>
        <w:jc w:val="both"/>
        <w:textAlignment w:val="auto"/>
        <w:rPr>
          <w:rFonts w:hint="default" w:ascii="Times New Roman" w:hAnsi="Times New Roman" w:eastAsia="方正仿宋_GBK" w:cs="Times New Roman"/>
          <w:b w:val="0"/>
          <w:bCs w:val="0"/>
          <w:sz w:val="32"/>
          <w:szCs w:val="32"/>
        </w:rPr>
      </w:pPr>
      <w:r>
        <w:rPr>
          <w:rStyle w:val="13"/>
          <w:rFonts w:hint="default" w:ascii="Times New Roman" w:hAnsi="Times New Roman" w:eastAsia="楷体" w:cs="Times New Roman"/>
          <w:b w:val="0"/>
          <w:bCs w:val="0"/>
          <w:sz w:val="32"/>
          <w:szCs w:val="32"/>
          <w:shd w:val="clear" w:color="auto" w:fill="FFFFFF"/>
        </w:rPr>
        <w:t>（十）项目支出：</w:t>
      </w:r>
      <w:r>
        <w:rPr>
          <w:rFonts w:hint="default" w:ascii="Times New Roman" w:hAnsi="Times New Roman" w:eastAsia="方正仿宋_GBK" w:cs="Times New Roman"/>
          <w:b w:val="0"/>
          <w:bCs w:val="0"/>
          <w:sz w:val="32"/>
          <w:szCs w:val="32"/>
          <w:shd w:val="clear" w:color="auto" w:fill="FFFFFF"/>
        </w:rPr>
        <w:t>指在基本支出之外为完成特定行政任务和事业发展目标所发生的支出。</w:t>
      </w:r>
    </w:p>
    <w:p w14:paraId="5AC3C8EE">
      <w:pPr>
        <w:pStyle w:val="15"/>
        <w:keepNext w:val="0"/>
        <w:keepLines w:val="0"/>
        <w:pageBreakBefore w:val="0"/>
        <w:widowControl w:val="0"/>
        <w:kinsoku/>
        <w:wordWrap/>
        <w:overflowPunct/>
        <w:topLinePunct w:val="0"/>
        <w:autoSpaceDN/>
        <w:bidi w:val="0"/>
        <w:adjustRightInd/>
        <w:spacing w:before="0" w:beforeAutospacing="0" w:after="0" w:afterAutospacing="0" w:line="576" w:lineRule="exact"/>
        <w:ind w:left="0" w:leftChars="0" w:firstLine="640" w:firstLineChars="200"/>
        <w:jc w:val="both"/>
        <w:textAlignment w:val="auto"/>
        <w:rPr>
          <w:rFonts w:hint="default" w:ascii="Times New Roman" w:hAnsi="Times New Roman" w:eastAsia="方正仿宋_GBK" w:cs="Times New Roman"/>
          <w:b w:val="0"/>
          <w:bCs w:val="0"/>
          <w:sz w:val="32"/>
          <w:szCs w:val="32"/>
        </w:rPr>
      </w:pPr>
      <w:r>
        <w:rPr>
          <w:rStyle w:val="13"/>
          <w:rFonts w:hint="default" w:ascii="Times New Roman" w:hAnsi="Times New Roman" w:eastAsia="楷体" w:cs="Times New Roman"/>
          <w:b w:val="0"/>
          <w:bCs w:val="0"/>
          <w:sz w:val="32"/>
          <w:szCs w:val="32"/>
          <w:shd w:val="clear" w:color="auto" w:fill="FFFFFF"/>
        </w:rPr>
        <w:t>（十一）经营支出：</w:t>
      </w:r>
      <w:r>
        <w:rPr>
          <w:rFonts w:hint="default" w:ascii="Times New Roman" w:hAnsi="Times New Roman" w:eastAsia="方正仿宋_GBK" w:cs="Times New Roman"/>
          <w:b w:val="0"/>
          <w:bCs w:val="0"/>
          <w:sz w:val="32"/>
          <w:szCs w:val="32"/>
          <w:shd w:val="clear" w:color="auto" w:fill="FFFFFF"/>
        </w:rPr>
        <w:t>指事业单位在专业业务活动及其辅助活动之外开展非独立核算经营活动发生的支出。</w:t>
      </w:r>
    </w:p>
    <w:p w14:paraId="4DC4F176">
      <w:pPr>
        <w:pStyle w:val="15"/>
        <w:keepNext w:val="0"/>
        <w:keepLines w:val="0"/>
        <w:pageBreakBefore w:val="0"/>
        <w:widowControl w:val="0"/>
        <w:kinsoku/>
        <w:wordWrap/>
        <w:overflowPunct/>
        <w:topLinePunct w:val="0"/>
        <w:autoSpaceDN/>
        <w:bidi w:val="0"/>
        <w:adjustRightInd/>
        <w:spacing w:before="0" w:beforeAutospacing="0" w:after="0" w:afterAutospacing="0" w:line="576" w:lineRule="exact"/>
        <w:ind w:left="0" w:leftChars="0" w:firstLine="640" w:firstLineChars="200"/>
        <w:jc w:val="both"/>
        <w:textAlignment w:val="auto"/>
        <w:rPr>
          <w:rFonts w:hint="default" w:ascii="Times New Roman" w:hAnsi="Times New Roman" w:eastAsia="方正仿宋_GBK" w:cs="Times New Roman"/>
          <w:b w:val="0"/>
          <w:bCs w:val="0"/>
          <w:sz w:val="32"/>
          <w:szCs w:val="32"/>
        </w:rPr>
      </w:pPr>
      <w:r>
        <w:rPr>
          <w:rStyle w:val="13"/>
          <w:rFonts w:hint="default" w:ascii="Times New Roman" w:hAnsi="Times New Roman" w:eastAsia="楷体" w:cs="Times New Roman"/>
          <w:b w:val="0"/>
          <w:bCs w:val="0"/>
          <w:sz w:val="32"/>
          <w:szCs w:val="32"/>
          <w:shd w:val="clear" w:color="auto" w:fill="FFFFFF"/>
        </w:rPr>
        <w:t>（十二）“三公”经费：</w:t>
      </w:r>
      <w:r>
        <w:rPr>
          <w:rFonts w:hint="default" w:ascii="Times New Roman" w:hAnsi="Times New Roman" w:eastAsia="方正仿宋_GBK" w:cs="Times New Roman"/>
          <w:b w:val="0"/>
          <w:bCs w:val="0"/>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33109D6F">
      <w:pPr>
        <w:pStyle w:val="15"/>
        <w:keepNext w:val="0"/>
        <w:keepLines w:val="0"/>
        <w:pageBreakBefore w:val="0"/>
        <w:widowControl w:val="0"/>
        <w:kinsoku/>
        <w:wordWrap/>
        <w:overflowPunct/>
        <w:topLinePunct w:val="0"/>
        <w:autoSpaceDN/>
        <w:bidi w:val="0"/>
        <w:adjustRightInd/>
        <w:spacing w:before="0" w:beforeAutospacing="0" w:after="0" w:afterAutospacing="0" w:line="576" w:lineRule="exact"/>
        <w:ind w:left="0" w:leftChars="0" w:firstLine="640" w:firstLineChars="200"/>
        <w:jc w:val="both"/>
        <w:textAlignment w:val="auto"/>
        <w:rPr>
          <w:rFonts w:hint="default" w:ascii="Times New Roman" w:hAnsi="Times New Roman" w:eastAsia="方正仿宋_GBK" w:cs="Times New Roman"/>
          <w:b w:val="0"/>
          <w:bCs w:val="0"/>
          <w:sz w:val="32"/>
          <w:szCs w:val="32"/>
        </w:rPr>
      </w:pPr>
      <w:r>
        <w:rPr>
          <w:rStyle w:val="13"/>
          <w:rFonts w:hint="default" w:ascii="Times New Roman" w:hAnsi="Times New Roman" w:eastAsia="楷体" w:cs="Times New Roman"/>
          <w:b w:val="0"/>
          <w:bCs w:val="0"/>
          <w:sz w:val="32"/>
          <w:szCs w:val="32"/>
          <w:shd w:val="clear" w:color="auto" w:fill="FFFFFF"/>
        </w:rPr>
        <w:t>（十三）机关运行经费：</w:t>
      </w:r>
      <w:r>
        <w:rPr>
          <w:rFonts w:hint="default" w:ascii="Times New Roman" w:hAnsi="Times New Roman" w:eastAsia="方正仿宋_GBK" w:cs="Times New Roman"/>
          <w:b w:val="0"/>
          <w:bCs w:val="0"/>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49FA7AE0">
      <w:pPr>
        <w:pStyle w:val="15"/>
        <w:keepNext w:val="0"/>
        <w:keepLines w:val="0"/>
        <w:pageBreakBefore w:val="0"/>
        <w:widowControl w:val="0"/>
        <w:kinsoku/>
        <w:wordWrap/>
        <w:overflowPunct/>
        <w:topLinePunct w:val="0"/>
        <w:autoSpaceDN/>
        <w:bidi w:val="0"/>
        <w:adjustRightInd/>
        <w:spacing w:before="0" w:beforeAutospacing="0" w:after="0" w:afterAutospacing="0" w:line="576" w:lineRule="exact"/>
        <w:ind w:left="0" w:leftChars="0" w:firstLine="640" w:firstLineChars="200"/>
        <w:jc w:val="both"/>
        <w:textAlignment w:val="auto"/>
        <w:rPr>
          <w:rFonts w:hint="default" w:ascii="Times New Roman" w:hAnsi="Times New Roman" w:eastAsia="方正仿宋_GBK" w:cs="Times New Roman"/>
          <w:b w:val="0"/>
          <w:bCs w:val="0"/>
          <w:sz w:val="32"/>
          <w:szCs w:val="32"/>
        </w:rPr>
      </w:pPr>
      <w:r>
        <w:rPr>
          <w:rStyle w:val="13"/>
          <w:rFonts w:hint="default" w:ascii="Times New Roman" w:hAnsi="Times New Roman" w:eastAsia="楷体" w:cs="Times New Roman"/>
          <w:b w:val="0"/>
          <w:bCs w:val="0"/>
          <w:sz w:val="32"/>
          <w:szCs w:val="32"/>
          <w:shd w:val="clear" w:color="auto" w:fill="FFFFFF"/>
        </w:rPr>
        <w:t>（十四）工资福利支出（支出经济分类科目类级）：</w:t>
      </w:r>
      <w:r>
        <w:rPr>
          <w:rFonts w:hint="default" w:ascii="Times New Roman" w:hAnsi="Times New Roman" w:eastAsia="方正仿宋_GBK" w:cs="Times New Roman"/>
          <w:b w:val="0"/>
          <w:bCs w:val="0"/>
          <w:sz w:val="32"/>
          <w:szCs w:val="32"/>
          <w:shd w:val="clear" w:color="auto" w:fill="FFFFFF"/>
        </w:rPr>
        <w:t>反映单位开支的在职职工和编制外长期聘用人员的各类劳动报酬，以及为上述人员缴纳的各项社会保险费等。</w:t>
      </w:r>
    </w:p>
    <w:p w14:paraId="5FDF4C7C">
      <w:pPr>
        <w:pStyle w:val="15"/>
        <w:keepNext w:val="0"/>
        <w:keepLines w:val="0"/>
        <w:pageBreakBefore w:val="0"/>
        <w:widowControl w:val="0"/>
        <w:kinsoku/>
        <w:wordWrap/>
        <w:overflowPunct/>
        <w:topLinePunct w:val="0"/>
        <w:autoSpaceDN/>
        <w:bidi w:val="0"/>
        <w:adjustRightInd/>
        <w:spacing w:before="0" w:beforeAutospacing="0" w:after="0" w:afterAutospacing="0" w:line="576" w:lineRule="exact"/>
        <w:ind w:left="0" w:leftChars="0" w:firstLine="640" w:firstLineChars="200"/>
        <w:jc w:val="both"/>
        <w:textAlignment w:val="auto"/>
        <w:rPr>
          <w:rFonts w:hint="default" w:ascii="Times New Roman" w:hAnsi="Times New Roman" w:eastAsia="方正仿宋_GBK" w:cs="Times New Roman"/>
          <w:b w:val="0"/>
          <w:bCs w:val="0"/>
          <w:sz w:val="32"/>
          <w:szCs w:val="32"/>
        </w:rPr>
      </w:pPr>
      <w:r>
        <w:rPr>
          <w:rStyle w:val="13"/>
          <w:rFonts w:hint="default" w:ascii="Times New Roman" w:hAnsi="Times New Roman" w:eastAsia="楷体" w:cs="Times New Roman"/>
          <w:b w:val="0"/>
          <w:bCs w:val="0"/>
          <w:sz w:val="32"/>
          <w:szCs w:val="32"/>
          <w:shd w:val="clear" w:color="auto" w:fill="FFFFFF"/>
        </w:rPr>
        <w:t>（十五）商品和服务支出（支出经济分类科目类级）：</w:t>
      </w:r>
      <w:r>
        <w:rPr>
          <w:rFonts w:hint="default" w:ascii="Times New Roman" w:hAnsi="Times New Roman" w:eastAsia="方正仿宋_GBK" w:cs="Times New Roman"/>
          <w:b w:val="0"/>
          <w:bCs w:val="0"/>
          <w:sz w:val="32"/>
          <w:szCs w:val="32"/>
          <w:shd w:val="clear" w:color="auto" w:fill="FFFFFF"/>
        </w:rPr>
        <w:t>反映单位购买商品和服务的支出（不包括用于购置固定资产的支出、战略性和应急储备支出）。</w:t>
      </w:r>
    </w:p>
    <w:p w14:paraId="5F89DAF5">
      <w:pPr>
        <w:pStyle w:val="15"/>
        <w:keepNext w:val="0"/>
        <w:keepLines w:val="0"/>
        <w:pageBreakBefore w:val="0"/>
        <w:widowControl w:val="0"/>
        <w:kinsoku/>
        <w:wordWrap/>
        <w:overflowPunct/>
        <w:topLinePunct w:val="0"/>
        <w:autoSpaceDN/>
        <w:bidi w:val="0"/>
        <w:adjustRightInd/>
        <w:spacing w:before="0" w:beforeAutospacing="0" w:after="0" w:afterAutospacing="0" w:line="576" w:lineRule="exact"/>
        <w:ind w:left="0" w:leftChars="0" w:firstLine="640" w:firstLineChars="200"/>
        <w:jc w:val="both"/>
        <w:textAlignment w:val="auto"/>
        <w:rPr>
          <w:rFonts w:hint="default" w:ascii="Times New Roman" w:hAnsi="Times New Roman" w:eastAsia="方正仿宋_GBK" w:cs="Times New Roman"/>
          <w:b w:val="0"/>
          <w:bCs w:val="0"/>
          <w:sz w:val="32"/>
          <w:szCs w:val="32"/>
        </w:rPr>
      </w:pPr>
      <w:r>
        <w:rPr>
          <w:rStyle w:val="13"/>
          <w:rFonts w:hint="default" w:ascii="Times New Roman" w:hAnsi="Times New Roman" w:eastAsia="楷体" w:cs="Times New Roman"/>
          <w:b w:val="0"/>
          <w:bCs w:val="0"/>
          <w:sz w:val="32"/>
          <w:szCs w:val="32"/>
          <w:shd w:val="clear" w:color="auto" w:fill="FFFFFF"/>
        </w:rPr>
        <w:t>（十六）对个人和家庭的补助（支出经济分类科目类级）：</w:t>
      </w:r>
      <w:r>
        <w:rPr>
          <w:rFonts w:hint="default" w:ascii="Times New Roman" w:hAnsi="Times New Roman" w:eastAsia="方正仿宋_GBK" w:cs="Times New Roman"/>
          <w:b w:val="0"/>
          <w:bCs w:val="0"/>
          <w:sz w:val="32"/>
          <w:szCs w:val="32"/>
          <w:shd w:val="clear" w:color="auto" w:fill="FFFFFF"/>
        </w:rPr>
        <w:t>反映用于对个人和家庭的补助支出。</w:t>
      </w:r>
    </w:p>
    <w:p w14:paraId="4CE420A2">
      <w:pPr>
        <w:pStyle w:val="15"/>
        <w:keepNext w:val="0"/>
        <w:keepLines w:val="0"/>
        <w:pageBreakBefore w:val="0"/>
        <w:widowControl w:val="0"/>
        <w:kinsoku/>
        <w:wordWrap/>
        <w:overflowPunct/>
        <w:topLinePunct w:val="0"/>
        <w:autoSpaceDN/>
        <w:bidi w:val="0"/>
        <w:adjustRightInd/>
        <w:spacing w:before="0" w:beforeAutospacing="0" w:after="0" w:afterAutospacing="0" w:line="576" w:lineRule="exact"/>
        <w:ind w:left="0" w:leftChars="0" w:firstLine="640" w:firstLineChars="200"/>
        <w:jc w:val="both"/>
        <w:textAlignment w:val="auto"/>
        <w:rPr>
          <w:rFonts w:hint="default" w:ascii="Times New Roman" w:hAnsi="Times New Roman" w:eastAsia="方正仿宋_GBK" w:cs="Times New Roman"/>
          <w:b w:val="0"/>
          <w:bCs w:val="0"/>
          <w:sz w:val="32"/>
          <w:szCs w:val="32"/>
        </w:rPr>
      </w:pPr>
      <w:r>
        <w:rPr>
          <w:rStyle w:val="13"/>
          <w:rFonts w:hint="default" w:ascii="Times New Roman" w:hAnsi="Times New Roman" w:eastAsia="楷体" w:cs="Times New Roman"/>
          <w:b w:val="0"/>
          <w:bCs w:val="0"/>
          <w:sz w:val="32"/>
          <w:szCs w:val="32"/>
          <w:shd w:val="clear" w:color="auto" w:fill="FFFFFF"/>
        </w:rPr>
        <w:t>（十七）其他资本性支出（支出经济分类科目类级）：</w:t>
      </w:r>
      <w:r>
        <w:rPr>
          <w:rFonts w:hint="default" w:ascii="Times New Roman" w:hAnsi="Times New Roman" w:eastAsia="方正仿宋_GBK" w:cs="Times New Roman"/>
          <w:b w:val="0"/>
          <w:bCs w:val="0"/>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7D759F67">
      <w:pPr>
        <w:pStyle w:val="15"/>
        <w:keepNext w:val="0"/>
        <w:keepLines w:val="0"/>
        <w:pageBreakBefore w:val="0"/>
        <w:widowControl w:val="0"/>
        <w:kinsoku/>
        <w:wordWrap/>
        <w:overflowPunct/>
        <w:topLinePunct w:val="0"/>
        <w:autoSpaceDN/>
        <w:bidi w:val="0"/>
        <w:adjustRightInd/>
        <w:spacing w:before="0" w:beforeAutospacing="0" w:after="0" w:afterAutospacing="0" w:line="576" w:lineRule="exact"/>
        <w:ind w:left="0" w:leftChars="0" w:firstLine="640" w:firstLineChars="200"/>
        <w:jc w:val="both"/>
        <w:textAlignment w:val="auto"/>
        <w:rPr>
          <w:rFonts w:hint="default" w:ascii="Times New Roman" w:hAnsi="Times New Roman" w:eastAsia="方正仿宋_GBK" w:cs="Times New Roman"/>
          <w:b w:val="0"/>
          <w:bCs w:val="0"/>
          <w:sz w:val="32"/>
          <w:szCs w:val="32"/>
        </w:rPr>
      </w:pPr>
      <w:r>
        <w:rPr>
          <w:rStyle w:val="13"/>
          <w:rFonts w:hint="default" w:ascii="Times New Roman" w:hAnsi="Times New Roman" w:eastAsia="黑体" w:cs="Times New Roman"/>
          <w:b w:val="0"/>
          <w:bCs w:val="0"/>
          <w:sz w:val="32"/>
          <w:szCs w:val="32"/>
          <w:shd w:val="clear" w:color="auto" w:fill="FFFFFF"/>
        </w:rPr>
        <w:t>七、决算公开联系方式及信息反馈渠道</w:t>
      </w:r>
    </w:p>
    <w:p w14:paraId="1D003ADC">
      <w:pPr>
        <w:keepNext w:val="0"/>
        <w:keepLines w:val="0"/>
        <w:pageBreakBefore w:val="0"/>
        <w:widowControl w:val="0"/>
        <w:shd w:val="clear" w:color="auto" w:fill="FFFFFF"/>
        <w:kinsoku/>
        <w:wordWrap/>
        <w:overflowPunct/>
        <w:topLinePunct w:val="0"/>
        <w:autoSpaceDN/>
        <w:bidi w:val="0"/>
        <w:adjustRightInd/>
        <w:spacing w:line="576" w:lineRule="exact"/>
        <w:ind w:left="0" w:leftChars="0"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本单位决算公开信息反馈和联系方式</w:t>
      </w:r>
      <w:r>
        <w:rPr>
          <w:rFonts w:hint="eastAsia" w:ascii="Times New Roman" w:hAnsi="Times New Roman" w:eastAsia="方正仿宋_GBK" w:cs="Times New Roman"/>
          <w:b w:val="0"/>
          <w:bCs w:val="0"/>
          <w:sz w:val="32"/>
          <w:szCs w:val="32"/>
          <w:shd w:val="clear" w:color="auto" w:fill="FFFFFF"/>
          <w:lang w:eastAsia="zh-CN"/>
        </w:rPr>
        <w:t>：</w:t>
      </w:r>
      <w:r>
        <w:rPr>
          <w:rFonts w:hint="eastAsia" w:ascii="Times New Roman" w:hAnsi="Times New Roman" w:eastAsia="方正仿宋_GBK" w:cs="Times New Roman"/>
          <w:b w:val="0"/>
          <w:bCs w:val="0"/>
          <w:sz w:val="32"/>
          <w:szCs w:val="32"/>
          <w:shd w:val="clear" w:color="auto" w:fill="FFFFFF"/>
          <w:lang w:val="en-US" w:eastAsia="zh-CN"/>
        </w:rPr>
        <w:t xml:space="preserve"> </w:t>
      </w:r>
      <w:r>
        <w:rPr>
          <w:rFonts w:hint="default" w:ascii="Times New Roman" w:hAnsi="Times New Roman" w:eastAsia="方正仿宋_GBK" w:cs="Times New Roman"/>
          <w:b w:val="0"/>
          <w:bCs w:val="0"/>
          <w:sz w:val="32"/>
          <w:szCs w:val="32"/>
          <w:shd w:val="clear" w:color="auto" w:fill="FFFFFF"/>
        </w:rPr>
        <w:t>023-48621131</w:t>
      </w:r>
    </w:p>
    <w:p w14:paraId="43A473DD">
      <w:pPr>
        <w:pStyle w:val="15"/>
        <w:keepNext w:val="0"/>
        <w:keepLines w:val="0"/>
        <w:pageBreakBefore w:val="0"/>
        <w:widowControl w:val="0"/>
        <w:kinsoku/>
        <w:wordWrap/>
        <w:overflowPunct/>
        <w:topLinePunct w:val="0"/>
        <w:autoSpaceDN/>
        <w:bidi w:val="0"/>
        <w:adjustRightInd/>
        <w:spacing w:before="0" w:beforeAutospacing="0" w:after="0" w:afterAutospacing="0" w:line="576" w:lineRule="exact"/>
        <w:ind w:left="0" w:leftChars="0" w:firstLine="640" w:firstLineChars="200"/>
        <w:jc w:val="both"/>
        <w:textAlignment w:val="auto"/>
        <w:rPr>
          <w:rFonts w:hint="default" w:ascii="Times New Roman" w:hAnsi="Times New Roman" w:eastAsia="方正仿宋_GBK" w:cs="Times New Roman"/>
          <w:b w:val="0"/>
          <w:bCs w:val="0"/>
          <w:sz w:val="32"/>
          <w:szCs w:val="32"/>
        </w:rPr>
      </w:pPr>
    </w:p>
    <w:sectPr>
      <w:headerReference r:id="rId3" w:type="default"/>
      <w:footerReference r:id="rId4" w:type="default"/>
      <w:pgSz w:w="11915" w:h="16840"/>
      <w:pgMar w:top="2098" w:right="1531" w:bottom="1984" w:left="1531"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1DD503">
    <w:pPr>
      <w:pStyle w:val="6"/>
      <w:jc w:val="both"/>
      <w:rPr>
        <w:rFonts w:hint="default"/>
      </w:rPr>
    </w:pPr>
    <w:r>
      <w:rPr>
        <w:rFonts w:hint="default"/>
      </w:rPr>
      <w:pict>
        <v:shape id="_x0000_s4097" o:spid="_x0000_s4097" o:spt="202" type="#_x0000_t202" style="position:absolute;left:0pt;margin-top:0pt;height:144pt;width:144pt;mso-position-horizontal:center;mso-position-horizontal-relative:margin;mso-wrap-style:none;z-index:251660288;mso-width-relative:page;mso-height-relative:page;" filled="f" stroked="f" coordsize="21600,21600" o:allowoverlap="f">
          <v:path/>
          <v:fill on="f" focussize="0,0"/>
          <v:stroke on="f" weight="0.5pt" joinstyle="miter"/>
          <v:imagedata o:title=""/>
          <o:lock v:ext="edit"/>
          <v:textbox inset="0mm,0mm,0mm,0mm" style="mso-fit-shape-to-text:t;">
            <w:txbxContent>
              <w:p w14:paraId="7294CB6D">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11 -</w:t>
                </w:r>
                <w:r>
                  <w:fldChar w:fldCharType="end"/>
                </w:r>
                <w:r>
                  <w:t xml:space="preserve"> </w:t>
                </w:r>
              </w:p>
            </w:txbxContent>
          </v:textbox>
        </v:shape>
      </w:pict>
    </w:r>
    <w:r>
      <w:rPr>
        <w:rFonts w:hint="default"/>
      </w:rPr>
      <w:pict>
        <v:shape id="_x0000_s4098" o:spid="_x0000_s4098"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v:path/>
          <v:fill on="f" focussize="0,0"/>
          <v:stroke on="f" weight="0.5pt" joinstyle="miter"/>
          <v:imagedata o:title=""/>
          <o:lock v:ext="edit"/>
          <v:textbox inset="0mm,0mm,0mm,0mm">
            <w:txbxContent>
              <w:p w14:paraId="634D2209">
                <w:pPr>
                  <w:pStyle w:val="6"/>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46BDB1">
    <w:pPr>
      <w:pStyle w:val="7"/>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20"/>
  <w:drawingGridVerticalSpacing w:val="163"/>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TBjMTA4NWFkNTQzNmRjMzIyNDRlM2UyMWIzN2M2ZGMifQ=="/>
  </w:docVars>
  <w:rsids>
    <w:rsidRoot w:val="00B03CCD"/>
    <w:rsid w:val="000239C6"/>
    <w:rsid w:val="000D39AE"/>
    <w:rsid w:val="00112EC4"/>
    <w:rsid w:val="001D3BB7"/>
    <w:rsid w:val="002B254B"/>
    <w:rsid w:val="002C623C"/>
    <w:rsid w:val="002C7E59"/>
    <w:rsid w:val="002D6941"/>
    <w:rsid w:val="0034050A"/>
    <w:rsid w:val="0044198A"/>
    <w:rsid w:val="0044504F"/>
    <w:rsid w:val="00466C9B"/>
    <w:rsid w:val="00486CFC"/>
    <w:rsid w:val="00491DDD"/>
    <w:rsid w:val="0050313B"/>
    <w:rsid w:val="00550ABE"/>
    <w:rsid w:val="00606A4B"/>
    <w:rsid w:val="00621FCB"/>
    <w:rsid w:val="00623A85"/>
    <w:rsid w:val="006E04BC"/>
    <w:rsid w:val="00707A61"/>
    <w:rsid w:val="00770383"/>
    <w:rsid w:val="00780667"/>
    <w:rsid w:val="007819D4"/>
    <w:rsid w:val="007A7C22"/>
    <w:rsid w:val="007B419D"/>
    <w:rsid w:val="007B7C4B"/>
    <w:rsid w:val="007D3D39"/>
    <w:rsid w:val="00904C16"/>
    <w:rsid w:val="00907B1E"/>
    <w:rsid w:val="00984C6A"/>
    <w:rsid w:val="00994AF7"/>
    <w:rsid w:val="009B67B8"/>
    <w:rsid w:val="009C14C9"/>
    <w:rsid w:val="009D2B67"/>
    <w:rsid w:val="009E1452"/>
    <w:rsid w:val="00A566F9"/>
    <w:rsid w:val="00AF2751"/>
    <w:rsid w:val="00B03CCD"/>
    <w:rsid w:val="00BE2B89"/>
    <w:rsid w:val="00BF0D89"/>
    <w:rsid w:val="00BF3004"/>
    <w:rsid w:val="00C10E9E"/>
    <w:rsid w:val="00C20C3E"/>
    <w:rsid w:val="00C5163E"/>
    <w:rsid w:val="00C5700A"/>
    <w:rsid w:val="00CB7AAE"/>
    <w:rsid w:val="00CC1317"/>
    <w:rsid w:val="00CF2ACF"/>
    <w:rsid w:val="00D03AAF"/>
    <w:rsid w:val="00D5500E"/>
    <w:rsid w:val="00DC3343"/>
    <w:rsid w:val="00DD0539"/>
    <w:rsid w:val="00E07662"/>
    <w:rsid w:val="00E368E9"/>
    <w:rsid w:val="00E42C05"/>
    <w:rsid w:val="00EE1E33"/>
    <w:rsid w:val="00F73F90"/>
    <w:rsid w:val="00FB4B3B"/>
    <w:rsid w:val="01474EBF"/>
    <w:rsid w:val="01F3521E"/>
    <w:rsid w:val="03B87EA0"/>
    <w:rsid w:val="03E3214F"/>
    <w:rsid w:val="044C50BA"/>
    <w:rsid w:val="05BC6D49"/>
    <w:rsid w:val="06194FF1"/>
    <w:rsid w:val="06A2550B"/>
    <w:rsid w:val="06F80EE2"/>
    <w:rsid w:val="07001CCA"/>
    <w:rsid w:val="07396AA0"/>
    <w:rsid w:val="075678DB"/>
    <w:rsid w:val="077B465F"/>
    <w:rsid w:val="077BC301"/>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4FFE7F08"/>
    <w:rsid w:val="504B6EAA"/>
    <w:rsid w:val="50F06B6E"/>
    <w:rsid w:val="51064DCD"/>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A3B59D6"/>
    <w:rsid w:val="5AD134D8"/>
    <w:rsid w:val="5BF41F67"/>
    <w:rsid w:val="5C263CE4"/>
    <w:rsid w:val="5C5D2777"/>
    <w:rsid w:val="5CF66BF3"/>
    <w:rsid w:val="5D290C69"/>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145427"/>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 w:val="FAD68F48"/>
    <w:rsid w:val="FF37D1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spacing w:after="120"/>
      <w:ind w:left="420" w:leftChars="200"/>
    </w:pPr>
    <w:rPr>
      <w:rFonts w:cs="宋体"/>
    </w:r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2"/>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2"/>
    <w:link w:val="5"/>
    <w:qFormat/>
    <w:uiPriority w:val="0"/>
    <w:rPr>
      <w:rFonts w:ascii="宋体" w:hAnsi="宋体"/>
      <w:sz w:val="18"/>
      <w:szCs w:val="18"/>
    </w:rPr>
  </w:style>
  <w:style w:type="paragraph" w:customStyle="1" w:styleId="19">
    <w:name w:val="列出段落3"/>
    <w:basedOn w:val="1"/>
    <w:qFormat/>
    <w:uiPriority w:val="99"/>
    <w:pPr>
      <w:ind w:firstLine="420" w:firstLineChars="200"/>
    </w:pPr>
  </w:style>
  <w:style w:type="paragraph" w:styleId="20">
    <w:name w:val="List Paragraph"/>
    <w:basedOn w:val="1"/>
    <w:qFormat/>
    <w:uiPriority w:val="34"/>
    <w:pPr>
      <w:widowControl w:val="0"/>
      <w:ind w:firstLine="420" w:firstLineChars="200"/>
      <w:jc w:val="both"/>
    </w:pPr>
    <w:rPr>
      <w:rFonts w:hint="default" w:ascii="Times New Roman" w:hAnsi="Times New Roman"/>
      <w:kern w:val="2"/>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11</Pages>
  <Words>815</Words>
  <Characters>4650</Characters>
  <Lines>38</Lines>
  <Paragraphs>10</Paragraphs>
  <TotalTime>12</TotalTime>
  <ScaleCrop>false</ScaleCrop>
  <LinksUpToDate>false</LinksUpToDate>
  <CharactersWithSpaces>5455</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2024-07-11T18:00:00Z</dcterms:created>
  <dc:creator>Administrator</dc:creator>
  <cp:lastModifiedBy>Administrator</cp:lastModifiedBy>
  <dcterms:modified xsi:type="dcterms:W3CDTF">2025-10-30T02:31:27Z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BB46EABDBB2749749395447164B066B3_12</vt:lpwstr>
  </property>
  <property fmtid="{D5CDD505-2E9C-101B-9397-08002B2CF9AE}" pid="4" name="KSOTemplateDocerSaveRecord">
    <vt:lpwstr>eyJoZGlkIjoiYzZkNzQ4ZWFiZmQ4NTRhOWRkZTk3YTMwMjlmMmZhYmUiLCJ1c2VySWQiOiIxMDUyNDMwMTIwIn0=</vt:lpwstr>
  </property>
</Properties>
</file>