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color w:val="auto"/>
          <w:sz w:val="44"/>
          <w:szCs w:val="44"/>
          <w:highlight w:val="none"/>
          <w:shd w:val="clear" w:color="auto" w:fill="FFFFFF"/>
        </w:rPr>
      </w:pPr>
      <w:r>
        <w:rPr>
          <w:rFonts w:hint="default" w:ascii="Times New Roman" w:hAnsi="Times New Roman" w:eastAsia="方正小标宋_GBK" w:cs="Times New Roman"/>
          <w:color w:val="auto"/>
          <w:sz w:val="44"/>
          <w:szCs w:val="44"/>
          <w:highlight w:val="none"/>
        </w:rPr>
        <w:t>重庆市綦江区通道经济发展中心</w:t>
      </w:r>
      <w:r>
        <w:rPr>
          <w:rFonts w:hint="default" w:ascii="Times New Roman" w:hAnsi="Times New Roman" w:eastAsia="方正小标宋_GBK" w:cs="Times New Roman"/>
          <w:color w:val="auto"/>
          <w:sz w:val="44"/>
          <w:szCs w:val="44"/>
          <w:highlight w:val="none"/>
          <w:shd w:val="clear" w:color="auto" w:fill="FFFFFF"/>
        </w:rPr>
        <w:t>202</w:t>
      </w:r>
      <w:r>
        <w:rPr>
          <w:rFonts w:hint="default" w:ascii="Times New Roman" w:hAnsi="Times New Roman" w:eastAsia="方正小标宋_GBK" w:cs="Times New Roman"/>
          <w:color w:val="auto"/>
          <w:sz w:val="44"/>
          <w:szCs w:val="44"/>
          <w:highlight w:val="none"/>
          <w:shd w:val="clear" w:color="auto" w:fill="FFFFFF"/>
          <w:lang w:val="en-US" w:eastAsia="zh-CN"/>
        </w:rPr>
        <w:t>4</w:t>
      </w:r>
      <w:r>
        <w:rPr>
          <w:rFonts w:hint="default" w:ascii="Times New Roman" w:hAnsi="Times New Roman" w:eastAsia="方正小标宋_GBK" w:cs="Times New Roman"/>
          <w:color w:val="auto"/>
          <w:sz w:val="44"/>
          <w:szCs w:val="44"/>
          <w:highlight w:val="none"/>
          <w:shd w:val="clear" w:color="auto" w:fill="FFFFFF"/>
        </w:rPr>
        <w:t>年度</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color w:val="auto"/>
          <w:sz w:val="44"/>
          <w:szCs w:val="44"/>
          <w:highlight w:val="none"/>
          <w:shd w:val="clear" w:color="auto" w:fill="FFFFFF"/>
        </w:rPr>
      </w:pPr>
      <w:r>
        <w:rPr>
          <w:rFonts w:hint="default" w:ascii="Times New Roman" w:hAnsi="Times New Roman" w:eastAsia="方正小标宋_GBK" w:cs="Times New Roman"/>
          <w:color w:val="auto"/>
          <w:sz w:val="44"/>
          <w:szCs w:val="44"/>
          <w:highlight w:val="none"/>
          <w:shd w:val="clear" w:color="auto" w:fill="FFFFFF"/>
        </w:rPr>
        <w:t>决算说明</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textAlignment w:val="auto"/>
        <w:rPr>
          <w:rFonts w:hint="default" w:ascii="Times New Roman" w:hAnsi="Times New Roman" w:cs="Times New Roman"/>
          <w:color w:val="auto"/>
          <w:sz w:val="27"/>
          <w:szCs w:val="27"/>
          <w:highlight w:val="none"/>
          <w:shd w:val="clear" w:color="auto" w:fill="FFFF00"/>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rPr>
        <w:t>一、</w:t>
      </w:r>
      <w:r>
        <w:rPr>
          <w:rStyle w:val="8"/>
          <w:rFonts w:hint="default" w:ascii="Times New Roman" w:hAnsi="Times New Roman" w:eastAsia="方正黑体_GBK" w:cs="Times New Roman"/>
          <w:b w:val="0"/>
          <w:bCs/>
          <w:color w:val="auto"/>
          <w:sz w:val="32"/>
          <w:szCs w:val="32"/>
          <w:highlight w:val="none"/>
          <w:shd w:val="clear" w:color="auto" w:fill="FFFFFF"/>
          <w:lang w:eastAsia="zh-CN"/>
        </w:rPr>
        <w:t>单位</w:t>
      </w:r>
      <w:r>
        <w:rPr>
          <w:rStyle w:val="8"/>
          <w:rFonts w:hint="default" w:ascii="Times New Roman" w:hAnsi="Times New Roman" w:eastAsia="方正黑体_GBK" w:cs="Times New Roman"/>
          <w:b w:val="0"/>
          <w:bCs/>
          <w:color w:val="auto"/>
          <w:sz w:val="32"/>
          <w:szCs w:val="32"/>
          <w:highlight w:val="none"/>
          <w:shd w:val="clear" w:color="auto" w:fill="FFFFFF"/>
        </w:rPr>
        <w:t>基本情况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贯彻执行党和国家对外开放和区域合作的方针政策；提出我区通道经济发展、中新示范项目合作、商务（物流）行业服务等工作建议并组织实施。</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统筹协调推进西部陆海新通道（綦江）综合服务区建设，承担区西部陆海新通道综合服务区建设领导小组办公室日常事务。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统筹协调推进中新项目合作示范区建设，承担区中新互联互通示范项目推进工作小组办公室日常事务。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负责全区商务（物流）领域统计监测和综合运行分析，调查分析商品供求状况、价格信息，进行预测预警和信息引导。</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统筹协调推进服务于西部陆海新通道和重庆运营组织中心的物流大枢纽、灾备产业园及能源保障基地、全产业链的物流装备智能制造服务基地、西部陆海新通道（綦江）会展基地、综合职业教育培训基地、高品质康养旅游基地、国家战略商品储备基地等6大服务基地建设。</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统筹协调推进服务于西部陆海新通道和重庆运营组织中心的总部经济集聚区、供应链金融集聚区、生产性服务业集聚区、电子商务强区、中新项目合作示范区、重庆自贸试验区建设协同创新区等6大特色功能区建设。</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组织开展涉及通道经济、中新示范项目、重庆自贸试验区协同创新区建设、商务（物流）行业等领域重点课题研究，提出决策建议。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负责通道经济发展、中新示范项目合作、重庆自贸试验区协同创新区建设相关创新举措的推进落实，推进商务（物流）行业经营创新。研究并提出现代贸易、现代物流、金融服务、信息通信、会展商务等重点领域及其他领域项目推进的创新举措和政策建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统筹协调推进西部陆海新通道（綦江）综合服务区、中新示范项目合作、重庆自贸试验区协同创新区及商务（物流）行业发展等领域重点项目的规划和建设，承担重点项目库的建设及管理工作。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负责统筹协调推进西部陆海新通道（綦江）综合服务区区域经济协作相关事项，统筹协调推进新加坡等东盟国家国际经贸合作相关事项；统筹协调推进西部陆海新通道（綦江）综合服务区、中新示范项目合作领域招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承担全区物流公共信息平台建设和管理工作。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12.</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统筹负责通道经济协作、中新示范项目相关协议（合同）的备案和推进落实；组织开展对区级有关部门（园城）及街镇落实通道经济、中新示范项目相关事项的指导、协调等工作。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13.</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负责开展商务（物流）领域信用建设、促进公平竞争、优化营商环境等工作。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14.</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指导商务（物流）行业技能技术培训和鉴定工作；为商务（物流）企业提供政策法规咨询、策划咨询、技术指导、人员培训等服务。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15.</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负责全区商务经济运行统计分析、商圈管理服务工作，挖掘培育老字号、名菜、名小吃等商贸服务业品牌；开展綦江美食地理发布工作。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16.</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完成主管部门交办的其他任务。</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rPr>
        <w:t>（二）机构设置</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重庆市綦江区通道经济发展中心（重庆市綦江区中新示范项目推进中心）设5个内设机构。核定财政全额拨款事业编制17名。设主任1名，副主任2名；内设机构科级领导职数7名</w:t>
      </w:r>
      <w:r>
        <w:rPr>
          <w:rFonts w:hint="default" w:ascii="Times New Roman" w:hAnsi="Times New Roman" w:eastAsia="方正仿宋_GBK" w:cs="Times New Roman"/>
          <w:color w:val="auto"/>
          <w:sz w:val="32"/>
          <w:szCs w:val="32"/>
          <w:highlight w:val="none"/>
          <w:lang w:val="en-US" w:eastAsia="zh-CN"/>
        </w:rPr>
        <w:t>。实有人数17人。离退休4人。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rPr>
        <w:t>二、</w:t>
      </w:r>
      <w:r>
        <w:rPr>
          <w:rStyle w:val="8"/>
          <w:rFonts w:hint="default" w:ascii="Times New Roman" w:hAnsi="Times New Roman" w:eastAsia="方正黑体_GBK" w:cs="Times New Roman"/>
          <w:b w:val="0"/>
          <w:bCs/>
          <w:color w:val="auto"/>
          <w:sz w:val="32"/>
          <w:szCs w:val="32"/>
          <w:highlight w:val="none"/>
          <w:shd w:val="clear" w:color="auto" w:fill="FFFFFF"/>
          <w:lang w:eastAsia="zh-CN"/>
        </w:rPr>
        <w:t>单位</w:t>
      </w:r>
      <w:r>
        <w:rPr>
          <w:rStyle w:val="8"/>
          <w:rFonts w:hint="default" w:ascii="Times New Roman" w:hAnsi="Times New Roman" w:eastAsia="方正黑体_GBK" w:cs="Times New Roman"/>
          <w:b w:val="0"/>
          <w:bCs/>
          <w:color w:val="auto"/>
          <w:sz w:val="32"/>
          <w:szCs w:val="32"/>
          <w:highlight w:val="none"/>
          <w:shd w:val="clear" w:color="auto" w:fill="FFFFFF"/>
        </w:rPr>
        <w:t>决算</w:t>
      </w:r>
      <w:r>
        <w:rPr>
          <w:rStyle w:val="8"/>
          <w:rFonts w:hint="default" w:ascii="Times New Roman" w:hAnsi="Times New Roman" w:eastAsia="方正黑体_GBK" w:cs="Times New Roman"/>
          <w:b w:val="0"/>
          <w:bCs/>
          <w:color w:val="auto"/>
          <w:sz w:val="32"/>
          <w:szCs w:val="32"/>
          <w:highlight w:val="none"/>
          <w:shd w:val="clear" w:color="auto" w:fill="FFFFFF"/>
          <w:lang w:eastAsia="zh-CN"/>
        </w:rPr>
        <w:t>收支</w:t>
      </w:r>
      <w:r>
        <w:rPr>
          <w:rStyle w:val="8"/>
          <w:rFonts w:hint="default" w:ascii="Times New Roman" w:hAnsi="Times New Roman" w:eastAsia="方正黑体_GBK" w:cs="Times New Roman"/>
          <w:b w:val="0"/>
          <w:bCs/>
          <w:color w:val="auto"/>
          <w:sz w:val="32"/>
          <w:szCs w:val="32"/>
          <w:highlight w:val="none"/>
          <w:shd w:val="clear" w:color="auto" w:fill="FFFFFF"/>
        </w:rPr>
        <w:t>情况说明</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（一）收入支出决算总体情况说明</w:t>
      </w:r>
    </w:p>
    <w:p>
      <w:pPr>
        <w:pStyle w:val="5"/>
        <w:keepNext w:val="0"/>
        <w:keepLines w:val="0"/>
        <w:pageBreakBefore w:val="0"/>
        <w:widowControl w:val="0"/>
        <w:shd w:val="clear" w:color="auto" w:fill="FFFFFF"/>
        <w:kinsoku/>
        <w:overflowPunct/>
        <w:topLinePunct w:val="0"/>
        <w:autoSpaceDN/>
        <w:bidi w:val="0"/>
        <w:adjustRightInd/>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2024年度收</w:t>
      </w:r>
      <w:r>
        <w:rPr>
          <w:rFonts w:hint="default" w:ascii="Times New Roman" w:hAnsi="Times New Roman" w:eastAsia="方正仿宋_GBK" w:cs="Times New Roman"/>
          <w:color w:val="auto"/>
          <w:sz w:val="32"/>
          <w:szCs w:val="32"/>
          <w:highlight w:val="none"/>
          <w:shd w:val="clear" w:color="auto" w:fill="FFFFFF"/>
          <w:lang w:eastAsia="zh-CN"/>
        </w:rPr>
        <w:t>、支</w:t>
      </w:r>
      <w:r>
        <w:rPr>
          <w:rFonts w:hint="default" w:ascii="Times New Roman" w:hAnsi="Times New Roman" w:eastAsia="方正仿宋_GBK" w:cs="Times New Roman"/>
          <w:color w:val="auto"/>
          <w:sz w:val="32"/>
          <w:szCs w:val="32"/>
          <w:highlight w:val="none"/>
          <w:shd w:val="clear" w:color="auto" w:fill="FFFFFF"/>
        </w:rPr>
        <w:t>总计</w:t>
      </w:r>
      <w:r>
        <w:rPr>
          <w:rFonts w:hint="default" w:ascii="Times New Roman" w:hAnsi="Times New Roman" w:eastAsia="方正仿宋_GBK" w:cs="Times New Roman"/>
          <w:color w:val="auto"/>
          <w:sz w:val="32"/>
          <w:szCs w:val="32"/>
          <w:highlight w:val="none"/>
          <w:shd w:val="clear" w:color="auto" w:fill="FFFFFF"/>
          <w:lang w:eastAsia="zh-CN"/>
        </w:rPr>
        <w:t>均为</w:t>
      </w:r>
      <w:r>
        <w:rPr>
          <w:rFonts w:hint="default" w:ascii="Times New Roman" w:hAnsi="Times New Roman" w:eastAsia="方正仿宋_GBK" w:cs="Times New Roman"/>
          <w:color w:val="auto"/>
          <w:sz w:val="32"/>
          <w:szCs w:val="32"/>
          <w:highlight w:val="none"/>
          <w:shd w:val="clear" w:color="auto" w:fill="FFFFFF"/>
        </w:rPr>
        <w:t>405.15万元。收、支与2023年度相比，增加55.52万元，增长15.9%，主要原因是2024年补缴了事业人员2023年养老保险和职业年金，清算并补发了2022事业人员超额绩效。</w:t>
      </w:r>
    </w:p>
    <w:p>
      <w:pPr>
        <w:pStyle w:val="5"/>
        <w:keepNext w:val="0"/>
        <w:keepLines w:val="0"/>
        <w:pageBreakBefore w:val="0"/>
        <w:widowControl w:val="0"/>
        <w:shd w:val="clear" w:color="auto" w:fill="FFFFFF"/>
        <w:kinsoku/>
        <w:overflowPunct/>
        <w:topLinePunct w:val="0"/>
        <w:autoSpaceDN/>
        <w:bidi w:val="0"/>
        <w:adjustRightInd/>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1</w:t>
      </w:r>
      <w:r>
        <w:rPr>
          <w:rStyle w:val="8"/>
          <w:rFonts w:hint="default" w:ascii="Times New Roman" w:hAnsi="Times New Roman" w:eastAsia="方正仿宋_GBK" w:cs="Times New Roman"/>
          <w:color w:val="auto"/>
          <w:sz w:val="32"/>
          <w:szCs w:val="32"/>
          <w:highlight w:val="none"/>
          <w:shd w:val="clear" w:color="auto" w:fill="FFFFFF"/>
        </w:rPr>
        <w:t>.</w:t>
      </w:r>
      <w:r>
        <w:rPr>
          <w:rStyle w:val="8"/>
          <w:rFonts w:hint="default" w:ascii="Times New Roman" w:hAnsi="Times New Roman" w:eastAsia="方正仿宋_GBK" w:cs="Times New Roman"/>
          <w:color w:val="auto"/>
          <w:sz w:val="32"/>
          <w:szCs w:val="32"/>
          <w:highlight w:val="none"/>
          <w:shd w:val="clear" w:color="auto" w:fill="FFFFFF"/>
          <w:lang w:val="en-US" w:eastAsia="zh-CN"/>
        </w:rPr>
        <w:t xml:space="preserve"> </w:t>
      </w:r>
      <w:r>
        <w:rPr>
          <w:rStyle w:val="8"/>
          <w:rFonts w:hint="default" w:ascii="Times New Roman" w:hAnsi="Times New Roman" w:eastAsia="方正仿宋_GBK" w:cs="Times New Roman"/>
          <w:color w:val="auto"/>
          <w:sz w:val="32"/>
          <w:szCs w:val="32"/>
          <w:highlight w:val="none"/>
          <w:shd w:val="clear" w:color="auto" w:fill="FFFFFF"/>
        </w:rPr>
        <w:t>收入情况。</w:t>
      </w:r>
      <w:r>
        <w:rPr>
          <w:rFonts w:hint="default" w:ascii="Times New Roman" w:hAnsi="Times New Roman" w:eastAsia="方正仿宋_GBK" w:cs="Times New Roman"/>
          <w:color w:val="auto"/>
          <w:sz w:val="32"/>
          <w:szCs w:val="32"/>
          <w:highlight w:val="none"/>
          <w:shd w:val="clear" w:color="auto" w:fill="FFFFFF"/>
        </w:rPr>
        <w:t>2024年度收入合计405.15万元，与2023年度相比，增加55.52万元，增长15.9%，主要原因是</w:t>
      </w:r>
      <w:bookmarkStart w:id="2" w:name="_GoBack"/>
      <w:bookmarkEnd w:id="2"/>
      <w:r>
        <w:rPr>
          <w:rFonts w:hint="default" w:ascii="Times New Roman" w:hAnsi="Times New Roman" w:eastAsia="方正仿宋_GBK" w:cs="Times New Roman"/>
          <w:color w:val="auto"/>
          <w:sz w:val="32"/>
          <w:szCs w:val="32"/>
          <w:highlight w:val="none"/>
          <w:shd w:val="clear" w:color="auto" w:fill="FFFFFF"/>
        </w:rPr>
        <w:t>2024年补缴了事业人员2023年养老保险和职业年金，清算并补发了2022事业人员超额绩效。其中：财政拨款收入405.15万元，占100.0%；事业收入0.00万元，占0.0%；经营收入0.00万元，占0.0%；其他收入0.00万元，占0.0%。此外，使用非财政拨款结余（含专用结余）0.00万元，年初结转和结余0.00万元。</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lang w:val="en-US" w:eastAsia="zh-CN"/>
        </w:rPr>
        <w:t>2</w:t>
      </w:r>
      <w:r>
        <w:rPr>
          <w:rStyle w:val="8"/>
          <w:rFonts w:hint="default" w:ascii="Times New Roman" w:hAnsi="Times New Roman" w:eastAsia="方正仿宋_GBK" w:cs="Times New Roman"/>
          <w:color w:val="auto"/>
          <w:sz w:val="32"/>
          <w:szCs w:val="32"/>
          <w:highlight w:val="none"/>
          <w:shd w:val="clear" w:color="auto" w:fill="FFFFFF"/>
        </w:rPr>
        <w:t>.</w:t>
      </w:r>
      <w:r>
        <w:rPr>
          <w:rStyle w:val="8"/>
          <w:rFonts w:hint="default" w:ascii="Times New Roman" w:hAnsi="Times New Roman" w:eastAsia="方正仿宋_GBK" w:cs="Times New Roman"/>
          <w:color w:val="auto"/>
          <w:sz w:val="32"/>
          <w:szCs w:val="32"/>
          <w:highlight w:val="none"/>
          <w:shd w:val="clear" w:color="auto" w:fill="FFFFFF"/>
          <w:lang w:val="en-US" w:eastAsia="zh-CN"/>
        </w:rPr>
        <w:t xml:space="preserve"> </w:t>
      </w:r>
      <w:r>
        <w:rPr>
          <w:rStyle w:val="8"/>
          <w:rFonts w:hint="default" w:ascii="Times New Roman" w:hAnsi="Times New Roman" w:eastAsia="方正仿宋_GBK" w:cs="Times New Roman"/>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2024年度支出合计405.15万元，与2023年度相比，增加55.52万元，增长15.9%，主要原因是2024年补缴了事业人员2023年养老保险和职业年金，清算并补发了2022事业人员超额绩效。其中：基本支出405.15万元，占100.0%；项目支出0.00万元，占0.0%；经营支出</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highlight w:val="none"/>
          <w:shd w:val="clear" w:color="auto" w:fill="FFFFFF"/>
        </w:rPr>
        <w:t>万元，占0.0%。此外，结余分配0.00万元。</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sz w:val="32"/>
          <w:szCs w:val="32"/>
          <w:highlight w:val="none"/>
          <w:shd w:val="clear" w:color="auto" w:fill="FFFFFF"/>
          <w:lang w:val="en-US" w:eastAsia="zh-CN"/>
        </w:rPr>
        <w:t>3</w:t>
      </w:r>
      <w:r>
        <w:rPr>
          <w:rStyle w:val="8"/>
          <w:rFonts w:hint="default" w:ascii="Times New Roman" w:hAnsi="Times New Roman" w:eastAsia="方正仿宋_GBK" w:cs="Times New Roman"/>
          <w:color w:val="auto"/>
          <w:sz w:val="32"/>
          <w:szCs w:val="32"/>
          <w:highlight w:val="none"/>
          <w:shd w:val="clear" w:color="auto" w:fill="FFFFFF"/>
        </w:rPr>
        <w:t>.</w:t>
      </w:r>
      <w:r>
        <w:rPr>
          <w:rStyle w:val="8"/>
          <w:rFonts w:hint="default" w:ascii="Times New Roman" w:hAnsi="Times New Roman" w:eastAsia="方正仿宋_GBK" w:cs="Times New Roman"/>
          <w:color w:val="auto"/>
          <w:sz w:val="32"/>
          <w:szCs w:val="32"/>
          <w:highlight w:val="none"/>
          <w:shd w:val="clear" w:color="auto" w:fill="FFFFFF"/>
          <w:lang w:val="en-US" w:eastAsia="zh-CN"/>
        </w:rPr>
        <w:t xml:space="preserve"> </w:t>
      </w:r>
      <w:r>
        <w:rPr>
          <w:rStyle w:val="8"/>
          <w:rFonts w:hint="default" w:ascii="Times New Roman" w:hAnsi="Times New Roman" w:eastAsia="方正仿宋_GBK" w:cs="Times New Roman"/>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2024年度年末结转和结余0.00万元，与2023年度相比，无增减，主要原因是单位实行财政资金收付实现制，年末不构成财政资金结转结余情况。</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（二）财政拨款收入支出决算总体情况说明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2024年度财政拨款收、支总计均为405.15万元。与2023年</w:t>
      </w:r>
      <w:r>
        <w:rPr>
          <w:rFonts w:hint="default" w:ascii="Times New Roman" w:hAnsi="Times New Roman" w:eastAsia="方正仿宋_GBK" w:cs="Times New Roman"/>
          <w:color w:val="auto"/>
          <w:sz w:val="32"/>
          <w:szCs w:val="32"/>
          <w:highlight w:val="none"/>
          <w:shd w:val="clear" w:color="auto" w:fill="FFFFFF"/>
          <w:lang w:eastAsia="zh-CN"/>
        </w:rPr>
        <w:t>度</w:t>
      </w:r>
      <w:r>
        <w:rPr>
          <w:rFonts w:hint="default" w:ascii="Times New Roman" w:hAnsi="Times New Roman" w:eastAsia="方正仿宋_GBK" w:cs="Times New Roman"/>
          <w:color w:val="auto"/>
          <w:sz w:val="32"/>
          <w:szCs w:val="32"/>
          <w:highlight w:val="none"/>
          <w:shd w:val="clear" w:color="auto" w:fill="FFFFFF"/>
        </w:rPr>
        <w:t>相比，财政拨款收、支总计各增加55.52万元，增长15.9%。主要原因是2024年补缴了事业人员2023年养老保险和职业年金，清算并补发了2022事业人员超额绩效。</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（三）一般公共预算财政拨款收入支出决算情况说明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仿宋_GBK" w:cs="Times New Roman"/>
          <w:color w:val="auto"/>
          <w:sz w:val="32"/>
          <w:szCs w:val="32"/>
          <w:highlight w:val="none"/>
          <w:shd w:val="clear" w:color="auto" w:fill="FFFFFF"/>
        </w:rPr>
        <w:t>1.</w:t>
      </w:r>
      <w:r>
        <w:rPr>
          <w:rStyle w:val="8"/>
          <w:rFonts w:hint="default" w:ascii="Times New Roman" w:hAnsi="Times New Roman" w:eastAsia="方正仿宋_GBK" w:cs="Times New Roman"/>
          <w:color w:val="auto"/>
          <w:sz w:val="32"/>
          <w:szCs w:val="32"/>
          <w:highlight w:val="none"/>
          <w:shd w:val="clear" w:color="auto" w:fill="FFFFFF"/>
          <w:lang w:val="en-US" w:eastAsia="zh-CN"/>
        </w:rPr>
        <w:t xml:space="preserve"> </w:t>
      </w:r>
      <w:r>
        <w:rPr>
          <w:rStyle w:val="8"/>
          <w:rFonts w:hint="default" w:ascii="Times New Roman" w:hAnsi="Times New Roman" w:eastAsia="方正仿宋_GBK" w:cs="Times New Roman"/>
          <w:color w:val="auto"/>
          <w:sz w:val="32"/>
          <w:szCs w:val="32"/>
          <w:highlight w:val="none"/>
          <w:shd w:val="clear" w:color="auto" w:fill="FFFFFF"/>
        </w:rPr>
        <w:t>收入情况。</w:t>
      </w:r>
      <w:r>
        <w:rPr>
          <w:rFonts w:hint="default" w:ascii="Times New Roman" w:hAnsi="Times New Roman" w:eastAsia="方正仿宋_GBK" w:cs="Times New Roman"/>
          <w:color w:val="auto"/>
          <w:sz w:val="32"/>
          <w:szCs w:val="32"/>
          <w:highlight w:val="none"/>
          <w:shd w:val="clear" w:color="auto" w:fill="FFFFFF"/>
        </w:rPr>
        <w:t>2024年度一般公共预算财政拨款收入405.15万元，与2023年度相比，增加55.52万元，增长15.9%。主要原因是2024年补缴了事业人员2023年养老保险和职业年金，清算并补发了2022事业人员超额绩效。较年初预算数增加19.17万元，增长5.0%。主要原因是2024年补缴了事业人员2023年养老保险和职业年金。此外，年初财政拨款结转和结余0.00万元。</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rPr>
        <w:t>2.</w:t>
      </w:r>
      <w:r>
        <w:rPr>
          <w:rStyle w:val="8"/>
          <w:rFonts w:hint="default" w:ascii="Times New Roman" w:hAnsi="Times New Roman" w:eastAsia="方正仿宋_GBK" w:cs="Times New Roman"/>
          <w:color w:val="auto"/>
          <w:sz w:val="32"/>
          <w:szCs w:val="32"/>
          <w:highlight w:val="none"/>
          <w:shd w:val="clear" w:color="auto" w:fill="FFFFFF"/>
          <w:lang w:val="en-US" w:eastAsia="zh-CN"/>
        </w:rPr>
        <w:t xml:space="preserve"> </w:t>
      </w:r>
      <w:r>
        <w:rPr>
          <w:rStyle w:val="8"/>
          <w:rFonts w:hint="default" w:ascii="Times New Roman" w:hAnsi="Times New Roman" w:eastAsia="方正仿宋_GBK" w:cs="Times New Roman"/>
          <w:color w:val="auto"/>
          <w:sz w:val="32"/>
          <w:szCs w:val="32"/>
          <w:highlight w:val="none"/>
          <w:shd w:val="clear" w:color="auto" w:fill="FFFFFF"/>
        </w:rPr>
        <w:t>支出情况。</w:t>
      </w:r>
      <w:r>
        <w:rPr>
          <w:rFonts w:hint="default" w:ascii="Times New Roman" w:hAnsi="Times New Roman" w:eastAsia="方正仿宋_GBK" w:cs="Times New Roman"/>
          <w:color w:val="auto"/>
          <w:sz w:val="32"/>
          <w:szCs w:val="32"/>
          <w:highlight w:val="none"/>
          <w:shd w:val="clear" w:color="auto" w:fill="FFFFFF"/>
        </w:rPr>
        <w:t>2024年度一般公共预算财政拨款支出405.15万元，与2023年度相比，增加55.52万元，增长15.9%。主要原因是2024年补缴了事业人员2023年养老保险和职业年金，清算并补发了2022事业人员超额绩效。较年初预算数增加19.17万元，增长5.0%。主要原因是2024年补缴了事业人员2023年养老保险和职业年金。</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（1）一般公共服务支出312.85万元，占77.2%，较年初预算数增加3.99万元，增长1.3%，主要原因是</w:t>
      </w:r>
      <w:bookmarkStart w:id="0" w:name="OLE_LINK1"/>
      <w:r>
        <w:rPr>
          <w:rFonts w:hint="default" w:ascii="Times New Roman" w:hAnsi="Times New Roman" w:eastAsia="方正仿宋_GBK" w:cs="Times New Roman"/>
          <w:color w:val="auto"/>
          <w:sz w:val="32"/>
          <w:szCs w:val="32"/>
          <w:highlight w:val="none"/>
          <w:shd w:val="clear" w:color="auto" w:fill="FFFFFF"/>
        </w:rPr>
        <w:t>2024年补缴了事业人员2023年养老保险和职业年金</w:t>
      </w:r>
      <w:bookmarkEnd w:id="0"/>
      <w:r>
        <w:rPr>
          <w:rFonts w:hint="default" w:ascii="Times New Roman" w:hAnsi="Times New Roman" w:eastAsia="方正仿宋_GBK" w:cs="Times New Roman"/>
          <w:color w:val="auto"/>
          <w:sz w:val="32"/>
          <w:szCs w:val="32"/>
          <w:highlight w:val="none"/>
          <w:shd w:val="clear" w:color="auto" w:fill="FFFFFF"/>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2</w:t>
      </w:r>
      <w:r>
        <w:rPr>
          <w:rFonts w:hint="default" w:ascii="Times New Roman" w:hAnsi="Times New Roman" w:eastAsia="方正仿宋_GBK" w:cs="Times New Roman"/>
          <w:color w:val="auto"/>
          <w:sz w:val="32"/>
          <w:szCs w:val="32"/>
          <w:highlight w:val="none"/>
          <w:shd w:val="clear" w:color="auto" w:fill="FFFFFF"/>
        </w:rPr>
        <w:t>）社会保障</w:t>
      </w:r>
      <w:r>
        <w:rPr>
          <w:rFonts w:hint="default" w:ascii="Times New Roman" w:hAnsi="Times New Roman" w:eastAsia="方正仿宋_GBK" w:cs="Times New Roman"/>
          <w:color w:val="auto"/>
          <w:sz w:val="32"/>
          <w:szCs w:val="32"/>
          <w:highlight w:val="none"/>
          <w:shd w:val="clear" w:color="auto" w:fill="FFFFFF"/>
          <w:lang w:eastAsia="zh-CN"/>
        </w:rPr>
        <w:t>和</w:t>
      </w:r>
      <w:r>
        <w:rPr>
          <w:rFonts w:hint="default" w:ascii="Times New Roman" w:hAnsi="Times New Roman" w:eastAsia="方正仿宋_GBK" w:cs="Times New Roman"/>
          <w:color w:val="auto"/>
          <w:sz w:val="32"/>
          <w:szCs w:val="32"/>
          <w:highlight w:val="none"/>
          <w:shd w:val="clear" w:color="auto" w:fill="FFFFFF"/>
        </w:rPr>
        <w:t>就业支出59.50万元，占14.7%，较年初预算数增加15.50万元，增长35.2%，主要原因是</w:t>
      </w:r>
      <w:bookmarkStart w:id="1" w:name="OLE_LINK2"/>
      <w:r>
        <w:rPr>
          <w:rFonts w:hint="default" w:ascii="Times New Roman" w:hAnsi="Times New Roman" w:eastAsia="方正仿宋_GBK" w:cs="Times New Roman"/>
          <w:color w:val="auto"/>
          <w:sz w:val="32"/>
          <w:szCs w:val="32"/>
          <w:highlight w:val="none"/>
          <w:shd w:val="clear" w:color="auto" w:fill="FFFFFF"/>
        </w:rPr>
        <w:t>2024年补缴了事业人员2023年养老保险和职业年金</w:t>
      </w:r>
      <w:bookmarkEnd w:id="1"/>
      <w:r>
        <w:rPr>
          <w:rFonts w:hint="default" w:ascii="Times New Roman" w:hAnsi="Times New Roman" w:eastAsia="方正仿宋_GBK" w:cs="Times New Roman"/>
          <w:color w:val="auto"/>
          <w:sz w:val="32"/>
          <w:szCs w:val="32"/>
          <w:highlight w:val="none"/>
          <w:shd w:val="clear" w:color="auto" w:fill="FFFFFF"/>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）卫生健康支出16.36万元，占4.0%，较年初预算数无增减，主要原因是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我单位收支平衡</w:t>
      </w:r>
      <w:r>
        <w:rPr>
          <w:rFonts w:hint="default" w:ascii="Times New Roman" w:hAnsi="Times New Roman" w:eastAsia="方正仿宋_GBK" w:cs="Times New Roman"/>
          <w:color w:val="auto"/>
          <w:sz w:val="32"/>
          <w:szCs w:val="32"/>
          <w:highlight w:val="none"/>
          <w:shd w:val="clear" w:color="auto" w:fill="FFFFFF"/>
        </w:rPr>
        <w:t>。</w:t>
      </w:r>
    </w:p>
    <w:p>
      <w:pPr>
        <w:keepNext w:val="0"/>
        <w:keepLines w:val="0"/>
        <w:pageBreakBefore w:val="0"/>
        <w:widowControl w:val="0"/>
        <w:kinsoku/>
        <w:overflowPunct/>
        <w:topLinePunct w:val="0"/>
        <w:autoSpaceDN/>
        <w:bidi w:val="0"/>
        <w:adjustRightInd/>
        <w:spacing w:line="596"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rPr>
        <w:t>住房保障支出</w:t>
      </w:r>
      <w:r>
        <w:rPr>
          <w:rFonts w:hint="default" w:ascii="Times New Roman" w:hAnsi="Times New Roman" w:eastAsia="方正仿宋_GBK" w:cs="Times New Roman"/>
          <w:color w:val="auto"/>
          <w:sz w:val="32"/>
          <w:szCs w:val="32"/>
          <w:highlight w:val="none"/>
          <w:shd w:val="clear" w:color="auto" w:fill="FFFFFF"/>
        </w:rPr>
        <w:t>16.43万元，占4.1%，较年初预算数减少0.34万元，下降2.0%，主要原因是</w:t>
      </w:r>
      <w:r>
        <w:rPr>
          <w:rFonts w:hint="default" w:ascii="Times New Roman" w:hAnsi="Times New Roman" w:eastAsia="方正仿宋_GBK" w:cs="Times New Roman"/>
          <w:color w:val="auto"/>
          <w:sz w:val="32"/>
          <w:szCs w:val="32"/>
          <w:highlight w:val="none"/>
          <w:shd w:val="clear" w:color="auto" w:fill="FFFFFF"/>
          <w:lang w:val="en-US" w:eastAsia="zh-CN"/>
        </w:rPr>
        <w:t>人员调整</w:t>
      </w:r>
      <w:r>
        <w:rPr>
          <w:rFonts w:hint="default" w:ascii="Times New Roman" w:hAnsi="Times New Roman" w:eastAsia="方正仿宋_GBK" w:cs="Times New Roman"/>
          <w:color w:val="auto"/>
          <w:sz w:val="32"/>
          <w:szCs w:val="32"/>
          <w:highlight w:val="none"/>
          <w:shd w:val="clear" w:color="auto" w:fill="FFFFFF"/>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highlight w:val="none"/>
          <w:shd w:val="clear" w:color="auto" w:fill="FFFFFF"/>
        </w:rPr>
      </w:pPr>
      <w:r>
        <w:rPr>
          <w:rStyle w:val="8"/>
          <w:rFonts w:hint="default" w:ascii="Times New Roman" w:hAnsi="Times New Roman" w:eastAsia="方正仿宋_GBK" w:cs="Times New Roman"/>
          <w:color w:val="auto"/>
          <w:sz w:val="32"/>
          <w:szCs w:val="32"/>
          <w:highlight w:val="none"/>
          <w:shd w:val="clear" w:color="auto" w:fill="FFFFFF"/>
        </w:rPr>
        <w:t>3.</w:t>
      </w:r>
      <w:r>
        <w:rPr>
          <w:rStyle w:val="8"/>
          <w:rFonts w:hint="default" w:ascii="Times New Roman" w:hAnsi="Times New Roman" w:eastAsia="方正仿宋_GBK" w:cs="Times New Roman"/>
          <w:color w:val="auto"/>
          <w:sz w:val="32"/>
          <w:szCs w:val="32"/>
          <w:highlight w:val="none"/>
          <w:shd w:val="clear" w:color="auto" w:fill="FFFFFF"/>
          <w:lang w:val="en-US" w:eastAsia="zh-CN"/>
        </w:rPr>
        <w:t xml:space="preserve"> </w:t>
      </w:r>
      <w:r>
        <w:rPr>
          <w:rStyle w:val="8"/>
          <w:rFonts w:hint="default" w:ascii="Times New Roman" w:hAnsi="Times New Roman" w:eastAsia="方正仿宋_GBK" w:cs="Times New Roman"/>
          <w:color w:val="auto"/>
          <w:sz w:val="32"/>
          <w:szCs w:val="32"/>
          <w:highlight w:val="none"/>
          <w:shd w:val="clear" w:color="auto" w:fill="FFFFFF"/>
        </w:rPr>
        <w:t>结转结余情况。</w:t>
      </w:r>
      <w:r>
        <w:rPr>
          <w:rFonts w:hint="default" w:ascii="Times New Roman" w:hAnsi="Times New Roman" w:eastAsia="方正仿宋_GBK" w:cs="Times New Roman"/>
          <w:color w:val="auto"/>
          <w:sz w:val="32"/>
          <w:szCs w:val="32"/>
          <w:highlight w:val="none"/>
          <w:shd w:val="clear" w:color="auto" w:fill="FFFFFF"/>
        </w:rPr>
        <w:t>2024年度年末一般公共预算财政拨款结转和结余0.00万元，与2023年度相比，无增减，主要原因是单位实行财政资金收付实现制，年末不构成财政资金结转结余情况。</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（四）一般公共预算财政拨款基本支出决算情况说明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2024年度一般公共财政拨款基本支出405.15万元。</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其中：</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人员经费345.82万元，与2023年度相比，增加61.22万元，增长21.5%，主要原因是2024年补缴了事业人员2023年养老保险和职业年金，清算并补发了2022事业人员超额绩效。人员经费用途主要包括主要包括人员工资、社会保障缴费、住房公积金等。</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公用经费59.32万元，与2023年度相比，增加6.74万元，增长12.8%，主要原因是</w:t>
      </w:r>
      <w:r>
        <w:rPr>
          <w:rFonts w:hint="default" w:ascii="Times New Roman" w:hAnsi="Times New Roman" w:eastAsia="方正仿宋_GBK" w:cs="Times New Roman"/>
          <w:color w:val="auto"/>
          <w:sz w:val="32"/>
          <w:szCs w:val="32"/>
          <w:highlight w:val="none"/>
          <w:shd w:val="clear" w:color="auto" w:fill="FFFFFF"/>
          <w:lang w:val="en-US" w:eastAsia="zh-CN"/>
        </w:rPr>
        <w:t>口径变化，</w:t>
      </w:r>
      <w:r>
        <w:rPr>
          <w:rFonts w:hint="default" w:ascii="Times New Roman" w:hAnsi="Times New Roman" w:eastAsia="方正仿宋_GBK" w:cs="Times New Roman"/>
          <w:color w:val="auto"/>
          <w:sz w:val="32"/>
          <w:szCs w:val="32"/>
          <w:highlight w:val="none"/>
          <w:shd w:val="clear" w:color="auto" w:fill="FFFFFF"/>
        </w:rPr>
        <w:t>用于支付劳务费的运转性项目-非在编人员（限额10%）2023年为项目支出，2024年为运转型支出。公用经费用途主要包括支付办公费、会议费、培训费、差旅费、劳务费、水电等。</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（五）政府性基金预算收支决算情况说明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本</w:t>
      </w:r>
      <w:r>
        <w:rPr>
          <w:rFonts w:hint="default"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2024年度无政府性基金预算财政拨款收支。</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（六）国有资本经营预算财政拨款支出决算情况说明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w:t>
      </w:r>
      <w:r>
        <w:rPr>
          <w:rFonts w:hint="default"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2024年度无国有资本经营预算财政拨款支出。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rPr>
        <w:t>三、</w:t>
      </w:r>
      <w:r>
        <w:rPr>
          <w:rStyle w:val="8"/>
          <w:rFonts w:hint="default" w:ascii="Times New Roman" w:hAnsi="Times New Roman" w:eastAsia="方正黑体_GBK" w:cs="Times New Roman"/>
          <w:b w:val="0"/>
          <w:bCs/>
          <w:color w:val="auto"/>
          <w:sz w:val="32"/>
          <w:szCs w:val="32"/>
          <w:highlight w:val="none"/>
          <w:shd w:val="clear" w:color="auto" w:fill="FFFFFF"/>
          <w:lang w:eastAsia="zh-CN"/>
        </w:rPr>
        <w:t>财政拨款</w:t>
      </w:r>
      <w:r>
        <w:rPr>
          <w:rStyle w:val="8"/>
          <w:rFonts w:hint="eastAsia" w:ascii="Times New Roman" w:hAnsi="Times New Roman" w:eastAsia="方正黑体_GBK" w:cs="Times New Roman"/>
          <w:b w:val="0"/>
          <w:bCs/>
          <w:color w:val="auto"/>
          <w:sz w:val="32"/>
          <w:szCs w:val="32"/>
          <w:highlight w:val="none"/>
          <w:shd w:val="clear" w:color="auto" w:fill="FFFFFF"/>
          <w:lang w:eastAsia="zh-CN"/>
        </w:rPr>
        <w:t>“</w:t>
      </w:r>
      <w:r>
        <w:rPr>
          <w:rStyle w:val="8"/>
          <w:rFonts w:hint="default" w:ascii="Times New Roman" w:hAnsi="Times New Roman" w:eastAsia="方正黑体_GBK" w:cs="Times New Roman"/>
          <w:b w:val="0"/>
          <w:bCs/>
          <w:color w:val="auto"/>
          <w:sz w:val="32"/>
          <w:szCs w:val="32"/>
          <w:highlight w:val="none"/>
          <w:shd w:val="clear" w:color="auto" w:fill="FFFFFF"/>
        </w:rPr>
        <w:t>三公</w:t>
      </w:r>
      <w:r>
        <w:rPr>
          <w:rStyle w:val="8"/>
          <w:rFonts w:hint="eastAsia" w:ascii="Times New Roman" w:hAnsi="Times New Roman" w:eastAsia="方正黑体_GBK" w:cs="Times New Roman"/>
          <w:b w:val="0"/>
          <w:bCs/>
          <w:color w:val="auto"/>
          <w:sz w:val="32"/>
          <w:szCs w:val="32"/>
          <w:highlight w:val="none"/>
          <w:shd w:val="clear" w:color="auto" w:fill="FFFFFF"/>
          <w:lang w:eastAsia="zh-CN"/>
        </w:rPr>
        <w:t>”</w:t>
      </w:r>
      <w:r>
        <w:rPr>
          <w:rStyle w:val="8"/>
          <w:rFonts w:hint="default" w:ascii="Times New Roman" w:hAnsi="Times New Roman" w:eastAsia="方正黑体_GBK" w:cs="Times New Roman"/>
          <w:b w:val="0"/>
          <w:bCs/>
          <w:color w:val="auto"/>
          <w:sz w:val="32"/>
          <w:szCs w:val="32"/>
          <w:highlight w:val="none"/>
          <w:shd w:val="clear" w:color="auto" w:fill="FFFFFF"/>
        </w:rPr>
        <w:t>经费情况说明</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三公</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经费支出总体情况说明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三公</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经费支出共计1.99万元，较年初预算数减少0.01万元，下降0.5%，主要原因是</w:t>
      </w:r>
      <w:r>
        <w:rPr>
          <w:rFonts w:hint="default" w:ascii="Times New Roman" w:hAnsi="Times New Roman" w:eastAsia="方正仿宋_GBK" w:cs="Times New Roman"/>
          <w:color w:val="auto"/>
          <w:sz w:val="32"/>
          <w:szCs w:val="32"/>
          <w:highlight w:val="none"/>
          <w:shd w:val="clear" w:color="auto" w:fill="FFFFFF"/>
          <w:lang w:val="en-US" w:eastAsia="zh-CN"/>
        </w:rPr>
        <w:t>我单位</w:t>
      </w:r>
      <w:r>
        <w:rPr>
          <w:rFonts w:hint="default" w:ascii="Times New Roman" w:hAnsi="Times New Roman" w:eastAsia="方正仿宋_GBK" w:cs="Times New Roman"/>
          <w:color w:val="auto"/>
          <w:sz w:val="32"/>
          <w:szCs w:val="32"/>
          <w:highlight w:val="none"/>
          <w:shd w:val="clear" w:color="auto" w:fill="FFFFFF"/>
        </w:rPr>
        <w:t>积极响应号召，厉行节约，压缩</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三公</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经费支出，严格落实公车使用规定，</w:t>
      </w:r>
      <w:r>
        <w:rPr>
          <w:rFonts w:hint="default" w:ascii="Times New Roman" w:hAnsi="Times New Roman" w:eastAsia="方正仿宋_GBK" w:cs="Times New Roman"/>
          <w:color w:val="auto"/>
          <w:sz w:val="32"/>
          <w:szCs w:val="32"/>
          <w:highlight w:val="none"/>
          <w:shd w:val="clear" w:color="auto" w:fill="FFFFFF"/>
          <w:lang w:val="en-US" w:eastAsia="zh-CN"/>
        </w:rPr>
        <w:t>控制</w:t>
      </w:r>
      <w:r>
        <w:rPr>
          <w:rFonts w:hint="default" w:ascii="Times New Roman" w:hAnsi="Times New Roman" w:eastAsia="方正仿宋_GBK" w:cs="Times New Roman"/>
          <w:color w:val="auto"/>
          <w:sz w:val="32"/>
          <w:szCs w:val="32"/>
          <w:highlight w:val="none"/>
          <w:shd w:val="clear" w:color="auto" w:fill="FFFFFF"/>
        </w:rPr>
        <w:t>公车运行维护成本。较上年支出数减少1.07万元，下降35.0%，主要原因是</w:t>
      </w:r>
      <w:r>
        <w:rPr>
          <w:rFonts w:hint="default" w:ascii="Times New Roman" w:hAnsi="Times New Roman" w:eastAsia="方正仿宋_GBK" w:cs="Times New Roman"/>
          <w:color w:val="auto"/>
          <w:sz w:val="32"/>
          <w:szCs w:val="32"/>
          <w:highlight w:val="none"/>
          <w:shd w:val="clear" w:color="auto" w:fill="FFFFFF"/>
          <w:lang w:val="en-US" w:eastAsia="zh-CN"/>
        </w:rPr>
        <w:t>我单位</w:t>
      </w:r>
      <w:r>
        <w:rPr>
          <w:rFonts w:hint="default" w:ascii="Times New Roman" w:hAnsi="Times New Roman" w:eastAsia="方正仿宋_GBK" w:cs="Times New Roman"/>
          <w:color w:val="auto"/>
          <w:sz w:val="32"/>
          <w:szCs w:val="32"/>
          <w:highlight w:val="none"/>
          <w:shd w:val="clear" w:color="auto" w:fill="FFFFFF"/>
        </w:rPr>
        <w:t>积极响应号召，厉行节约，压缩</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三公</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经费支出，严格落实公车使用规定，</w:t>
      </w:r>
      <w:r>
        <w:rPr>
          <w:rFonts w:hint="default" w:ascii="Times New Roman" w:hAnsi="Times New Roman" w:eastAsia="方正仿宋_GBK" w:cs="Times New Roman"/>
          <w:color w:val="auto"/>
          <w:sz w:val="32"/>
          <w:szCs w:val="32"/>
          <w:highlight w:val="none"/>
          <w:shd w:val="clear" w:color="auto" w:fill="FFFFFF"/>
          <w:lang w:val="en-US" w:eastAsia="zh-CN"/>
        </w:rPr>
        <w:t>控制</w:t>
      </w:r>
      <w:r>
        <w:rPr>
          <w:rFonts w:hint="default" w:ascii="Times New Roman" w:hAnsi="Times New Roman" w:eastAsia="方正仿宋_GBK" w:cs="Times New Roman"/>
          <w:color w:val="auto"/>
          <w:sz w:val="32"/>
          <w:szCs w:val="32"/>
          <w:highlight w:val="none"/>
          <w:shd w:val="clear" w:color="auto" w:fill="FFFFFF"/>
        </w:rPr>
        <w:t>公车运行维护成本。</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三公</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经费分项支出情况</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w:t>
      </w:r>
      <w:r>
        <w:rPr>
          <w:rFonts w:hint="default"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因公出国（境）费用0.00万元。费用支出较年初预算数无增减，较上年支出数无增减，主要原因是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2024年我</w:t>
      </w:r>
      <w:r>
        <w:rPr>
          <w:rFonts w:hint="default" w:ascii="Times New Roman" w:hAnsi="Times New Roman" w:eastAsia="方正仿宋_GBK" w:cs="Times New Roman"/>
          <w:color w:val="auto"/>
          <w:sz w:val="32"/>
          <w:szCs w:val="32"/>
          <w:highlight w:val="none"/>
          <w:shd w:val="clear" w:color="auto" w:fill="FFFFFF"/>
        </w:rPr>
        <w:t>单位未发生因公出国（境）费用。</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车购置费0.00万元。费用支出较年初预算数无增减，较上年支出数无增减，主要原因是</w:t>
      </w:r>
      <w:r>
        <w:rPr>
          <w:rFonts w:hint="default" w:ascii="Times New Roman" w:hAnsi="Times New Roman" w:eastAsia="方正仿宋_GBK" w:cs="Times New Roman"/>
          <w:color w:val="auto"/>
          <w:sz w:val="32"/>
          <w:szCs w:val="32"/>
          <w:highlight w:val="none"/>
          <w:shd w:val="clear" w:color="auto" w:fill="FFFFFF"/>
          <w:lang w:val="en-US" w:eastAsia="zh-CN"/>
        </w:rPr>
        <w:t>2024年我单位未购置公务用车</w:t>
      </w:r>
      <w:r>
        <w:rPr>
          <w:rFonts w:hint="default" w:ascii="Times New Roman" w:hAnsi="Times New Roman" w:eastAsia="方正仿宋_GBK" w:cs="Times New Roman"/>
          <w:color w:val="auto"/>
          <w:sz w:val="32"/>
          <w:szCs w:val="32"/>
          <w:highlight w:val="none"/>
          <w:shd w:val="clear" w:color="auto" w:fill="FFFFFF"/>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车运行维护费1.99万元，主要用于</w:t>
      </w:r>
      <w:r>
        <w:rPr>
          <w:rFonts w:hint="default" w:ascii="Times New Roman" w:hAnsi="Times New Roman" w:eastAsia="方正仿宋_GBK" w:cs="Times New Roman"/>
          <w:color w:val="auto"/>
          <w:sz w:val="32"/>
          <w:szCs w:val="32"/>
          <w:highlight w:val="none"/>
          <w:lang w:val="en-US" w:eastAsia="zh-CN"/>
        </w:rPr>
        <w:t>公务用车日常运行维护支出</w:t>
      </w:r>
      <w:r>
        <w:rPr>
          <w:rFonts w:hint="default" w:ascii="Times New Roman" w:hAnsi="Times New Roman" w:eastAsia="方正仿宋_GBK" w:cs="Times New Roman"/>
          <w:color w:val="auto"/>
          <w:sz w:val="32"/>
          <w:szCs w:val="32"/>
          <w:highlight w:val="none"/>
          <w:shd w:val="clear" w:color="auto" w:fill="FFFFFF"/>
        </w:rPr>
        <w:t>。费用支出较年初预算数减少0.01万元，下降0.5%，主要原因是</w:t>
      </w:r>
      <w:r>
        <w:rPr>
          <w:rFonts w:hint="default" w:ascii="Times New Roman" w:hAnsi="Times New Roman" w:eastAsia="方正仿宋_GBK" w:cs="Times New Roman"/>
          <w:color w:val="auto"/>
          <w:sz w:val="32"/>
          <w:szCs w:val="32"/>
          <w:highlight w:val="none"/>
          <w:shd w:val="clear" w:color="auto" w:fill="FFFFFF"/>
          <w:lang w:eastAsia="zh-CN"/>
        </w:rPr>
        <w:t>我</w:t>
      </w:r>
      <w:r>
        <w:rPr>
          <w:rFonts w:hint="default" w:ascii="Times New Roman" w:hAnsi="Times New Roman" w:eastAsia="方正仿宋_GBK" w:cs="Times New Roman"/>
          <w:color w:val="auto"/>
          <w:sz w:val="32"/>
          <w:szCs w:val="32"/>
          <w:highlight w:val="none"/>
          <w:shd w:val="clear" w:color="auto" w:fill="FFFFFF"/>
        </w:rPr>
        <w:t>单位厉行节约，</w:t>
      </w:r>
      <w:r>
        <w:rPr>
          <w:rFonts w:hint="default" w:ascii="Times New Roman" w:hAnsi="Times New Roman" w:eastAsia="方正仿宋_GBK" w:cs="Times New Roman"/>
          <w:color w:val="auto"/>
          <w:sz w:val="32"/>
          <w:szCs w:val="32"/>
          <w:highlight w:val="none"/>
          <w:shd w:val="clear" w:color="auto" w:fill="FFFFFF"/>
          <w:lang w:val="en-US" w:eastAsia="zh-CN"/>
        </w:rPr>
        <w:t>鼓励乘坐公共交通，</w:t>
      </w:r>
      <w:r>
        <w:rPr>
          <w:rFonts w:hint="default" w:ascii="Times New Roman" w:hAnsi="Times New Roman" w:eastAsia="方正仿宋_GBK" w:cs="Times New Roman"/>
          <w:color w:val="auto"/>
          <w:sz w:val="32"/>
          <w:szCs w:val="32"/>
          <w:highlight w:val="none"/>
          <w:shd w:val="clear" w:color="auto" w:fill="FFFFFF"/>
        </w:rPr>
        <w:t>减少非必要用车计划。较上年支出数减少1.07万元，下降35.0%，主要原因是</w:t>
      </w:r>
      <w:r>
        <w:rPr>
          <w:rFonts w:hint="default" w:ascii="Times New Roman" w:hAnsi="Times New Roman" w:eastAsia="方正仿宋_GBK" w:cs="Times New Roman"/>
          <w:color w:val="auto"/>
          <w:sz w:val="32"/>
          <w:szCs w:val="32"/>
          <w:highlight w:val="none"/>
          <w:shd w:val="clear" w:color="auto" w:fill="FFFFFF"/>
          <w:lang w:val="en-US" w:eastAsia="zh-CN"/>
        </w:rPr>
        <w:t>落实</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过紧日子</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精神，预算压减</w:t>
      </w:r>
      <w:r>
        <w:rPr>
          <w:rFonts w:hint="default" w:ascii="Times New Roman" w:hAnsi="Times New Roman" w:eastAsia="方正仿宋_GBK" w:cs="Times New Roman"/>
          <w:color w:val="auto"/>
          <w:sz w:val="32"/>
          <w:szCs w:val="32"/>
          <w:highlight w:val="none"/>
          <w:shd w:val="clear" w:color="auto" w:fill="FFFFFF"/>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公务接待费0.00万元。费用支出较年初预算数无增减，较上年支出数无增减，主要原因是</w:t>
      </w:r>
      <w:r>
        <w:rPr>
          <w:rFonts w:hint="default" w:ascii="Times New Roman" w:hAnsi="Times New Roman" w:eastAsia="方正仿宋_GBK" w:cs="Times New Roman"/>
          <w:color w:val="auto"/>
          <w:sz w:val="32"/>
          <w:szCs w:val="32"/>
          <w:highlight w:val="none"/>
          <w:shd w:val="clear" w:color="auto" w:fill="FFFFFF"/>
          <w:lang w:eastAsia="zh-CN"/>
        </w:rPr>
        <w:t>我</w:t>
      </w:r>
      <w:r>
        <w:rPr>
          <w:rFonts w:hint="default" w:ascii="Times New Roman" w:hAnsi="Times New Roman" w:eastAsia="方正仿宋_GBK" w:cs="Times New Roman"/>
          <w:color w:val="auto"/>
          <w:sz w:val="32"/>
          <w:szCs w:val="32"/>
          <w:highlight w:val="none"/>
          <w:shd w:val="clear" w:color="auto" w:fill="FFFFFF"/>
          <w:lang w:val="en-US" w:eastAsia="zh-CN"/>
        </w:rPr>
        <w:t>单位与区商务委合署办公，未单独设置公务接待预算</w:t>
      </w:r>
      <w:r>
        <w:rPr>
          <w:rFonts w:hint="default" w:ascii="Times New Roman" w:hAnsi="Times New Roman" w:eastAsia="方正仿宋_GBK" w:cs="Times New Roman"/>
          <w:color w:val="auto"/>
          <w:sz w:val="32"/>
          <w:szCs w:val="32"/>
          <w:highlight w:val="none"/>
          <w:shd w:val="clear" w:color="auto" w:fill="FFFFFF"/>
        </w:rPr>
        <w:t>。</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三公</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经费实物量情况</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2024年度本</w:t>
      </w:r>
      <w:r>
        <w:rPr>
          <w:rFonts w:hint="default"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因公出国（境）共计0个团组，0人；公务用车购置0辆，公务车保有量为1辆；国内公务接待0批次0人，其中：国内外事接待0批次，0人；国（境）外公务接待0批次，0人。2024年本</w:t>
      </w:r>
      <w:r>
        <w:rPr>
          <w:rFonts w:hint="default"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人均接待费0元，车均购置费0万元，车均维护费1.99万元。</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rPr>
        <w:t>四、其他需要说明的事项</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rPr>
        <w:t>（一）财政拨款会议费、培训费和差旅费情况说明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本年度会议费支出0.00万元，与2023年度相比，无增减，主要原因是区通道经济发展中心为区商务委下属事业单位，为厉行节约，采用合并办会的方式减少会议支出。本年度培训费支出0.17万元，与2023年度相比，增加0.07万元，增长70.0%，主要原因是公需科目培训费增加。本年度差旅费支出0.00</w:t>
      </w:r>
      <w:r>
        <w:rPr>
          <w:rFonts w:hint="default" w:ascii="Times New Roman" w:hAnsi="Times New Roman" w:eastAsia="方正仿宋_GBK" w:cs="Times New Roman"/>
          <w:color w:val="auto"/>
          <w:sz w:val="32"/>
          <w:szCs w:val="32"/>
          <w:highlight w:val="none"/>
        </w:rPr>
        <w:t>万元，</w:t>
      </w:r>
      <w:r>
        <w:rPr>
          <w:rFonts w:hint="default" w:ascii="Times New Roman" w:hAnsi="Times New Roman" w:eastAsia="方正仿宋_GBK" w:cs="Times New Roman"/>
          <w:color w:val="auto"/>
          <w:sz w:val="32"/>
          <w:szCs w:val="32"/>
          <w:highlight w:val="none"/>
          <w:shd w:val="clear" w:color="auto" w:fill="FFFFFF"/>
        </w:rPr>
        <w:t>与2023年度相比，减少2.30万元，下降100.0%，主要原因是</w:t>
      </w:r>
      <w:r>
        <w:rPr>
          <w:rFonts w:hint="default" w:ascii="Times New Roman" w:hAnsi="Times New Roman" w:eastAsia="方正仿宋_GBK" w:cs="Times New Roman"/>
          <w:color w:val="auto"/>
          <w:sz w:val="32"/>
          <w:szCs w:val="32"/>
          <w:highlight w:val="none"/>
          <w:shd w:val="clear" w:color="auto" w:fill="FFFFFF"/>
          <w:lang w:val="en-US" w:eastAsia="zh-CN"/>
        </w:rPr>
        <w:t>我单位</w:t>
      </w:r>
      <w:r>
        <w:rPr>
          <w:rFonts w:hint="default" w:ascii="Times New Roman" w:hAnsi="Times New Roman" w:eastAsia="方正仿宋_GBK" w:cs="Times New Roman"/>
          <w:color w:val="auto"/>
          <w:sz w:val="32"/>
          <w:szCs w:val="32"/>
          <w:highlight w:val="none"/>
          <w:shd w:val="clear" w:color="auto" w:fill="FFFFFF"/>
        </w:rPr>
        <w:t>厉行节约，</w:t>
      </w:r>
      <w:r>
        <w:rPr>
          <w:rFonts w:hint="default" w:ascii="Times New Roman" w:hAnsi="Times New Roman" w:eastAsia="方正仿宋_GBK" w:cs="Times New Roman"/>
          <w:color w:val="auto"/>
          <w:sz w:val="32"/>
          <w:szCs w:val="32"/>
          <w:highlight w:val="none"/>
          <w:shd w:val="clear" w:color="auto" w:fill="FFFFFF"/>
          <w:lang w:val="en-US" w:eastAsia="zh-CN"/>
        </w:rPr>
        <w:t>严格控制出差频次，减少非必要开支</w:t>
      </w:r>
      <w:r>
        <w:rPr>
          <w:rFonts w:hint="default" w:ascii="Times New Roman" w:hAnsi="Times New Roman" w:eastAsia="方正仿宋_GBK" w:cs="Times New Roman"/>
          <w:color w:val="auto"/>
          <w:sz w:val="32"/>
          <w:szCs w:val="32"/>
          <w:highlight w:val="none"/>
          <w:shd w:val="clear" w:color="auto" w:fill="FFFFFF"/>
        </w:rPr>
        <w:t>。</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（二）机关运行经费情况说明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按照部门决算列报口径，我单位不在机关运行经费统计范围之内。</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（三）国有资产占用情况说明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截至2024年12月31日，本</w:t>
      </w:r>
      <w:r>
        <w:rPr>
          <w:rFonts w:hint="default" w:ascii="Times New Roman" w:hAnsi="Times New Roman" w:eastAsia="方正仿宋_GBK" w:cs="Times New Roman"/>
          <w:color w:val="auto"/>
          <w:sz w:val="32"/>
          <w:szCs w:val="32"/>
          <w:highlight w:val="none"/>
          <w:shd w:val="clear" w:color="auto" w:fill="FFFFFF"/>
          <w:lang w:eastAsia="zh-CN"/>
        </w:rPr>
        <w:t>单位</w:t>
      </w:r>
      <w:r>
        <w:rPr>
          <w:rFonts w:hint="default" w:ascii="Times New Roman" w:hAnsi="Times New Roman" w:eastAsia="方正仿宋_GBK" w:cs="Times New Roman"/>
          <w:color w:val="auto"/>
          <w:sz w:val="32"/>
          <w:szCs w:val="32"/>
          <w:highlight w:val="none"/>
          <w:shd w:val="clear" w:color="auto" w:fill="FFFFFF"/>
        </w:rPr>
        <w:t>共有车辆1辆，其中，副部（省）级及以上领导用车0辆、主要负责人用车0辆、机要通信用车1辆、应急保障用车0辆、执法执勤用车0辆，特种专业技术用车0辆，离退休干部用车0辆。单价100万元（含）以上专用设备0台（套）。</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（四）政府采购支出情况说明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b w:val="0"/>
          <w:bCs w:val="0"/>
          <w:color w:val="auto"/>
          <w:sz w:val="32"/>
          <w:szCs w:val="32"/>
          <w:highlight w:val="none"/>
          <w:shd w:val="clear" w:color="auto" w:fill="FFFFFF"/>
        </w:rPr>
        <w:t>2024年度我</w:t>
      </w:r>
      <w:r>
        <w:rPr>
          <w:rFonts w:hint="default" w:ascii="Times New Roman" w:hAnsi="Times New Roman" w:eastAsia="方正仿宋_GBK" w:cs="Times New Roman"/>
          <w:b w:val="0"/>
          <w:bCs w:val="0"/>
          <w:color w:val="auto"/>
          <w:sz w:val="32"/>
          <w:szCs w:val="32"/>
          <w:highlight w:val="none"/>
          <w:shd w:val="clear" w:color="auto" w:fill="FFFFFF"/>
          <w:lang w:eastAsia="zh-CN"/>
        </w:rPr>
        <w:t>单位</w:t>
      </w:r>
      <w:r>
        <w:rPr>
          <w:rFonts w:hint="default" w:ascii="Times New Roman" w:hAnsi="Times New Roman" w:eastAsia="方正仿宋_GBK" w:cs="Times New Roman"/>
          <w:b w:val="0"/>
          <w:bCs w:val="0"/>
          <w:color w:val="auto"/>
          <w:sz w:val="32"/>
          <w:szCs w:val="32"/>
          <w:highlight w:val="none"/>
          <w:shd w:val="clear" w:color="auto" w:fill="FFFFFF"/>
        </w:rPr>
        <w:t>未发生政府采购事项，无相关经费支出。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lang w:eastAsia="zh-CN"/>
        </w:rPr>
        <w:t>五、</w:t>
      </w:r>
      <w:r>
        <w:rPr>
          <w:rStyle w:val="8"/>
          <w:rFonts w:hint="default" w:ascii="Times New Roman" w:hAnsi="Times New Roman" w:eastAsia="方正黑体_GBK" w:cs="Times New Roman"/>
          <w:b w:val="0"/>
          <w:bCs/>
          <w:color w:val="auto"/>
          <w:sz w:val="32"/>
          <w:szCs w:val="32"/>
          <w:highlight w:val="none"/>
          <w:shd w:val="clear" w:color="auto" w:fill="FFFFFF"/>
        </w:rPr>
        <w:t>预算绩效管理情况说明</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40" w:firstLineChars="200"/>
        <w:jc w:val="left"/>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 xml:space="preserve">（一）预算绩效管理工作开展情况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1"/>
          <w:szCs w:val="31"/>
          <w:highlight w:val="none"/>
          <w:lang w:val="en-US" w:eastAsia="zh-CN" w:bidi="ar"/>
        </w:rPr>
        <w:t xml:space="preserve">根据预算绩效管理要求，我单位对0个项目开展了绩效自评，其中，以填报绩效自评表形式开展自评 0项，涉及资金0万元；以委托第三方出具报告的方式开展绩效评价0 项，涉及资金0万元。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40" w:firstLineChars="200"/>
        <w:jc w:val="left"/>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 xml:space="preserve">（二）绩效自评结果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31"/>
          <w:szCs w:val="31"/>
          <w:highlight w:val="none"/>
          <w:lang w:val="en-US" w:eastAsia="zh-CN" w:bidi="ar"/>
        </w:rPr>
        <w:t>1.</w:t>
      </w:r>
      <w:r>
        <w:rPr>
          <w:rFonts w:hint="default" w:ascii="Times New Roman" w:hAnsi="Times New Roman" w:cs="Times New Roman"/>
          <w:color w:val="auto"/>
          <w:kern w:val="0"/>
          <w:sz w:val="31"/>
          <w:szCs w:val="31"/>
          <w:highlight w:val="none"/>
          <w:lang w:val="en-US" w:eastAsia="zh-CN" w:bidi="ar"/>
        </w:rPr>
        <w:t xml:space="preserve"> </w:t>
      </w:r>
      <w:r>
        <w:rPr>
          <w:rFonts w:hint="default" w:ascii="Times New Roman" w:hAnsi="Times New Roman" w:eastAsia="方正仿宋_GBK" w:cs="Times New Roman"/>
          <w:color w:val="auto"/>
          <w:kern w:val="0"/>
          <w:sz w:val="31"/>
          <w:szCs w:val="31"/>
          <w:highlight w:val="none"/>
          <w:lang w:val="en-US" w:eastAsia="zh-CN" w:bidi="ar"/>
        </w:rPr>
        <w:t xml:space="preserve">绩效目标自评表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1"/>
          <w:szCs w:val="31"/>
          <w:highlight w:val="none"/>
          <w:lang w:val="en-US" w:eastAsia="zh-CN" w:bidi="ar"/>
        </w:rPr>
        <w:t>（</w:t>
      </w:r>
      <w:r>
        <w:rPr>
          <w:rFonts w:hint="default" w:ascii="Times New Roman" w:hAnsi="Times New Roman" w:eastAsia="宋体" w:cs="Times New Roman"/>
          <w:color w:val="auto"/>
          <w:kern w:val="0"/>
          <w:sz w:val="31"/>
          <w:szCs w:val="31"/>
          <w:highlight w:val="none"/>
          <w:lang w:val="en-US" w:eastAsia="zh-CN" w:bidi="ar"/>
        </w:rPr>
        <w:t>1</w:t>
      </w:r>
      <w:r>
        <w:rPr>
          <w:rFonts w:hint="default" w:ascii="Times New Roman" w:hAnsi="Times New Roman" w:eastAsia="方正仿宋_GBK" w:cs="Times New Roman"/>
          <w:color w:val="auto"/>
          <w:kern w:val="0"/>
          <w:sz w:val="31"/>
          <w:szCs w:val="31"/>
          <w:highlight w:val="none"/>
          <w:lang w:val="en-US" w:eastAsia="zh-CN" w:bidi="ar"/>
        </w:rPr>
        <w:t xml:space="preserve">）公开范围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1"/>
          <w:szCs w:val="31"/>
          <w:highlight w:val="none"/>
          <w:lang w:val="en-US" w:eastAsia="zh-CN" w:bidi="ar"/>
        </w:rPr>
        <w:t xml:space="preserve">2024年我单位无项目支出。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1"/>
          <w:szCs w:val="31"/>
          <w:highlight w:val="none"/>
          <w:lang w:val="en-US" w:eastAsia="zh-CN" w:bidi="ar"/>
        </w:rPr>
        <w:t>（</w:t>
      </w:r>
      <w:r>
        <w:rPr>
          <w:rFonts w:hint="default" w:ascii="Times New Roman" w:hAnsi="Times New Roman" w:eastAsia="宋体" w:cs="Times New Roman"/>
          <w:color w:val="auto"/>
          <w:kern w:val="0"/>
          <w:sz w:val="31"/>
          <w:szCs w:val="31"/>
          <w:highlight w:val="none"/>
          <w:lang w:val="en-US" w:eastAsia="zh-CN" w:bidi="ar"/>
        </w:rPr>
        <w:t>2</w:t>
      </w:r>
      <w:r>
        <w:rPr>
          <w:rFonts w:hint="default" w:ascii="Times New Roman" w:hAnsi="Times New Roman" w:eastAsia="方正仿宋_GBK" w:cs="Times New Roman"/>
          <w:color w:val="auto"/>
          <w:kern w:val="0"/>
          <w:sz w:val="31"/>
          <w:szCs w:val="31"/>
          <w:highlight w:val="none"/>
          <w:lang w:val="en-US" w:eastAsia="zh-CN" w:bidi="ar"/>
        </w:rPr>
        <w:t xml:space="preserve">）公开内容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1"/>
          <w:szCs w:val="31"/>
          <w:highlight w:val="none"/>
          <w:lang w:val="en-US" w:eastAsia="zh-CN" w:bidi="ar"/>
        </w:rPr>
        <w:t xml:space="preserve">无。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31"/>
          <w:szCs w:val="31"/>
          <w:highlight w:val="none"/>
          <w:lang w:val="en-US" w:eastAsia="zh-CN" w:bidi="ar"/>
        </w:rPr>
        <w:t>2.</w:t>
      </w:r>
      <w:r>
        <w:rPr>
          <w:rFonts w:hint="default" w:ascii="Times New Roman" w:hAnsi="Times New Roman" w:cs="Times New Roman"/>
          <w:color w:val="auto"/>
          <w:kern w:val="0"/>
          <w:sz w:val="31"/>
          <w:szCs w:val="31"/>
          <w:highlight w:val="none"/>
          <w:lang w:val="en-US" w:eastAsia="zh-CN" w:bidi="ar"/>
        </w:rPr>
        <w:t xml:space="preserve"> </w:t>
      </w:r>
      <w:r>
        <w:rPr>
          <w:rFonts w:hint="default" w:ascii="Times New Roman" w:hAnsi="Times New Roman" w:eastAsia="方正仿宋_GBK" w:cs="Times New Roman"/>
          <w:color w:val="auto"/>
          <w:kern w:val="0"/>
          <w:sz w:val="31"/>
          <w:szCs w:val="31"/>
          <w:highlight w:val="none"/>
          <w:lang w:val="en-US" w:eastAsia="zh-CN" w:bidi="ar"/>
        </w:rPr>
        <w:t xml:space="preserve">绩效自评报告或案例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1"/>
          <w:szCs w:val="31"/>
          <w:highlight w:val="none"/>
          <w:lang w:val="en-US" w:eastAsia="zh-CN" w:bidi="ar"/>
        </w:rPr>
        <w:t xml:space="preserve">无。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31"/>
          <w:szCs w:val="31"/>
          <w:highlight w:val="none"/>
          <w:lang w:val="en-US" w:eastAsia="zh-CN" w:bidi="ar"/>
        </w:rPr>
        <w:t>3.</w:t>
      </w:r>
      <w:r>
        <w:rPr>
          <w:rFonts w:hint="default" w:ascii="Times New Roman" w:hAnsi="Times New Roman" w:cs="Times New Roman"/>
          <w:color w:val="auto"/>
          <w:kern w:val="0"/>
          <w:sz w:val="31"/>
          <w:szCs w:val="31"/>
          <w:highlight w:val="none"/>
          <w:lang w:val="en-US" w:eastAsia="zh-CN" w:bidi="ar"/>
        </w:rPr>
        <w:t xml:space="preserve"> </w:t>
      </w:r>
      <w:r>
        <w:rPr>
          <w:rFonts w:hint="default" w:ascii="Times New Roman" w:hAnsi="Times New Roman" w:eastAsia="方正仿宋_GBK" w:cs="Times New Roman"/>
          <w:color w:val="auto"/>
          <w:kern w:val="0"/>
          <w:sz w:val="31"/>
          <w:szCs w:val="31"/>
          <w:highlight w:val="none"/>
          <w:lang w:val="en-US" w:eastAsia="zh-CN" w:bidi="ar"/>
        </w:rPr>
        <w:t xml:space="preserve">关于绩效自评结果的说明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1"/>
          <w:szCs w:val="31"/>
          <w:highlight w:val="none"/>
          <w:lang w:val="en-US" w:eastAsia="zh-CN" w:bidi="ar"/>
        </w:rPr>
        <w:t xml:space="preserve">无。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方正楷体_GBK" w:cs="Times New Roman"/>
          <w:color w:val="auto"/>
          <w:kern w:val="0"/>
          <w:sz w:val="31"/>
          <w:szCs w:val="31"/>
          <w:highlight w:val="none"/>
          <w:lang w:val="en-US" w:eastAsia="zh-CN" w:bidi="ar"/>
        </w:rPr>
        <w:t xml:space="preserve">（三）重点绩效评价结果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1"/>
          <w:szCs w:val="31"/>
          <w:highlight w:val="none"/>
          <w:lang w:val="en-US" w:eastAsia="zh-CN" w:bidi="ar"/>
        </w:rPr>
        <w:t>无。</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rPr>
        <w:t>六、专业名词解释</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以下为常见专业名词解释目录，仅供参考，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（一）财政拨款收入：</w:t>
      </w:r>
      <w:r>
        <w:rPr>
          <w:rFonts w:hint="default" w:ascii="Times New Roman" w:hAnsi="Times New Roman" w:eastAsia="方正仿宋_GBK" w:cs="Times New Roman"/>
          <w:color w:val="auto"/>
          <w:sz w:val="32"/>
          <w:szCs w:val="32"/>
          <w:highlight w:val="none"/>
          <w:shd w:val="clear" w:color="auto" w:fill="FFFFFF"/>
        </w:rPr>
        <w:t>指本年度从本级财政部门取得的财政拨款，包括一般公共预算财政拨款和政府性基金预算财政拨款。</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（二）事业收入：</w:t>
      </w:r>
      <w:r>
        <w:rPr>
          <w:rFonts w:hint="default" w:ascii="Times New Roman" w:hAnsi="Times New Roman" w:eastAsia="方正仿宋_GBK" w:cs="Times New Roman"/>
          <w:color w:val="auto"/>
          <w:sz w:val="32"/>
          <w:szCs w:val="32"/>
          <w:highlight w:val="none"/>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（三）经营收入：</w:t>
      </w:r>
      <w:r>
        <w:rPr>
          <w:rFonts w:hint="default" w:ascii="Times New Roman" w:hAnsi="Times New Roman" w:eastAsia="方正仿宋_GBK" w:cs="Times New Roman"/>
          <w:color w:val="auto"/>
          <w:sz w:val="32"/>
          <w:szCs w:val="32"/>
          <w:highlight w:val="none"/>
          <w:shd w:val="clear" w:color="auto" w:fill="FFFFFF"/>
        </w:rPr>
        <w:t>指事业单位在专业业务活动及其辅助活动之外开展非独立核算经营活动取得的现金流入。</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（四）其他收入：</w:t>
      </w:r>
      <w:r>
        <w:rPr>
          <w:rFonts w:hint="default" w:ascii="Times New Roman" w:hAnsi="Times New Roman" w:eastAsia="方正仿宋_GBK" w:cs="Times New Roman"/>
          <w:color w:val="auto"/>
          <w:sz w:val="32"/>
          <w:szCs w:val="32"/>
          <w:highlight w:val="none"/>
          <w:shd w:val="clear" w:color="auto" w:fill="FFFFFF"/>
        </w:rPr>
        <w:t>指单位取得的除</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财政拨款收入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事业收入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经营收入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（五）使用非财政拨款结余：</w:t>
      </w:r>
      <w:r>
        <w:rPr>
          <w:rFonts w:hint="default" w:ascii="Times New Roman" w:hAnsi="Times New Roman" w:eastAsia="方正仿宋_GBK" w:cs="Times New Roman"/>
          <w:color w:val="auto"/>
          <w:sz w:val="32"/>
          <w:szCs w:val="32"/>
          <w:highlight w:val="none"/>
          <w:shd w:val="clear" w:color="auto" w:fill="FFFFFF"/>
        </w:rPr>
        <w:t>指单位在当年的</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财政拨款收入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事业收入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经营收入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其他收入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等不足以安排当年支出的情况下，使用以前年度积累的非财政拨款结余弥补本年度收支缺口的资金。</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（六）年初结转和结余：</w:t>
      </w:r>
      <w:r>
        <w:rPr>
          <w:rFonts w:hint="default" w:ascii="Times New Roman" w:hAnsi="Times New Roman" w:eastAsia="方正仿宋_GBK" w:cs="Times New Roman"/>
          <w:color w:val="auto"/>
          <w:sz w:val="32"/>
          <w:szCs w:val="32"/>
          <w:highlight w:val="none"/>
          <w:shd w:val="clear" w:color="auto" w:fill="FFFFFF"/>
        </w:rPr>
        <w:t>指单位上年结转本年使用的基本支出结转、项目支出结转和结余、经营结余。</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（七）结余分配：</w:t>
      </w:r>
      <w:r>
        <w:rPr>
          <w:rFonts w:hint="default" w:ascii="Times New Roman" w:hAnsi="Times New Roman" w:eastAsia="方正仿宋_GBK" w:cs="Times New Roman"/>
          <w:color w:val="auto"/>
          <w:sz w:val="32"/>
          <w:szCs w:val="32"/>
          <w:highlight w:val="none"/>
          <w:shd w:val="clear" w:color="auto" w:fill="FFFFFF"/>
        </w:rPr>
        <w:t>指单位按照国家有关规定，缴纳所得税、提取专用基金、转入非财政拨款结余等当年结余的分配情况。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（八）年末结转和结余：</w:t>
      </w:r>
      <w:r>
        <w:rPr>
          <w:rFonts w:hint="default" w:ascii="Times New Roman" w:hAnsi="Times New Roman" w:eastAsia="方正仿宋_GBK" w:cs="Times New Roman"/>
          <w:color w:val="auto"/>
          <w:sz w:val="32"/>
          <w:szCs w:val="32"/>
          <w:highlight w:val="none"/>
          <w:shd w:val="clear" w:color="auto" w:fill="FFFFFF"/>
        </w:rPr>
        <w:t>指单位结转下年的基本支出结转、项目支出结转和结余、经营结余。</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（九）基本支出：</w:t>
      </w:r>
      <w:r>
        <w:rPr>
          <w:rFonts w:hint="default" w:ascii="Times New Roman" w:hAnsi="Times New Roman" w:eastAsia="方正仿宋_GBK" w:cs="Times New Roman"/>
          <w:color w:val="auto"/>
          <w:sz w:val="32"/>
          <w:szCs w:val="32"/>
          <w:highlight w:val="none"/>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工资福利支出</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和</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对个人和家庭的补助</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；公用经费指政府收支分类经济科目中除</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工资福利支出</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和</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对个人和家庭的补助</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外的其他支出。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（十）项目支出：</w:t>
      </w:r>
      <w:r>
        <w:rPr>
          <w:rFonts w:hint="default" w:ascii="Times New Roman" w:hAnsi="Times New Roman" w:eastAsia="方正仿宋_GBK" w:cs="Times New Roman"/>
          <w:color w:val="auto"/>
          <w:sz w:val="32"/>
          <w:szCs w:val="32"/>
          <w:highlight w:val="none"/>
          <w:shd w:val="clear" w:color="auto" w:fill="FFFFFF"/>
        </w:rPr>
        <w:t>指在基本支出之外为完成特定行政任务和事业发展目标所发生的支出。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（十一）经营支出：</w:t>
      </w:r>
      <w:r>
        <w:rPr>
          <w:rFonts w:hint="default" w:ascii="Times New Roman" w:hAnsi="Times New Roman" w:eastAsia="方正仿宋_GBK" w:cs="Times New Roman"/>
          <w:color w:val="auto"/>
          <w:sz w:val="32"/>
          <w:szCs w:val="32"/>
          <w:highlight w:val="none"/>
          <w:shd w:val="clear" w:color="auto" w:fill="FFFFFF"/>
        </w:rPr>
        <w:t>指事业单位在专业业务活动及其辅助活动之外开展非独立核算经营活动发生的支出。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（十二）</w:t>
      </w:r>
      <w:r>
        <w:rPr>
          <w:rStyle w:val="8"/>
          <w:rFonts w:hint="eastAsia" w:ascii="Times New Roman" w:hAnsi="Times New Roman" w:eastAsia="方正楷体_GBK" w:cs="Times New Roman"/>
          <w:b w:val="0"/>
          <w:bCs/>
          <w:color w:val="auto"/>
          <w:sz w:val="32"/>
          <w:szCs w:val="32"/>
          <w:highlight w:val="none"/>
          <w:shd w:val="clear" w:color="auto" w:fill="FFFFFF"/>
          <w:lang w:eastAsia="zh-CN"/>
        </w:rPr>
        <w:t>“</w:t>
      </w:r>
      <w:r>
        <w:rPr>
          <w:rStyle w:val="8"/>
          <w:rFonts w:hint="default" w:ascii="Times New Roman" w:hAnsi="Times New Roman" w:eastAsia="方正楷体_GBK" w:cs="Times New Roman"/>
          <w:b w:val="0"/>
          <w:bCs/>
          <w:color w:val="auto"/>
          <w:sz w:val="32"/>
          <w:szCs w:val="32"/>
          <w:highlight w:val="none"/>
          <w:shd w:val="clear" w:color="auto" w:fill="FFFFFF"/>
        </w:rPr>
        <w:t>三公</w:t>
      </w:r>
      <w:r>
        <w:rPr>
          <w:rStyle w:val="8"/>
          <w:rFonts w:hint="eastAsia" w:ascii="Times New Roman" w:hAnsi="Times New Roman" w:eastAsia="方正楷体_GBK" w:cs="Times New Roman"/>
          <w:b w:val="0"/>
          <w:bCs/>
          <w:color w:val="auto"/>
          <w:sz w:val="32"/>
          <w:szCs w:val="32"/>
          <w:highlight w:val="none"/>
          <w:shd w:val="clear" w:color="auto" w:fill="FFFFFF"/>
          <w:lang w:eastAsia="zh-CN"/>
        </w:rPr>
        <w:t>”</w:t>
      </w:r>
      <w:r>
        <w:rPr>
          <w:rStyle w:val="8"/>
          <w:rFonts w:hint="default" w:ascii="Times New Roman" w:hAnsi="Times New Roman" w:eastAsia="方正楷体_GBK" w:cs="Times New Roman"/>
          <w:b w:val="0"/>
          <w:bCs/>
          <w:color w:val="auto"/>
          <w:sz w:val="32"/>
          <w:szCs w:val="32"/>
          <w:highlight w:val="none"/>
          <w:shd w:val="clear" w:color="auto" w:fill="FFFFFF"/>
        </w:rPr>
        <w:t>经费：</w:t>
      </w:r>
      <w:r>
        <w:rPr>
          <w:rFonts w:hint="default" w:ascii="Times New Roman" w:hAnsi="Times New Roman" w:eastAsia="方正仿宋_GBK" w:cs="Times New Roman"/>
          <w:color w:val="auto"/>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（十三）机关运行经费：</w:t>
      </w:r>
      <w:r>
        <w:rPr>
          <w:rFonts w:hint="default" w:ascii="Times New Roman" w:hAnsi="Times New Roman" w:eastAsia="方正仿宋_GBK" w:cs="Times New Roman"/>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（十四）工资福利支出（支出经济分类科目类级）：</w:t>
      </w:r>
      <w:r>
        <w:rPr>
          <w:rFonts w:hint="default" w:ascii="Times New Roman" w:hAnsi="Times New Roman" w:eastAsia="方正仿宋_GBK" w:cs="Times New Roman"/>
          <w:color w:val="auto"/>
          <w:sz w:val="32"/>
          <w:szCs w:val="32"/>
          <w:highlight w:val="none"/>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（十五）商品和服务支出（支出经济分类科目类级）：</w:t>
      </w:r>
      <w:r>
        <w:rPr>
          <w:rFonts w:hint="default" w:ascii="Times New Roman" w:hAnsi="Times New Roman" w:eastAsia="方正仿宋_GBK" w:cs="Times New Roman"/>
          <w:color w:val="auto"/>
          <w:sz w:val="32"/>
          <w:szCs w:val="32"/>
          <w:highlight w:val="none"/>
          <w:shd w:val="clear" w:color="auto" w:fill="FFFFFF"/>
        </w:rPr>
        <w:t>反映单位购买商品和服务的支出（不包括用于购置固定资产的支出、战略性和应急储备支出）。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（十六）对个人和家庭的补助（支出经济分类科目类级）：</w:t>
      </w:r>
      <w:r>
        <w:rPr>
          <w:rFonts w:hint="default" w:ascii="Times New Roman" w:hAnsi="Times New Roman" w:eastAsia="方正仿宋_GBK" w:cs="Times New Roman"/>
          <w:color w:val="auto"/>
          <w:sz w:val="32"/>
          <w:szCs w:val="32"/>
          <w:highlight w:val="none"/>
          <w:shd w:val="clear" w:color="auto" w:fill="FFFFFF"/>
        </w:rPr>
        <w:t>反映用于对个人和家庭的补助支出。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（十七）其他资本性支出（支出经济分类科目类级）</w:t>
      </w:r>
      <w:r>
        <w:rPr>
          <w:rFonts w:hint="default" w:ascii="Times New Roman" w:hAnsi="Times New Roman" w:eastAsia="方正楷体_GBK" w:cs="Times New Roman"/>
          <w:b w:val="0"/>
          <w:bCs/>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highlight w:val="none"/>
          <w:shd w:val="clear" w:color="auto" w:fill="FFFFFF"/>
        </w:rPr>
      </w:pPr>
      <w:r>
        <w:rPr>
          <w:rStyle w:val="8"/>
          <w:rFonts w:hint="default" w:ascii="Times New Roman" w:hAnsi="Times New Roman" w:eastAsia="方正黑体_GBK" w:cs="Times New Roman"/>
          <w:b w:val="0"/>
          <w:bCs/>
          <w:color w:val="auto"/>
          <w:sz w:val="32"/>
          <w:szCs w:val="32"/>
          <w:highlight w:val="none"/>
          <w:shd w:val="clear" w:color="auto" w:fill="FFFFFF"/>
        </w:rPr>
        <w:t>七、决算公开联系方式及信息反馈渠道</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FFFFFF"/>
          <w:lang w:val="en-US" w:eastAsia="zh-CN"/>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highlight w:val="none"/>
          <w:shd w:val="clear" w:color="auto" w:fill="FFFFFF"/>
        </w:rPr>
        <w:t>本单位决算公开信息反馈和联系方式：</w:t>
      </w:r>
      <w:r>
        <w:rPr>
          <w:rFonts w:hint="default" w:ascii="Times New Roman" w:hAnsi="Times New Roman" w:eastAsia="方正仿宋_GBK" w:cs="Times New Roman"/>
          <w:color w:val="auto"/>
          <w:sz w:val="32"/>
          <w:szCs w:val="32"/>
          <w:highlight w:val="none"/>
          <w:shd w:val="clear" w:color="auto" w:fill="FFFFFF"/>
          <w:lang w:val="en-US" w:eastAsia="zh-CN"/>
        </w:rPr>
        <w:t>023</w:t>
      </w:r>
      <w:r>
        <w:rPr>
          <w:rFonts w:hint="eastAsia"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61280331</w:t>
      </w:r>
      <w:r>
        <w:rPr>
          <w:rFonts w:hint="default" w:ascii="Times New Roman" w:hAnsi="Times New Roman" w:eastAsia="方正仿宋_GBK" w:cs="Times New Roman"/>
          <w:color w:val="auto"/>
          <w:sz w:val="32"/>
          <w:szCs w:val="32"/>
          <w:highlight w:val="none"/>
          <w:shd w:val="clear" w:color="auto" w:fill="FFFFFF"/>
        </w:rPr>
        <w:t>。</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单位</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重庆市綦江区通道经济发展中心</w:t>
            </w:r>
          </w:p>
        </w:tc>
        <w:tc>
          <w:tcPr>
            <w:tcW w:w="4419"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highlight w:val="none"/>
                <w:u w:val="none"/>
              </w:rPr>
            </w:pPr>
          </w:p>
        </w:tc>
        <w:tc>
          <w:tcPr>
            <w:tcW w:w="4419"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4,051,478.09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3,128,533.00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595,039.01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i w:val="0"/>
                <w:iCs w:val="0"/>
                <w:color w:val="auto"/>
                <w:sz w:val="22"/>
                <w:szCs w:val="22"/>
                <w:highlight w:val="none"/>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163,595.08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i w:val="0"/>
                <w:iCs w:val="0"/>
                <w:color w:val="auto"/>
                <w:kern w:val="0"/>
                <w:sz w:val="22"/>
                <w:szCs w:val="22"/>
                <w:highlight w:val="none"/>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r>
              <w:rPr>
                <w:rFonts w:hint="default" w:ascii="Times New Roman" w:hAnsi="Times New Roman" w:cs="Times New Roman"/>
                <w:b/>
                <w:bCs/>
                <w:i w:val="0"/>
                <w:iCs w:val="0"/>
                <w:color w:val="auto"/>
                <w:kern w:val="0"/>
                <w:sz w:val="22"/>
                <w:szCs w:val="22"/>
                <w:highlight w:val="none"/>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i w:val="0"/>
                <w:iCs w:val="0"/>
                <w:color w:val="auto"/>
                <w:kern w:val="0"/>
                <w:sz w:val="22"/>
                <w:szCs w:val="22"/>
                <w:highlight w:val="none"/>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164,311.00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highlight w:val="none"/>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4,051,478.09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4,051,478.09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r>
              <w:rPr>
                <w:rFonts w:hint="default" w:ascii="Times New Roman" w:hAnsi="Times New Roman" w:cs="Times New Roman"/>
                <w:b/>
                <w:bCs/>
                <w:i w:val="0"/>
                <w:iCs w:val="0"/>
                <w:color w:val="auto"/>
                <w:kern w:val="0"/>
                <w:sz w:val="22"/>
                <w:szCs w:val="22"/>
                <w:highlight w:val="none"/>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i w:val="0"/>
                <w:iCs w:val="0"/>
                <w:color w:val="auto"/>
                <w:sz w:val="22"/>
                <w:szCs w:val="22"/>
                <w:highlight w:val="none"/>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r>
              <w:rPr>
                <w:rFonts w:hint="default" w:ascii="Times New Roman" w:hAnsi="Times New Roman" w:cs="Times New Roman"/>
                <w:b/>
                <w:bCs/>
                <w:i w:val="0"/>
                <w:iCs w:val="0"/>
                <w:color w:val="auto"/>
                <w:kern w:val="0"/>
                <w:sz w:val="22"/>
                <w:szCs w:val="22"/>
                <w:highlight w:val="none"/>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4,051,478.09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r>
              <w:rPr>
                <w:rFonts w:hint="default" w:ascii="Times New Roman" w:hAnsi="Times New Roman" w:cs="Times New Roman"/>
                <w:b/>
                <w:bCs/>
                <w:i w:val="0"/>
                <w:iCs w:val="0"/>
                <w:color w:val="auto"/>
                <w:kern w:val="0"/>
                <w:sz w:val="22"/>
                <w:szCs w:val="22"/>
                <w:highlight w:val="none"/>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4,051,478.09</w:t>
            </w:r>
          </w:p>
        </w:tc>
      </w:tr>
    </w:tbl>
    <w:p>
      <w:pPr>
        <w:pStyle w:val="9"/>
        <w:keepNext w:val="0"/>
        <w:keepLines w:val="0"/>
        <w:pageBreakBefore w:val="0"/>
        <w:widowControl w:val="0"/>
        <w:numPr>
          <w:ilvl w:val="0"/>
          <w:numId w:val="0"/>
        </w:numPr>
        <w:kinsoku/>
        <w:overflowPunct/>
        <w:topLinePunct w:val="0"/>
        <w:autoSpaceDE w:val="0"/>
        <w:autoSpaceDN/>
        <w:bidi w:val="0"/>
        <w:adjustRightInd/>
        <w:rPr>
          <w:rFonts w:hint="default" w:ascii="Times New Roman" w:hAnsi="Times New Roman" w:eastAsia="宋体" w:cs="Times New Roman"/>
          <w:color w:val="auto"/>
          <w:sz w:val="21"/>
          <w:szCs w:val="21"/>
          <w:highlight w:val="none"/>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keepNext w:val="0"/>
        <w:keepLines w:val="0"/>
        <w:pageBreakBefore w:val="0"/>
        <w:widowControl w:val="0"/>
        <w:numPr>
          <w:ilvl w:val="0"/>
          <w:numId w:val="0"/>
        </w:numPr>
        <w:kinsoku/>
        <w:overflowPunct/>
        <w:topLinePunct w:val="0"/>
        <w:autoSpaceDE w:val="0"/>
        <w:autoSpaceDN/>
        <w:bidi w:val="0"/>
        <w:adjustRightInd/>
        <w:rPr>
          <w:rFonts w:hint="default" w:ascii="Times New Roman" w:hAnsi="Times New Roman" w:eastAsia="宋体" w:cs="Times New Roman"/>
          <w:color w:val="auto"/>
          <w:sz w:val="21"/>
          <w:szCs w:val="21"/>
          <w:highlight w:val="none"/>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单位</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重庆市綦江区通道经济发展中心</w:t>
            </w:r>
          </w:p>
        </w:tc>
        <w:tc>
          <w:tcPr>
            <w:tcW w:w="2408" w:type="dxa"/>
            <w:tcBorders>
              <w:top w:val="nil"/>
              <w:left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02表</w:t>
            </w:r>
          </w:p>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4,051,478.09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4,051,478.09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3,128,533.00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3,128,533.00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20113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商贸事务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3,128,533.00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3,128,533.00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2011350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3,128,533.00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3,128,533.00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595,039.01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595,039.01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595,039.01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595,039.01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330,177.25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330,177.25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164,861.76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164,861.76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163,595.08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163,595.08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163,595.08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163,595.08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136,395.08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136,395.08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164,311.00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164,311.00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164,311.00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164,311.00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164,311.00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164,311.00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单位</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 xml:space="preserve">重庆市綦江区通道经济发展中心 </w:t>
            </w:r>
          </w:p>
        </w:tc>
        <w:tc>
          <w:tcPr>
            <w:tcW w:w="2741"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highlight w:val="none"/>
                <w:u w:val="none"/>
              </w:rPr>
            </w:pPr>
          </w:p>
        </w:tc>
        <w:tc>
          <w:tcPr>
            <w:tcW w:w="2741"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4,051,478.09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4,051,478.09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3,128,533.00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3,128,533.00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20113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商贸事务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3,128,533.00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3,128,533.00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2011350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3,128,533.00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3,128,533.00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595,039.01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595,039.01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595,039.01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595,039.01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330,177.25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330,177.25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164,861.76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164,861.76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2080599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163,595.08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163,595.08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163,595.08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163,595.08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136,395.08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136,395.08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27,200.00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164,311.00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164,311.00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b/>
                <w:color w:val="auto"/>
                <w:sz w:val="22"/>
                <w:szCs w:val="22"/>
                <w:highlight w:val="none"/>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164,311.00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164,311.00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bCs w:val="0"/>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164,311.00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164,311.00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单位</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重庆市綦江区通道经济发展中心</w:t>
            </w:r>
          </w:p>
        </w:tc>
        <w:tc>
          <w:tcPr>
            <w:tcW w:w="287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highlight w:val="none"/>
                <w:u w:val="none"/>
              </w:rPr>
            </w:pPr>
          </w:p>
        </w:tc>
        <w:tc>
          <w:tcPr>
            <w:tcW w:w="287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2"/>
                <w:szCs w:val="22"/>
                <w:highlight w:val="none"/>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4,051,478.09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3,128,533.00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3,128,533.00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595,039.01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595,039.01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163,595.08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163,595.08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164,311.00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164,311.00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4,051,478.09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4,051,478.09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4,051,478.09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0"/>
                <w:szCs w:val="20"/>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highlight w:val="none"/>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4,051,478.09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4,051,478.09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4,051,478.09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r>
    </w:tbl>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单位</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重庆市綦江区通道经济发展中心</w:t>
            </w: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highlight w:val="none"/>
                <w:u w:val="none"/>
              </w:rPr>
            </w:pP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4,051,478.09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4,051,478.09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4,051,478.09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4,051,478.09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3,128,533.00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3,128,533.00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3,128,533.00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3,128,533.00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20113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商贸事务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3,128,533.00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3,128,533.00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3,128,533.00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3,128,533.00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2011350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3,128,533.00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3,128,533.00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3,128,533.00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3,128,533.00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595,039.01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595,039.01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595,039.01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595,039.01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595,039.01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595,039.01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595,039.01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595,039.01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330,177.25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330,177.25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330,177.25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330,177.25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164,861.76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164,861.76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164,861.76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164,861.76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2080599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100,000.00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100,000.00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163,595.08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163,595.08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163,595.08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163,595.08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163,595.08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163,595.08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163,595.08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163,595.08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136,395.08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136,395.08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136,395.08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136,395.08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27,200.00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27,200.00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27,200.00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27,200.00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164,311.00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164,311.00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164,311.00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164,311.00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b/>
                <w:color w:val="auto"/>
                <w:sz w:val="20"/>
                <w:szCs w:val="20"/>
                <w:highlight w:val="none"/>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164,311.00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164,311.00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164,311.00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164,311.00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bCs w:val="0"/>
                <w:color w:val="auto"/>
                <w:sz w:val="20"/>
                <w:szCs w:val="20"/>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164,311.00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164,311.00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164,311.00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164,311.00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单位</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重庆市綦江区通道经济发展中心</w:t>
            </w:r>
          </w:p>
        </w:tc>
        <w:tc>
          <w:tcPr>
            <w:tcW w:w="2682"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highlight w:val="none"/>
                <w:u w:val="none"/>
              </w:rPr>
            </w:pPr>
          </w:p>
        </w:tc>
        <w:tc>
          <w:tcPr>
            <w:tcW w:w="2682"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3,358,114.75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593,243.34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929,159.00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301,632.32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31,176.00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1,547,219.00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396.05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330,177.25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164,861.76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136,395.08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27,615.66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164,311.00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27,200.00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100,120.00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1,725.00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92,000.00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208,994.67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8,000.00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16,767.50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i w:val="0"/>
                <w:iCs w:val="0"/>
                <w:color w:val="auto"/>
                <w:kern w:val="0"/>
                <w:sz w:val="22"/>
                <w:szCs w:val="22"/>
                <w:highlight w:val="none"/>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i w:val="0"/>
                <w:iCs w:val="0"/>
                <w:color w:val="auto"/>
                <w:kern w:val="0"/>
                <w:sz w:val="22"/>
                <w:szCs w:val="22"/>
                <w:highlight w:val="none"/>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120.00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21,833.28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19,894.52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highlight w:val="none"/>
                <w:u w:val="none"/>
                <w:lang w:val="en-US" w:eastAsia="zh-CN" w:bidi="ar"/>
              </w:rPr>
            </w:pPr>
            <w:r>
              <w:rPr>
                <w:rFonts w:hint="default" w:ascii="Times New Roman" w:hAnsi="Times New Roman" w:eastAsia="宋体" w:cs="Times New Roman"/>
                <w:b/>
                <w:bCs/>
                <w:i w:val="0"/>
                <w:iCs w:val="0"/>
                <w:color w:val="auto"/>
                <w:kern w:val="0"/>
                <w:sz w:val="22"/>
                <w:szCs w:val="22"/>
                <w:highlight w:val="none"/>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highlight w:val="none"/>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cs="Times New Roman"/>
                <w:color w:val="auto"/>
                <w:sz w:val="22"/>
                <w:szCs w:val="22"/>
                <w:highlight w:val="none"/>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highlight w:val="none"/>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highlight w:val="none"/>
                <w:u w:val="none"/>
              </w:rPr>
            </w:pPr>
            <w:r>
              <w:rPr>
                <w:rFonts w:hint="default" w:ascii="Times New Roman" w:hAnsi="Times New Roman" w:cs="Times New Roman" w:eastAsiaTheme="minorEastAsia"/>
                <w:color w:val="auto"/>
                <w:sz w:val="22"/>
                <w:szCs w:val="22"/>
                <w:highlight w:val="none"/>
              </w:rPr>
              <w:t xml:space="preserve">3,458,234.75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593,243.34 </w:t>
            </w:r>
          </w:p>
        </w:tc>
      </w:tr>
    </w:tbl>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单位</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重庆市綦江区通道经济发展中心</w:t>
            </w: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w:t>
            </w:r>
            <w:r>
              <w:rPr>
                <w:rFonts w:hint="default" w:ascii="Times New Roman" w:hAnsi="Times New Roman" w:cs="Times New Roman"/>
                <w:i w:val="0"/>
                <w:iCs w:val="0"/>
                <w:color w:val="auto"/>
                <w:kern w:val="0"/>
                <w:sz w:val="20"/>
                <w:szCs w:val="20"/>
                <w:highlight w:val="none"/>
                <w:u w:val="none"/>
                <w:lang w:val="en-US" w:eastAsia="zh-CN" w:bidi="ar"/>
              </w:rPr>
              <w:t>7</w:t>
            </w:r>
            <w:r>
              <w:rPr>
                <w:rFonts w:hint="default" w:ascii="Times New Roman" w:hAnsi="Times New Roman" w:eastAsia="宋体" w:cs="Times New Roman"/>
                <w:i w:val="0"/>
                <w:iCs w:val="0"/>
                <w:color w:val="auto"/>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highlight w:val="none"/>
                <w:u w:val="none"/>
              </w:rPr>
            </w:pP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highlight w:val="none"/>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highlight w:val="none"/>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highlight w:val="none"/>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highlight w:val="none"/>
                <w:u w:val="none"/>
              </w:rPr>
            </w:pPr>
            <w:r>
              <w:rPr>
                <w:rFonts w:hint="default" w:ascii="Times New Roman" w:hAnsi="Times New Roman" w:cs="Times New Roman"/>
                <w:b/>
                <w:bCs/>
                <w:color w:val="auto"/>
                <w:sz w:val="20"/>
                <w:szCs w:val="20"/>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highlight w:val="none"/>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highlight w:val="none"/>
                <w:u w:val="none"/>
              </w:rPr>
            </w:pPr>
            <w:r>
              <w:rPr>
                <w:rFonts w:hint="default" w:ascii="Times New Roman" w:hAnsi="Times New Roman" w:cs="Times New Roman"/>
                <w:b w:val="0"/>
                <w:bCs w:val="0"/>
                <w:color w:val="auto"/>
                <w:sz w:val="20"/>
                <w:szCs w:val="20"/>
                <w:highlight w:val="none"/>
              </w:rPr>
              <w:t xml:space="preserve">0.00 </w:t>
            </w:r>
          </w:p>
        </w:tc>
      </w:tr>
    </w:tbl>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单位</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重庆市綦江区通道经济发展中心</w:t>
            </w:r>
          </w:p>
        </w:tc>
        <w:tc>
          <w:tcPr>
            <w:tcW w:w="211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highlight w:val="none"/>
                <w:u w:val="none"/>
              </w:rPr>
            </w:pPr>
          </w:p>
        </w:tc>
        <w:tc>
          <w:tcPr>
            <w:tcW w:w="211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highlight w:val="none"/>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highlight w:val="none"/>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highlight w:val="none"/>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cs="Times New Roman"/>
                <w:b/>
                <w:bCs/>
                <w:color w:val="auto"/>
                <w:sz w:val="22"/>
                <w:szCs w:val="22"/>
                <w:highlight w:val="none"/>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highlight w:val="none"/>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highlight w:val="none"/>
                <w:u w:val="none"/>
              </w:rPr>
            </w:pPr>
            <w:r>
              <w:rPr>
                <w:rFonts w:hint="default" w:ascii="Times New Roman" w:hAnsi="Times New Roman" w:cs="Times New Roman"/>
                <w:b w:val="0"/>
                <w:bCs w:val="0"/>
                <w:color w:val="auto"/>
                <w:sz w:val="22"/>
                <w:szCs w:val="22"/>
                <w:highlight w:val="none"/>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44"/>
                <w:szCs w:val="44"/>
                <w:highlight w:val="none"/>
                <w:u w:val="none"/>
              </w:rPr>
            </w:pPr>
            <w:r>
              <w:rPr>
                <w:rFonts w:hint="default" w:ascii="Times New Roman" w:hAnsi="Times New Roman" w:eastAsia="宋体" w:cs="Times New Roman"/>
                <w:b/>
                <w:bCs/>
                <w:i w:val="0"/>
                <w:iCs w:val="0"/>
                <w:color w:val="auto"/>
                <w:kern w:val="0"/>
                <w:sz w:val="30"/>
                <w:szCs w:val="30"/>
                <w:highlight w:val="none"/>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cs="Times New Roman"/>
                <w:color w:val="auto"/>
                <w:sz w:val="20"/>
                <w:szCs w:val="20"/>
                <w:highlight w:val="none"/>
                <w:lang w:eastAsia="zh-CN"/>
              </w:rPr>
              <w:t>单位</w:t>
            </w:r>
            <w:r>
              <w:rPr>
                <w:rFonts w:hint="default" w:ascii="Times New Roman" w:hAnsi="Times New Roman" w:cs="Times New Roman"/>
                <w:color w:val="auto"/>
                <w:sz w:val="20"/>
                <w:szCs w:val="20"/>
                <w:highlight w:val="none"/>
              </w:rPr>
              <w:t>：</w:t>
            </w:r>
            <w:r>
              <w:rPr>
                <w:rFonts w:hint="default" w:ascii="Times New Roman" w:hAnsi="Times New Roman" w:cs="Times New Roman"/>
                <w:color w:val="auto"/>
                <w:sz w:val="20"/>
                <w:highlight w:val="none"/>
                <w:u w:color="auto"/>
              </w:rPr>
              <w:t>重庆市綦江区通道经济发展中心</w:t>
            </w:r>
          </w:p>
        </w:tc>
        <w:tc>
          <w:tcPr>
            <w:tcW w:w="428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highlight w:val="none"/>
                <w:u w:val="none"/>
              </w:rPr>
            </w:pPr>
          </w:p>
        </w:tc>
        <w:tc>
          <w:tcPr>
            <w:tcW w:w="428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单位：</w:t>
            </w:r>
            <w:r>
              <w:rPr>
                <w:rFonts w:hint="default" w:ascii="Times New Roman" w:hAnsi="Times New Roman" w:cs="Times New Roman"/>
                <w:i w:val="0"/>
                <w:iCs w:val="0"/>
                <w:color w:val="auto"/>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一、</w:t>
            </w:r>
            <w:r>
              <w:rPr>
                <w:rFonts w:hint="eastAsia" w:ascii="Times New Roman" w:hAnsi="Times New Roman" w:cs="Times New Roman"/>
                <w:b/>
                <w:bCs/>
                <w:i w:val="0"/>
                <w:iCs w:val="0"/>
                <w:color w:val="auto"/>
                <w:kern w:val="0"/>
                <w:sz w:val="22"/>
                <w:szCs w:val="22"/>
                <w:highlight w:val="none"/>
                <w:u w:val="none"/>
                <w:lang w:val="en-US" w:eastAsia="zh-CN" w:bidi="ar"/>
              </w:rPr>
              <w:t>“</w:t>
            </w:r>
            <w:r>
              <w:rPr>
                <w:rFonts w:hint="default" w:ascii="Times New Roman" w:hAnsi="Times New Roman" w:eastAsia="宋体" w:cs="Times New Roman"/>
                <w:b/>
                <w:bCs/>
                <w:i w:val="0"/>
                <w:iCs w:val="0"/>
                <w:color w:val="auto"/>
                <w:kern w:val="0"/>
                <w:sz w:val="22"/>
                <w:szCs w:val="22"/>
                <w:highlight w:val="none"/>
                <w:u w:val="none"/>
                <w:lang w:val="en-US" w:eastAsia="zh-CN" w:bidi="ar"/>
              </w:rPr>
              <w:t>三公</w:t>
            </w:r>
            <w:r>
              <w:rPr>
                <w:rFonts w:hint="eastAsia" w:ascii="Times New Roman" w:hAnsi="Times New Roman" w:cs="Times New Roman"/>
                <w:b/>
                <w:bCs/>
                <w:i w:val="0"/>
                <w:iCs w:val="0"/>
                <w:color w:val="auto"/>
                <w:kern w:val="0"/>
                <w:sz w:val="22"/>
                <w:szCs w:val="22"/>
                <w:highlight w:val="none"/>
                <w:u w:val="none"/>
                <w:lang w:val="en-US" w:eastAsia="zh-CN" w:bidi="ar"/>
              </w:rPr>
              <w:t>”</w:t>
            </w:r>
            <w:r>
              <w:rPr>
                <w:rFonts w:hint="default" w:ascii="Times New Roman" w:hAnsi="Times New Roman" w:eastAsia="宋体" w:cs="Times New Roman"/>
                <w:b/>
                <w:bCs/>
                <w:i w:val="0"/>
                <w:iCs w:val="0"/>
                <w:color w:val="auto"/>
                <w:kern w:val="0"/>
                <w:sz w:val="22"/>
                <w:szCs w:val="22"/>
                <w:highlight w:val="none"/>
                <w:u w:val="none"/>
                <w:lang w:val="en-US" w:eastAsia="zh-CN" w:bidi="ar"/>
              </w:rPr>
              <w:t>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19,894.52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19,894.52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19,894.52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1</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highlight w:val="none"/>
                <w:u w:val="none"/>
              </w:rPr>
            </w:pPr>
            <w:r>
              <w:rPr>
                <w:rFonts w:hint="default" w:ascii="Times New Roman" w:hAnsi="Times New Roman" w:eastAsia="宋体" w:cs="Times New Roman"/>
                <w:b/>
                <w:bCs/>
                <w:i w:val="0"/>
                <w:iCs w:val="0"/>
                <w:color w:val="auto"/>
                <w:kern w:val="0"/>
                <w:sz w:val="22"/>
                <w:szCs w:val="22"/>
                <w:highlight w:val="none"/>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cs="Times New Roman"/>
                <w:color w:val="auto"/>
                <w:sz w:val="22"/>
                <w:szCs w:val="22"/>
                <w:highlight w:val="none"/>
              </w:rPr>
              <w:t>1,725.00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highlight w:val="none"/>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color w:val="auto"/>
                <w:kern w:val="2"/>
                <w:sz w:val="22"/>
                <w:szCs w:val="22"/>
                <w:highlight w:val="none"/>
                <w:u w:val="none"/>
                <w:lang w:val="en-US" w:eastAsia="zh-CN" w:bidi="ar-SA"/>
              </w:rPr>
            </w:pPr>
            <w:r>
              <w:rPr>
                <w:rFonts w:hint="default" w:ascii="Times New Roman" w:hAnsi="Times New Roman" w:eastAsia="宋体" w:cs="Times New Roman"/>
                <w:b/>
                <w:bCs/>
                <w:i w:val="0"/>
                <w:color w:val="auto"/>
                <w:kern w:val="0"/>
                <w:sz w:val="22"/>
                <w:szCs w:val="22"/>
                <w:highlight w:val="none"/>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auto"/>
                <w:kern w:val="2"/>
                <w:sz w:val="22"/>
                <w:szCs w:val="22"/>
                <w:highlight w:val="none"/>
                <w:u w:val="none"/>
                <w:lang w:val="en-US" w:eastAsia="zh-CN" w:bidi="ar-SA"/>
              </w:rPr>
            </w:pPr>
            <w:r>
              <w:rPr>
                <w:rFonts w:hint="default" w:ascii="Times New Roman" w:hAnsi="Times New Roman" w:eastAsia="宋体" w:cs="Times New Roman"/>
                <w:b/>
                <w:bCs/>
                <w:i w:val="0"/>
                <w:color w:val="auto"/>
                <w:kern w:val="0"/>
                <w:sz w:val="22"/>
                <w:szCs w:val="22"/>
                <w:highlight w:val="none"/>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highlight w:val="none"/>
                <w:u w:val="none"/>
                <w:lang w:val="en-US" w:eastAsia="zh-CN" w:bidi="ar-SA"/>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highlight w:val="none"/>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auto"/>
                <w:sz w:val="20"/>
                <w:szCs w:val="20"/>
                <w:highlight w:val="none"/>
                <w:u w:val="none"/>
              </w:rPr>
            </w:pPr>
          </w:p>
        </w:tc>
      </w:tr>
    </w:tbl>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highlight w:val="none"/>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highlight w:val="none"/>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highlight w:val="none"/>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highlight w:val="none"/>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highlight w:val="none"/>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highlight w:val="none"/>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highlight w:val="none"/>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highlight w:val="none"/>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highlight w:val="none"/>
          <w:lang w:bidi="ar"/>
        </w:rPr>
      </w:pPr>
    </w:p>
    <w:p>
      <w:pPr>
        <w:pStyle w:val="9"/>
        <w:keepNext w:val="0"/>
        <w:keepLines w:val="0"/>
        <w:pageBreakBefore w:val="0"/>
        <w:widowControl w:val="0"/>
        <w:kinsoku/>
        <w:overflowPunct/>
        <w:topLinePunct w:val="0"/>
        <w:autoSpaceDE w:val="0"/>
        <w:autoSpaceDN/>
        <w:bidi w:val="0"/>
        <w:adjustRightInd/>
        <w:ind w:firstLine="0" w:firstLineChars="0"/>
        <w:rPr>
          <w:rFonts w:hint="default" w:ascii="Times New Roman" w:hAnsi="Times New Roman" w:eastAsia="宋体" w:cs="Times New Roman"/>
          <w:color w:val="auto"/>
          <w:sz w:val="21"/>
          <w:szCs w:val="21"/>
          <w:highlight w:val="none"/>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gNVFTYAAAACgEAAA8AAAAAAAAAAQAgAAAAOAAAAGRycy9kb3ducmV2&#10;LnhtbFBLAQIUABQAAAAIAIdO4kB4diuyHwIAACYEAAAOAAAAAAAAAAEAIAAAAD0BAABkcnMvZTJv&#10;RG9jLnhtbFBLBQYAAAAABgAGAFkBAADO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625A6E"/>
    <w:rsid w:val="1CE157EE"/>
    <w:rsid w:val="1D014A01"/>
    <w:rsid w:val="1D022362"/>
    <w:rsid w:val="1DD26311"/>
    <w:rsid w:val="1EF67CA4"/>
    <w:rsid w:val="1F1D0B29"/>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EFF2547"/>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2D7865"/>
    <w:rsid w:val="7C3A7C0B"/>
    <w:rsid w:val="7C5248E4"/>
    <w:rsid w:val="7C566698"/>
    <w:rsid w:val="7FA960B8"/>
    <w:rsid w:val="CBDF7C34"/>
    <w:rsid w:val="FE9F84C4"/>
    <w:rsid w:val="FFDF7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10</TotalTime>
  <ScaleCrop>false</ScaleCrop>
  <LinksUpToDate>false</LinksUpToDate>
  <CharactersWithSpaces>21460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guest</cp:lastModifiedBy>
  <dcterms:modified xsi:type="dcterms:W3CDTF">2025-10-30T10:15:43Z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BB46EABDBB2749749395447164B066B3_12</vt:lpwstr>
  </property>
</Properties>
</file>