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firstLine="880" w:firstLineChars="200"/>
        <w:jc w:val="center"/>
        <w:textAlignment w:val="auto"/>
        <w:rPr>
          <w:rFonts w:hint="eastAsia" w:ascii="Times New Roman" w:hAnsi="Times New Roman" w:eastAsia="方正小标宋_GBK" w:cs="方正小标宋_GBK"/>
          <w:b w:val="0"/>
          <w:bCs w:val="0"/>
          <w:kern w:val="0"/>
          <w:sz w:val="44"/>
          <w:szCs w:val="44"/>
          <w:shd w:val="clear" w:color="auto" w:fill="FFFFFF"/>
        </w:rPr>
      </w:pPr>
    </w:p>
    <w:p>
      <w:pPr>
        <w:pStyle w:val="13"/>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firstLine="880" w:firstLineChars="200"/>
        <w:jc w:val="center"/>
        <w:textAlignment w:val="auto"/>
        <w:rPr>
          <w:rFonts w:hint="eastAsia" w:ascii="Times New Roman" w:hAnsi="Times New Roman" w:eastAsia="方正小标宋_GBK" w:cs="方正小标宋_GBK"/>
          <w:b w:val="0"/>
          <w:bCs w:val="0"/>
          <w:kern w:val="0"/>
          <w:sz w:val="44"/>
          <w:szCs w:val="44"/>
        </w:rPr>
      </w:pPr>
      <w:r>
        <w:rPr>
          <w:rFonts w:hint="eastAsia" w:ascii="Times New Roman" w:hAnsi="Times New Roman" w:eastAsia="方正小标宋_GBK" w:cs="方正小标宋_GBK"/>
          <w:b w:val="0"/>
          <w:bCs w:val="0"/>
          <w:kern w:val="0"/>
          <w:sz w:val="44"/>
          <w:szCs w:val="44"/>
          <w:shd w:val="clear" w:color="auto" w:fill="FFFFFF"/>
        </w:rPr>
        <w:t>中共重庆市綦江区委组织部（本级）</w:t>
      </w:r>
    </w:p>
    <w:p>
      <w:pPr>
        <w:pStyle w:val="13"/>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firstLine="880" w:firstLineChars="200"/>
        <w:jc w:val="center"/>
        <w:textAlignment w:val="auto"/>
        <w:rPr>
          <w:rFonts w:hint="eastAsia" w:ascii="Times New Roman" w:hAnsi="Times New Roman" w:eastAsia="方正小标宋_GBK" w:cs="方正小标宋_GBK"/>
          <w:b w:val="0"/>
          <w:bCs w:val="0"/>
          <w:kern w:val="0"/>
          <w:sz w:val="44"/>
          <w:szCs w:val="44"/>
        </w:rPr>
      </w:pPr>
      <w:r>
        <w:rPr>
          <w:rFonts w:hint="eastAsia" w:ascii="Times New Roman" w:hAnsi="Times New Roman" w:eastAsia="方正仿宋_GBK" w:cs="方正仿宋_GBK"/>
          <w:b w:val="0"/>
          <w:bCs w:val="0"/>
          <w:kern w:val="0"/>
          <w:sz w:val="44"/>
          <w:szCs w:val="44"/>
          <w:shd w:val="clear" w:color="auto" w:fill="FFFFFF"/>
        </w:rPr>
        <w:t>202</w:t>
      </w:r>
      <w:r>
        <w:rPr>
          <w:rFonts w:hint="eastAsia" w:ascii="Times New Roman" w:hAnsi="Times New Roman" w:eastAsia="方正仿宋_GBK" w:cs="方正仿宋_GBK"/>
          <w:b w:val="0"/>
          <w:bCs w:val="0"/>
          <w:kern w:val="0"/>
          <w:sz w:val="44"/>
          <w:szCs w:val="44"/>
          <w:shd w:val="clear" w:color="auto" w:fill="FFFFFF"/>
          <w:lang w:val="en-US" w:eastAsia="zh-CN"/>
        </w:rPr>
        <w:t>4</w:t>
      </w:r>
      <w:r>
        <w:rPr>
          <w:rFonts w:hint="eastAsia" w:ascii="Times New Roman" w:hAnsi="Times New Roman" w:eastAsia="方正小标宋_GBK" w:cs="方正小标宋_GBK"/>
          <w:b w:val="0"/>
          <w:bCs w:val="0"/>
          <w:kern w:val="0"/>
          <w:sz w:val="44"/>
          <w:szCs w:val="44"/>
          <w:shd w:val="clear" w:color="auto" w:fill="FFFFFF"/>
        </w:rPr>
        <w:t>年度决算</w:t>
      </w:r>
      <w:r>
        <w:rPr>
          <w:rFonts w:hint="eastAsia" w:ascii="Times New Roman" w:hAnsi="Times New Roman" w:eastAsia="方正小标宋_GBK" w:cs="方正小标宋_GBK"/>
          <w:b w:val="0"/>
          <w:bCs w:val="0"/>
          <w:kern w:val="0"/>
          <w:sz w:val="44"/>
          <w:szCs w:val="44"/>
          <w:shd w:val="clear" w:color="auto" w:fill="FFFFFF"/>
          <w:lang w:eastAsia="zh-CN"/>
        </w:rPr>
        <w:t>公开</w:t>
      </w:r>
      <w:r>
        <w:rPr>
          <w:rFonts w:hint="eastAsia" w:ascii="Times New Roman" w:hAnsi="Times New Roman" w:eastAsia="方正小标宋_GBK" w:cs="方正小标宋_GBK"/>
          <w:b w:val="0"/>
          <w:bCs w:val="0"/>
          <w:kern w:val="0"/>
          <w:sz w:val="44"/>
          <w:szCs w:val="44"/>
          <w:shd w:val="clear" w:color="auto" w:fill="FFFFFF"/>
        </w:rPr>
        <w:t>说明</w:t>
      </w:r>
    </w:p>
    <w:p>
      <w:pPr>
        <w:pStyle w:val="13"/>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firstLine="643" w:firstLineChars="200"/>
        <w:jc w:val="both"/>
        <w:textAlignment w:val="auto"/>
        <w:rPr>
          <w:rStyle w:val="17"/>
          <w:rFonts w:hint="eastAsia" w:ascii="Times New Roman" w:hAnsi="Times New Roman" w:eastAsia="方正仿宋_GBK" w:cs="方正仿宋_GBK"/>
          <w:b/>
          <w:sz w:val="32"/>
          <w:szCs w:val="32"/>
          <w:shd w:val="clear" w:color="auto" w:fill="FFFFFF"/>
        </w:rPr>
      </w:pPr>
    </w:p>
    <w:p>
      <w:pPr>
        <w:pStyle w:val="13"/>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方正黑体_GBK" w:cs="方正黑体_GBK"/>
          <w:b w:val="0"/>
          <w:bCs/>
          <w:kern w:val="0"/>
          <w:sz w:val="32"/>
          <w:szCs w:val="32"/>
        </w:rPr>
      </w:pPr>
      <w:r>
        <w:rPr>
          <w:rStyle w:val="17"/>
          <w:rFonts w:hint="eastAsia" w:ascii="Times New Roman" w:hAnsi="Times New Roman" w:eastAsia="方正黑体_GBK" w:cs="方正黑体_GBK"/>
          <w:b w:val="0"/>
          <w:bCs/>
          <w:sz w:val="32"/>
          <w:szCs w:val="32"/>
          <w:shd w:val="clear" w:color="auto" w:fill="FFFFFF"/>
        </w:rPr>
        <w:t>一、部门基本情况</w:t>
      </w:r>
    </w:p>
    <w:p>
      <w:pPr>
        <w:pStyle w:val="18"/>
        <w:keepNext w:val="0"/>
        <w:keepLines w:val="0"/>
        <w:pageBreakBefore w:val="0"/>
        <w:widowControl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（一）职能职责</w:t>
      </w:r>
    </w:p>
    <w:p>
      <w:pPr>
        <w:pStyle w:val="18"/>
        <w:keepNext w:val="0"/>
        <w:keepLines w:val="0"/>
        <w:pageBreakBefore w:val="0"/>
        <w:widowControl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按照綦编〔2012〕217号文件规定，区委组织部主要职能职责有：</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贯彻执行党的组织工作路线、方针、政策和区委的决议、指示，按照市委组织部和区委的要求，制定、实施全区党的建设工作意见，指导全区基层党组织建设；负责研究制定全区基层单位党组织的设置和建设工作的有关政策，并组织实施；负责镇街党（工）委和区委直接管理的党组织的换届审批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负责制定全区各级党组织领导班子的思想、组织、作风、制度、反腐倡廉建设意见，并进行贯彻落实和督促、检查；会同区纪委安排、指导、检查区管领导班子民主生活会。</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研究制定全区党员队伍建设规划和有关政策，做好党员审批工作，指导、协调、检查全区党员教育、管理、发展工作；负责党的建设的理论研究；受区委委托承办全区党费的收缴、管理、使用工作。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中央和市委关于干部队伍建设的方针、政策，研究制定全区各级领导班子和干部队伍建设的意见和规划，并组织实施；负责制定培养选拔中青年干部和妇女干部、少数民族干部、后备干部队伍建设的意见和规划，并组织实施；负责会同区委统战部制定和实施培养选拔党外干部队伍建设的意见和规划。</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负责向区委提出全区各部委办局、镇街领导干部以及其他由区委管理的领导班子的调整、配备意见和建议；负责区管干部的考察和办理任免审批手续。</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按照市委组织部和区委对于干部工作的总体要求，负责对全区干部管理监督工作提出意见，并组织实施，指导、督促、检查全区各级党组（党委）贯彻执行《党政领导干部选拔任用工作条例》及相关政策的落实情况。</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协助市委组织部开展市管干部的考察、办理任免和退（离）休的上报材料及手续；配合市级有关部门考察市属驻区单位的领导班子，并对领导班子调整和领导干部任免提出意见和建议。</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牵头制定组织、干部、人事工作的重要政策和制度，研究指导全区干部人事制度改革，并负责实施干部选拔任用制度改革工作。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主管全区干部教育培训工作；制定全区干部教育培训规划和有关政策规定，并组织实施；指导区委党校的干部培训工作；协助市委组织部做好领导干部到中央党校、市委党校和其他各类干部培训班的学习、进修有关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对全区人才工作的指导、协调和宏观管理；研究制定人才工作的重要政策、规定；负责对全区贯彻执行人才政策情况进行调查研究，并提出指导意见；参与全区优秀专家和科技拔尖人才的选拔管理和联系工作；负责建立和完善区人才信息库；承担区人才工作领导小组办公室日常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负责区党代会、人代会、政协会的有关组织工作和人事安排的准备工作。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承办区管干部的任免工作；牵头研究非领导职务管理工作，负责办理处级非领导职务及其他享受处级待遇的干部的任免；办理区级党群、人大、政协、法院、检察院科级非领导职务的任免；牵头承办区组织人事联席会，办理区级党群、人大、政协、法院、检察院一般干部的调配、安置等相关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指导、检查全区组织、人事、政工干部队伍自身建设。</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全区组织、干部信息管理工作，统筹、指导、协调全区组织系统办公自动化建设；负责全区党建信息网站维护及日常管理工作；负责全区党员、党组织信息库和干部信息管理系统的建立、管理工作；负责全区党员电化教育工作，指导全区电教播放（站）点建设，健全和完善全区电教网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承办区委党建领导小组办公室、区党代表联络办公室和区干部考核委员会办公室日常工作。</w:t>
      </w:r>
    </w:p>
    <w:p>
      <w:pPr>
        <w:pStyle w:val="18"/>
        <w:keepNext w:val="0"/>
        <w:keepLines w:val="0"/>
        <w:pageBreakBefore w:val="0"/>
        <w:widowControl w:val="0"/>
        <w:numPr>
          <w:ilvl w:val="0"/>
          <w:numId w:val="1"/>
        </w:numPr>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管理区委非公工委工作。</w:t>
      </w:r>
    </w:p>
    <w:p>
      <w:pPr>
        <w:pStyle w:val="18"/>
        <w:keepNext w:val="0"/>
        <w:keepLines w:val="0"/>
        <w:pageBreakBefore w:val="0"/>
        <w:widowControl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17.</w:t>
      </w:r>
      <w:r>
        <w:rPr>
          <w:rFonts w:hint="eastAsia" w:ascii="Times New Roman" w:hAnsi="Times New Roman" w:eastAsia="方正仿宋_GBK" w:cs="方正仿宋_GBK"/>
          <w:kern w:val="0"/>
          <w:sz w:val="32"/>
          <w:szCs w:val="32"/>
          <w:lang w:val="en-US" w:eastAsia="zh-CN"/>
        </w:rPr>
        <w:t xml:space="preserve"> </w:t>
      </w:r>
      <w:r>
        <w:rPr>
          <w:rFonts w:hint="eastAsia" w:ascii="Times New Roman" w:hAnsi="Times New Roman" w:eastAsia="方正仿宋_GBK" w:cs="方正仿宋_GBK"/>
          <w:kern w:val="0"/>
          <w:sz w:val="32"/>
          <w:szCs w:val="32"/>
        </w:rPr>
        <w:t>负责对全区老干部工作的宏观管理，参与制定老干部工作的有关政策。</w:t>
      </w:r>
    </w:p>
    <w:p>
      <w:pPr>
        <w:pStyle w:val="18"/>
        <w:keepNext w:val="0"/>
        <w:keepLines w:val="0"/>
        <w:pageBreakBefore w:val="0"/>
        <w:widowControl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18.</w:t>
      </w:r>
      <w:r>
        <w:rPr>
          <w:rFonts w:hint="eastAsia" w:ascii="Times New Roman" w:hAnsi="Times New Roman" w:eastAsia="方正仿宋_GBK" w:cs="方正仿宋_GBK"/>
          <w:kern w:val="0"/>
          <w:sz w:val="32"/>
          <w:szCs w:val="32"/>
          <w:lang w:val="en-US" w:eastAsia="zh-CN"/>
        </w:rPr>
        <w:t xml:space="preserve"> </w:t>
      </w:r>
      <w:r>
        <w:rPr>
          <w:rFonts w:hint="eastAsia" w:ascii="Times New Roman" w:hAnsi="Times New Roman" w:eastAsia="方正仿宋_GBK" w:cs="方正仿宋_GBK"/>
          <w:kern w:val="0"/>
          <w:sz w:val="32"/>
          <w:szCs w:val="32"/>
        </w:rPr>
        <w:t>完成区委和市委组织部、市委非公工委交办的其他工作。</w:t>
      </w:r>
    </w:p>
    <w:p>
      <w:pPr>
        <w:keepNext w:val="0"/>
        <w:keepLines w:val="0"/>
        <w:pageBreakBefore w:val="0"/>
        <w:widowControl w:val="0"/>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按照《中共重庆市綦江区委办公室关于调整中共重庆市綦江区委组织部职能配置、内设机构和人员编制的通知》（綦江委办发﹝2019﹞4号）文件精神，中共重庆市綦江区委组织部作为区委主管组织工作、干部工作和人才工作的职能部门，增加或加强以下职责：</w:t>
      </w:r>
    </w:p>
    <w:p>
      <w:pPr>
        <w:keepNext w:val="0"/>
        <w:keepLines w:val="0"/>
        <w:pageBreakBefore w:val="0"/>
        <w:widowControl w:val="0"/>
        <w:numPr>
          <w:ilvl w:val="0"/>
          <w:numId w:val="2"/>
        </w:numPr>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统一管理公务员工作，对外加挂区公务员局牌子。调整后，区委组织部统筹管理全区公务员录用调配、考核奖惩、培训和工资福利等事务，贯彻落实公务员管理政策和法律法规，指导全区公务员队伍建设和绩效管理，负责全区公务员管理对外交流活动等。</w:t>
      </w:r>
    </w:p>
    <w:p>
      <w:pPr>
        <w:keepNext w:val="0"/>
        <w:keepLines w:val="0"/>
        <w:pageBreakBefore w:val="0"/>
        <w:widowControl w:val="0"/>
        <w:numPr>
          <w:ilvl w:val="0"/>
          <w:numId w:val="2"/>
        </w:numPr>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加强领导班子和领导干部队伍特别是优秀年轻干部队伍建设职责。</w:t>
      </w:r>
    </w:p>
    <w:p>
      <w:pPr>
        <w:keepNext w:val="0"/>
        <w:keepLines w:val="0"/>
        <w:pageBreakBefore w:val="0"/>
        <w:widowControl w:val="0"/>
        <w:numPr>
          <w:ilvl w:val="0"/>
          <w:numId w:val="2"/>
        </w:numPr>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负责区委非公有制经济组织和社会组织党的建设工作，区委非公有制经济组织和社会组织工作委员会与区委组织部合署办公。</w:t>
      </w:r>
    </w:p>
    <w:p>
      <w:pPr>
        <w:keepNext w:val="0"/>
        <w:keepLines w:val="0"/>
        <w:pageBreakBefore w:val="0"/>
        <w:widowControl w:val="0"/>
        <w:numPr>
          <w:ilvl w:val="0"/>
          <w:numId w:val="2"/>
        </w:numPr>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统一管理区委机构编制委员会办公室、区委老干部局。</w:t>
      </w:r>
    </w:p>
    <w:p>
      <w:pPr>
        <w:keepNext w:val="0"/>
        <w:keepLines w:val="0"/>
        <w:pageBreakBefore w:val="0"/>
        <w:widowControl w:val="0"/>
        <w:numPr>
          <w:ilvl w:val="0"/>
          <w:numId w:val="2"/>
        </w:numPr>
        <w:suppressLineNumbers w:val="0"/>
        <w:kinsoku/>
        <w:wordWrap/>
        <w:overflowPunct/>
        <w:topLinePunct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负责部机关、直属事业单位党的建设工作。</w:t>
      </w:r>
    </w:p>
    <w:p>
      <w:pPr>
        <w:keepNext w:val="0"/>
        <w:keepLines w:val="0"/>
        <w:pageBreakBefore w:val="0"/>
        <w:widowControl w:val="0"/>
        <w:numPr>
          <w:numId w:val="0"/>
        </w:numPr>
        <w:suppressLineNumbers w:val="0"/>
        <w:kinsoku/>
        <w:wordWrap/>
        <w:overflowPunct/>
        <w:topLinePunct w:val="0"/>
        <w:autoSpaceDN/>
        <w:bidi w:val="0"/>
        <w:adjustRightInd/>
        <w:snapToGrid/>
        <w:spacing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rPr>
        <w:t>按照《中共重庆市綦江区委</w:t>
      </w:r>
      <w:r>
        <w:rPr>
          <w:rFonts w:hint="eastAsia" w:ascii="Times New Roman" w:hAnsi="Times New Roman" w:eastAsia="方正仿宋_GBK" w:cs="方正仿宋_GBK"/>
          <w:kern w:val="0"/>
          <w:sz w:val="32"/>
          <w:szCs w:val="32"/>
          <w:lang w:eastAsia="zh-CN"/>
        </w:rPr>
        <w:t>机构编制委员会关于调整区委组织部职责机构编制</w:t>
      </w:r>
      <w:r>
        <w:rPr>
          <w:rFonts w:hint="eastAsia" w:ascii="Times New Roman" w:hAnsi="Times New Roman" w:eastAsia="方正仿宋_GBK" w:cs="方正仿宋_GBK"/>
          <w:kern w:val="0"/>
          <w:sz w:val="32"/>
          <w:szCs w:val="32"/>
        </w:rPr>
        <w:t>的通知》（綦委</w:t>
      </w:r>
      <w:r>
        <w:rPr>
          <w:rFonts w:hint="eastAsia" w:ascii="Times New Roman" w:hAnsi="Times New Roman" w:eastAsia="方正仿宋_GBK" w:cs="方正仿宋_GBK"/>
          <w:kern w:val="0"/>
          <w:sz w:val="32"/>
          <w:szCs w:val="32"/>
          <w:lang w:eastAsia="zh-CN"/>
        </w:rPr>
        <w:t>编</w:t>
      </w:r>
      <w:r>
        <w:rPr>
          <w:rFonts w:hint="eastAsia" w:ascii="Times New Roman" w:hAnsi="Times New Roman" w:eastAsia="方正仿宋_GBK" w:cs="方正仿宋_GBK"/>
          <w:kern w:val="0"/>
          <w:sz w:val="32"/>
          <w:szCs w:val="32"/>
        </w:rPr>
        <w:t>﹝20</w:t>
      </w:r>
      <w:r>
        <w:rPr>
          <w:rFonts w:hint="eastAsia" w:ascii="Times New Roman" w:hAnsi="Times New Roman" w:eastAsia="方正仿宋_GBK" w:cs="方正仿宋_GBK"/>
          <w:kern w:val="0"/>
          <w:sz w:val="32"/>
          <w:szCs w:val="32"/>
          <w:lang w:val="en-US" w:eastAsia="zh-CN"/>
        </w:rPr>
        <w:t>24</w:t>
      </w: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kern w:val="0"/>
          <w:sz w:val="32"/>
          <w:szCs w:val="32"/>
          <w:lang w:val="en-US" w:eastAsia="zh-CN"/>
        </w:rPr>
        <w:t>30</w:t>
      </w:r>
      <w:r>
        <w:rPr>
          <w:rFonts w:hint="eastAsia" w:ascii="Times New Roman" w:hAnsi="Times New Roman" w:eastAsia="方正仿宋_GBK" w:cs="方正仿宋_GBK"/>
          <w:kern w:val="0"/>
          <w:sz w:val="32"/>
          <w:szCs w:val="32"/>
        </w:rPr>
        <w:t>号）文件精神，</w:t>
      </w:r>
      <w:r>
        <w:rPr>
          <w:rFonts w:hint="eastAsia" w:ascii="Times New Roman" w:hAnsi="Times New Roman" w:eastAsia="方正仿宋_GBK" w:cs="方正仿宋_GBK"/>
          <w:kern w:val="0"/>
          <w:sz w:val="32"/>
          <w:szCs w:val="32"/>
          <w:lang w:eastAsia="zh-CN"/>
        </w:rPr>
        <w:t>区委组织部职责调整如下：</w:t>
      </w:r>
    </w:p>
    <w:p>
      <w:pPr>
        <w:keepNext w:val="0"/>
        <w:keepLines w:val="0"/>
        <w:pageBreakBefore w:val="0"/>
        <w:widowControl w:val="0"/>
        <w:numPr>
          <w:numId w:val="0"/>
        </w:numPr>
        <w:suppressLineNumbers w:val="0"/>
        <w:kinsoku/>
        <w:wordWrap/>
        <w:overflowPunct/>
        <w:topLinePunct w:val="0"/>
        <w:autoSpaceDN/>
        <w:bidi w:val="0"/>
        <w:adjustRightInd/>
        <w:snapToGrid/>
        <w:spacing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lang w:eastAsia="zh-CN"/>
        </w:rPr>
        <w:t>将区委组织部的负责全区非公有制经济组织和社会组织党的建设工作的政策制定、综合协调、检查指导，统一领导全区社会组织党建工作，管理部分社会组织党建工作，协调指导各镇街和有关部门抓好非公有制经济组织和社会组织党的建设工作等职责，划入区委社会工作部。</w:t>
      </w:r>
    </w:p>
    <w:p>
      <w:pPr>
        <w:pStyle w:val="2"/>
        <w:keepNext w:val="0"/>
        <w:keepLines w:val="0"/>
        <w:pageBreakBefore w:val="0"/>
        <w:widowControl w:val="0"/>
        <w:suppressLineNumbers w:val="0"/>
        <w:kinsoku/>
        <w:wordWrap/>
        <w:overflowPunct/>
        <w:topLinePunct w:val="0"/>
        <w:autoSpaceDE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楷体_GBK" w:cs="方正楷体_GBK"/>
          <w:kern w:val="0"/>
          <w:sz w:val="32"/>
          <w:szCs w:val="32"/>
          <w:lang w:val="en-US" w:eastAsia="zh-CN" w:bidi="ar"/>
        </w:rPr>
      </w:pPr>
      <w:r>
        <w:rPr>
          <w:rFonts w:hint="eastAsia" w:ascii="Times New Roman" w:hAnsi="Times New Roman" w:eastAsia="方正楷体_GBK" w:cs="方正楷体_GBK"/>
          <w:kern w:val="0"/>
          <w:sz w:val="32"/>
          <w:szCs w:val="32"/>
          <w:lang w:val="en-US" w:eastAsia="zh-CN" w:bidi="ar"/>
        </w:rPr>
        <w:t>（二）机构设置</w:t>
      </w:r>
    </w:p>
    <w:p>
      <w:pPr>
        <w:pStyle w:val="19"/>
        <w:keepNext w:val="0"/>
        <w:keepLines w:val="0"/>
        <w:pageBreakBefore w:val="0"/>
        <w:widowControl w:val="0"/>
        <w:numPr>
          <w:ilvl w:val="0"/>
          <w:numId w:val="0"/>
        </w:numPr>
        <w:suppressLineNumbers w:val="0"/>
        <w:kinsoku/>
        <w:wordWrap/>
        <w:overflowPunct/>
        <w:topLinePunct w:val="0"/>
        <w:autoSpaceDE w:val="0"/>
        <w:autoSpaceDN/>
        <w:bidi w:val="0"/>
        <w:adjustRightInd/>
        <w:snapToGrid/>
        <w:spacing w:after="0" w:afterAutospacing="0" w:line="600" w:lineRule="exact"/>
        <w:ind w:right="0" w:righ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b w:val="0"/>
          <w:bCs w:val="0"/>
          <w:sz w:val="32"/>
          <w:szCs w:val="32"/>
          <w:lang w:val="en-US" w:eastAsia="zh-CN"/>
        </w:rPr>
        <w:t>根据职能职责，区委组织部</w:t>
      </w:r>
      <w:r>
        <w:rPr>
          <w:rFonts w:hint="eastAsia" w:ascii="Times New Roman" w:hAnsi="Times New Roman" w:eastAsia="方正仿宋_GBK" w:cs="方正仿宋_GBK"/>
          <w:kern w:val="0"/>
          <w:sz w:val="32"/>
          <w:szCs w:val="32"/>
        </w:rPr>
        <w:t>内设机构10个，分别是办公室（信息和保密工作办公室）、调研信息科、</w:t>
      </w:r>
      <w:r>
        <w:rPr>
          <w:rFonts w:hint="eastAsia" w:ascii="Times New Roman" w:hAnsi="Times New Roman" w:eastAsia="方正仿宋_GBK" w:cs="方正仿宋_GBK"/>
          <w:kern w:val="0"/>
          <w:sz w:val="32"/>
          <w:szCs w:val="32"/>
          <w:lang w:eastAsia="zh-CN"/>
        </w:rPr>
        <w:t>组织一科、组织二科、</w:t>
      </w:r>
      <w:r>
        <w:rPr>
          <w:rFonts w:hint="eastAsia" w:ascii="Times New Roman" w:hAnsi="Times New Roman" w:eastAsia="方正仿宋_GBK" w:cs="方正仿宋_GBK"/>
          <w:kern w:val="0"/>
          <w:sz w:val="32"/>
          <w:szCs w:val="32"/>
        </w:rPr>
        <w:t>干部科（干部队伍建设规划办公室）、公务员科、</w:t>
      </w:r>
      <w:r>
        <w:rPr>
          <w:rFonts w:hint="eastAsia" w:ascii="Times New Roman" w:hAnsi="Times New Roman" w:eastAsia="方正仿宋_GBK" w:cs="方正仿宋_GBK"/>
          <w:kern w:val="0"/>
          <w:sz w:val="32"/>
          <w:szCs w:val="32"/>
          <w:lang w:eastAsia="zh-CN"/>
        </w:rPr>
        <w:t>人才工作科、</w:t>
      </w:r>
      <w:r>
        <w:rPr>
          <w:rFonts w:hint="eastAsia" w:ascii="Times New Roman" w:hAnsi="Times New Roman" w:eastAsia="方正仿宋_GBK" w:cs="方正仿宋_GBK"/>
          <w:kern w:val="0"/>
          <w:sz w:val="32"/>
          <w:szCs w:val="32"/>
        </w:rPr>
        <w:t>干部教育科、干部监督科（巡察工作联络办公室）、</w:t>
      </w:r>
      <w:r>
        <w:rPr>
          <w:rFonts w:hint="eastAsia" w:ascii="Times New Roman" w:hAnsi="Times New Roman" w:eastAsia="方正仿宋_GBK" w:cs="方正仿宋_GBK"/>
          <w:kern w:val="0"/>
          <w:sz w:val="32"/>
          <w:szCs w:val="32"/>
          <w:lang w:eastAsia="zh-CN"/>
        </w:rPr>
        <w:t>干部</w:t>
      </w:r>
      <w:r>
        <w:rPr>
          <w:rFonts w:hint="eastAsia" w:ascii="Times New Roman" w:hAnsi="Times New Roman" w:eastAsia="方正仿宋_GBK" w:cs="方正仿宋_GBK"/>
          <w:kern w:val="0"/>
          <w:sz w:val="32"/>
          <w:szCs w:val="32"/>
        </w:rPr>
        <w:t>考核科。区委组织部行政编制23名；</w:t>
      </w:r>
      <w:bookmarkStart w:id="0" w:name="_GoBack"/>
      <w:bookmarkEnd w:id="0"/>
      <w:r>
        <w:rPr>
          <w:rFonts w:hint="eastAsia" w:ascii="Times New Roman" w:hAnsi="Times New Roman" w:eastAsia="方正仿宋_GBK" w:cs="方正仿宋_GBK"/>
          <w:kern w:val="0"/>
          <w:sz w:val="32"/>
          <w:szCs w:val="32"/>
        </w:rPr>
        <w:t>机关后勤服务人员事业编制2名</w:t>
      </w:r>
      <w:r>
        <w:rPr>
          <w:rFonts w:hint="eastAsia" w:ascii="Times New Roman" w:hAnsi="Times New Roman" w:eastAsia="方正仿宋_GBK" w:cs="方正仿宋_GBK"/>
          <w:kern w:val="0"/>
          <w:sz w:val="32"/>
          <w:szCs w:val="32"/>
          <w:lang w:eastAsia="zh-CN"/>
        </w:rPr>
        <w:t>（空一收一）</w:t>
      </w:r>
      <w:r>
        <w:rPr>
          <w:rFonts w:hint="eastAsia" w:ascii="Times New Roman" w:hAnsi="Times New Roman" w:eastAsia="方正仿宋_GBK" w:cs="方正仿宋_GBK"/>
          <w:kern w:val="0"/>
          <w:sz w:val="32"/>
          <w:szCs w:val="32"/>
        </w:rPr>
        <w:t>，设部长1名（由区委常委兼任）；副部长</w:t>
      </w:r>
      <w:r>
        <w:rPr>
          <w:rFonts w:hint="eastAsia" w:ascii="Times New Roman" w:hAnsi="Times New Roman" w:eastAsia="方正仿宋_GBK" w:cs="方正仿宋_GBK"/>
          <w:kern w:val="0"/>
          <w:sz w:val="32"/>
          <w:szCs w:val="32"/>
          <w:lang w:val="en-US" w:eastAsia="zh-CN"/>
        </w:rPr>
        <w:t>3</w:t>
      </w:r>
      <w:r>
        <w:rPr>
          <w:rFonts w:hint="eastAsia" w:ascii="Times New Roman" w:hAnsi="Times New Roman" w:eastAsia="方正仿宋_GBK" w:cs="方正仿宋_GBK"/>
          <w:kern w:val="0"/>
          <w:sz w:val="32"/>
          <w:szCs w:val="32"/>
        </w:rPr>
        <w:t>名（</w:t>
      </w:r>
      <w:r>
        <w:rPr>
          <w:rFonts w:hint="eastAsia" w:ascii="Times New Roman" w:hAnsi="Times New Roman" w:eastAsia="方正仿宋_GBK" w:cs="方正仿宋_GBK"/>
          <w:kern w:val="0"/>
          <w:sz w:val="32"/>
          <w:szCs w:val="32"/>
          <w:lang w:eastAsia="zh-CN"/>
        </w:rPr>
        <w:t>其中</w:t>
      </w:r>
      <w:r>
        <w:rPr>
          <w:rFonts w:hint="eastAsia" w:ascii="Times New Roman" w:hAnsi="Times New Roman" w:eastAsia="方正仿宋_GBK" w:cs="方正仿宋_GBK"/>
          <w:kern w:val="0"/>
          <w:sz w:val="32"/>
          <w:szCs w:val="32"/>
          <w:lang w:val="en-US" w:eastAsia="zh-CN"/>
        </w:rPr>
        <w:t>1名负责主持日常工作、正处级，1名兼区公务员局局长，不含其他兼职）</w:t>
      </w:r>
      <w:r>
        <w:rPr>
          <w:rFonts w:hint="eastAsia" w:ascii="Times New Roman" w:hAnsi="Times New Roman" w:eastAsia="方正仿宋_GBK" w:cs="方正仿宋_GBK"/>
          <w:kern w:val="0"/>
          <w:sz w:val="32"/>
          <w:szCs w:val="32"/>
        </w:rPr>
        <w:t>不含其他兼职）；</w:t>
      </w:r>
      <w:r>
        <w:rPr>
          <w:rFonts w:hint="eastAsia" w:ascii="Times New Roman" w:hAnsi="Times New Roman" w:eastAsia="方正仿宋_GBK" w:cs="方正仿宋_GBK"/>
          <w:kern w:val="0"/>
          <w:sz w:val="32"/>
          <w:szCs w:val="32"/>
          <w:lang w:eastAsia="zh-CN"/>
        </w:rPr>
        <w:t>部务委员配备按有关规定办理</w:t>
      </w:r>
      <w:r>
        <w:rPr>
          <w:rFonts w:hint="eastAsia" w:ascii="Times New Roman" w:hAnsi="Times New Roman" w:eastAsia="方正仿宋_GBK" w:cs="方正仿宋_GBK"/>
          <w:kern w:val="0"/>
          <w:sz w:val="32"/>
          <w:szCs w:val="32"/>
        </w:rPr>
        <w:t>。内设机构科级领导职数1</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名，其中：科级正职10名、科级副职</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名。</w:t>
      </w:r>
    </w:p>
    <w:p>
      <w:pPr>
        <w:pStyle w:val="19"/>
        <w:keepNext w:val="0"/>
        <w:keepLines w:val="0"/>
        <w:pageBreakBefore w:val="0"/>
        <w:widowControl w:val="0"/>
        <w:numPr>
          <w:ilvl w:val="0"/>
          <w:numId w:val="3"/>
        </w:numPr>
        <w:suppressLineNumbers w:val="0"/>
        <w:kinsoku/>
        <w:wordWrap/>
        <w:overflowPunct/>
        <w:topLinePunct w:val="0"/>
        <w:autoSpaceDE w:val="0"/>
        <w:autoSpaceDN/>
        <w:bidi w:val="0"/>
        <w:adjustRightInd/>
        <w:snapToGrid/>
        <w:spacing w:after="0" w:afterAutospacing="0" w:line="600" w:lineRule="exact"/>
        <w:ind w:left="0" w:leftChars="0" w:firstLine="640" w:firstLineChars="200"/>
        <w:jc w:val="both"/>
        <w:textAlignment w:val="auto"/>
        <w:rPr>
          <w:rFonts w:hint="eastAsia" w:ascii="Times New Roman" w:hAnsi="Times New Roman" w:eastAsia="方正楷体_GBK" w:cs="方正楷体_GBK"/>
          <w:kern w:val="0"/>
          <w:sz w:val="32"/>
          <w:szCs w:val="32"/>
          <w:lang w:val="en-US" w:eastAsia="zh-CN" w:bidi="ar"/>
        </w:rPr>
      </w:pPr>
      <w:r>
        <w:rPr>
          <w:rFonts w:hint="eastAsia" w:ascii="Times New Roman" w:hAnsi="Times New Roman" w:eastAsia="方正楷体_GBK" w:cs="方正楷体_GBK"/>
          <w:kern w:val="0"/>
          <w:sz w:val="32"/>
          <w:szCs w:val="32"/>
          <w:lang w:val="en-US" w:eastAsia="zh-CN" w:bidi="ar"/>
        </w:rPr>
        <w:t>单位构成</w:t>
      </w:r>
    </w:p>
    <w:p>
      <w:pPr>
        <w:pStyle w:val="19"/>
        <w:keepNext w:val="0"/>
        <w:keepLines w:val="0"/>
        <w:pageBreakBefore w:val="0"/>
        <w:widowControl w:val="0"/>
        <w:numPr>
          <w:ilvl w:val="0"/>
          <w:numId w:val="0"/>
        </w:numPr>
        <w:suppressLineNumbers w:val="0"/>
        <w:kinsoku/>
        <w:wordWrap/>
        <w:overflowPunct/>
        <w:topLinePunct w:val="0"/>
        <w:autoSpaceDE w:val="0"/>
        <w:autoSpaceDN/>
        <w:bidi w:val="0"/>
        <w:adjustRightInd/>
        <w:snapToGrid/>
        <w:spacing w:after="0" w:afterAutospacing="0" w:line="600" w:lineRule="exact"/>
        <w:ind w:right="0" w:rightChars="0" w:firstLine="640" w:firstLineChars="200"/>
        <w:jc w:val="both"/>
        <w:textAlignment w:val="auto"/>
        <w:rPr>
          <w:rFonts w:hint="eastAsia" w:ascii="Times New Roman" w:hAnsi="Times New Roman" w:eastAsia="方正楷体_GBK" w:cs="方正楷体_GBK"/>
          <w:kern w:val="0"/>
          <w:sz w:val="32"/>
          <w:szCs w:val="32"/>
          <w:lang w:val="en-US" w:eastAsia="zh-CN" w:bidi="ar"/>
        </w:rPr>
      </w:pPr>
      <w:r>
        <w:rPr>
          <w:rFonts w:hint="eastAsia" w:ascii="Times New Roman" w:hAnsi="Times New Roman" w:eastAsia="方正仿宋_GBK"/>
          <w:b w:val="0"/>
          <w:bCs w:val="0"/>
          <w:sz w:val="32"/>
          <w:szCs w:val="32"/>
        </w:rPr>
        <w:t>从预算单位构成看，纳入本</w:t>
      </w:r>
      <w:r>
        <w:rPr>
          <w:rFonts w:hint="eastAsia" w:ascii="Times New Roman" w:hAnsi="Times New Roman" w:eastAsia="方正仿宋_GBK"/>
          <w:b w:val="0"/>
          <w:bCs w:val="0"/>
          <w:sz w:val="32"/>
          <w:szCs w:val="32"/>
          <w:lang w:eastAsia="zh-CN"/>
        </w:rPr>
        <w:t>单位</w:t>
      </w:r>
      <w:r>
        <w:rPr>
          <w:rFonts w:hint="eastAsia" w:ascii="Times New Roman" w:hAnsi="Times New Roman" w:eastAsia="方正仿宋_GBK"/>
          <w:b w:val="0"/>
          <w:bCs w:val="0"/>
          <w:sz w:val="32"/>
          <w:szCs w:val="32"/>
        </w:rPr>
        <w:t>202</w:t>
      </w:r>
      <w:r>
        <w:rPr>
          <w:rFonts w:hint="eastAsia" w:ascii="Times New Roman" w:hAnsi="Times New Roman" w:eastAsia="方正仿宋_GBK"/>
          <w:b w:val="0"/>
          <w:bCs w:val="0"/>
          <w:sz w:val="32"/>
          <w:szCs w:val="32"/>
          <w:lang w:val="en-US" w:eastAsia="zh-CN"/>
        </w:rPr>
        <w:t>4</w:t>
      </w:r>
      <w:r>
        <w:rPr>
          <w:rFonts w:hint="eastAsia" w:ascii="Times New Roman" w:hAnsi="Times New Roman" w:eastAsia="方正仿宋_GBK"/>
          <w:b w:val="0"/>
          <w:bCs w:val="0"/>
          <w:sz w:val="32"/>
          <w:szCs w:val="32"/>
        </w:rPr>
        <w:t>年度决算编制的二级预算单位主要包括中共重庆市綦江区委</w:t>
      </w:r>
      <w:r>
        <w:rPr>
          <w:rFonts w:hint="eastAsia" w:ascii="Times New Roman" w:hAnsi="Times New Roman" w:eastAsia="方正仿宋_GBK"/>
          <w:b w:val="0"/>
          <w:bCs w:val="0"/>
          <w:sz w:val="32"/>
          <w:szCs w:val="32"/>
          <w:lang w:eastAsia="zh-CN"/>
        </w:rPr>
        <w:t>组织</w:t>
      </w:r>
      <w:r>
        <w:rPr>
          <w:rFonts w:hint="eastAsia" w:ascii="Times New Roman" w:hAnsi="Times New Roman" w:eastAsia="方正仿宋_GBK"/>
          <w:b w:val="0"/>
          <w:bCs w:val="0"/>
          <w:sz w:val="32"/>
          <w:szCs w:val="32"/>
        </w:rPr>
        <w:t>部（本级）。</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Times New Roman" w:hAnsi="Times New Roman" w:eastAsia="方正黑体_GBK" w:cs="方正黑体_GBK"/>
          <w:sz w:val="32"/>
          <w:szCs w:val="32"/>
        </w:rPr>
      </w:pPr>
      <w:r>
        <w:rPr>
          <w:rStyle w:val="20"/>
          <w:rFonts w:hint="eastAsia" w:ascii="Times New Roman" w:hAnsi="Times New Roman" w:eastAsia="方正黑体_GBK" w:cs="方正黑体_GBK"/>
          <w:b w:val="0"/>
          <w:sz w:val="32"/>
          <w:szCs w:val="32"/>
          <w:shd w:val="clear" w:color="auto" w:fill="FFFFFF"/>
        </w:rPr>
        <w:t>二、</w:t>
      </w:r>
      <w:r>
        <w:rPr>
          <w:rStyle w:val="20"/>
          <w:rFonts w:hint="eastAsia" w:ascii="Times New Roman" w:hAnsi="Times New Roman" w:eastAsia="方正黑体_GBK" w:cs="方正黑体_GBK"/>
          <w:b w:val="0"/>
          <w:sz w:val="32"/>
          <w:szCs w:val="32"/>
          <w:shd w:val="clear" w:color="auto" w:fill="FFFFFF"/>
          <w:lang w:eastAsia="zh-CN"/>
        </w:rPr>
        <w:t>单位</w:t>
      </w:r>
      <w:r>
        <w:rPr>
          <w:rStyle w:val="20"/>
          <w:rFonts w:hint="eastAsia" w:ascii="Times New Roman" w:hAnsi="Times New Roman" w:eastAsia="方正黑体_GBK" w:cs="方正黑体_GBK"/>
          <w:b w:val="0"/>
          <w:sz w:val="32"/>
          <w:szCs w:val="32"/>
          <w:shd w:val="clear" w:color="auto" w:fill="FFFFFF"/>
        </w:rPr>
        <w:t>决算情况说明</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1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outlineLvl w:val="9"/>
        <w:rPr>
          <w:rFonts w:hint="eastAsia" w:ascii="Times New Roman" w:hAnsi="Times New Roman" w:eastAsia="方正仿宋_GBK" w:cs="方正仿宋_GBK"/>
          <w:color w:val="auto"/>
          <w:sz w:val="32"/>
          <w:szCs w:val="32"/>
          <w:lang w:eastAsia="zh-CN"/>
        </w:rPr>
      </w:pPr>
      <w:r>
        <w:rPr>
          <w:rStyle w:val="9"/>
          <w:rFonts w:ascii="Times New Roman" w:hAnsi="Times New Roman" w:eastAsia="方正仿宋_GBK" w:cs="方正仿宋_GBK"/>
          <w:sz w:val="32"/>
          <w:szCs w:val="32"/>
          <w:shd w:val="clear" w:color="auto" w:fill="FFFFFF"/>
        </w:rPr>
        <w:t>1.</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总体情况。</w:t>
      </w:r>
      <w:r>
        <w:rPr>
          <w:rFonts w:hint="default" w:ascii="Times New Roman" w:hAnsi="Times New Roman" w:eastAsia="方正仿宋_GBK" w:cs="宋体"/>
          <w:b w:val="0"/>
          <w:bCs w:val="0"/>
          <w:kern w:val="0"/>
          <w:sz w:val="32"/>
          <w:szCs w:val="32"/>
          <w:lang w:val="en-US" w:eastAsia="zh-CN" w:bidi="ar"/>
        </w:rPr>
        <w:t>2024</w:t>
      </w:r>
      <w:r>
        <w:rPr>
          <w:rFonts w:hint="eastAsia" w:ascii="Times New Roman" w:hAnsi="Times New Roman" w:eastAsia="方正仿宋_GBK" w:cs="宋体"/>
          <w:b w:val="0"/>
          <w:bCs w:val="0"/>
          <w:kern w:val="0"/>
          <w:sz w:val="32"/>
          <w:szCs w:val="32"/>
          <w:lang w:val="en-US" w:eastAsia="zh-CN" w:bidi="ar"/>
        </w:rPr>
        <w:t>年度收、支总计均为</w:t>
      </w:r>
      <w:r>
        <w:rPr>
          <w:rFonts w:hint="default" w:ascii="Times New Roman" w:hAnsi="Times New Roman" w:eastAsia="方正仿宋_GBK" w:cs="宋体"/>
          <w:b w:val="0"/>
          <w:bCs w:val="0"/>
          <w:kern w:val="0"/>
          <w:sz w:val="32"/>
          <w:szCs w:val="32"/>
          <w:lang w:val="en-US" w:eastAsia="zh-CN" w:bidi="ar"/>
        </w:rPr>
        <w:t>1241.27</w:t>
      </w:r>
      <w:r>
        <w:rPr>
          <w:rFonts w:hint="eastAsia" w:ascii="Times New Roman" w:hAnsi="Times New Roman" w:eastAsia="方正仿宋_GBK" w:cs="宋体"/>
          <w:b w:val="0"/>
          <w:bCs w:val="0"/>
          <w:kern w:val="0"/>
          <w:sz w:val="32"/>
          <w:szCs w:val="32"/>
          <w:lang w:val="en-US" w:eastAsia="zh-CN" w:bidi="ar"/>
        </w:rPr>
        <w:t>万元。</w:t>
      </w:r>
      <w:r>
        <w:rPr>
          <w:rFonts w:hint="default" w:ascii="Times New Roman" w:hAnsi="Times New Roman" w:eastAsia="方正仿宋_GBK" w:cs="宋体"/>
          <w:b w:val="0"/>
          <w:bCs w:val="0"/>
          <w:kern w:val="0"/>
          <w:sz w:val="32"/>
          <w:szCs w:val="32"/>
          <w:lang w:val="en-US" w:eastAsia="zh-CN" w:bidi="ar"/>
        </w:rPr>
        <w:t>收、支与2023年度相比，减少181.62万元，下降12.8%</w:t>
      </w:r>
      <w:r>
        <w:rPr>
          <w:rFonts w:hint="eastAsia" w:ascii="Times New Roman" w:hAnsi="Times New Roman" w:eastAsia="方正仿宋_GBK" w:cs="宋体"/>
          <w:b w:val="0"/>
          <w:bCs w:val="0"/>
          <w:kern w:val="0"/>
          <w:sz w:val="32"/>
          <w:szCs w:val="32"/>
          <w:lang w:val="en-US" w:eastAsia="zh-CN" w:bidi="ar"/>
        </w:rPr>
        <w:t>，主</w:t>
      </w:r>
      <w:r>
        <w:rPr>
          <w:rFonts w:ascii="Times New Roman" w:hAnsi="Times New Roman" w:eastAsia="方正仿宋_GBK" w:cs="方正仿宋_GBK"/>
          <w:sz w:val="32"/>
          <w:szCs w:val="32"/>
          <w:shd w:val="clear" w:color="auto" w:fill="FFFFFF"/>
        </w:rPr>
        <w:t>要原因是</w:t>
      </w:r>
      <w:r>
        <w:rPr>
          <w:rFonts w:hint="eastAsia" w:ascii="Times New Roman" w:hAnsi="Times New Roman" w:eastAsia="方正仿宋_GBK" w:cs="方正仿宋_GBK"/>
          <w:sz w:val="32"/>
          <w:szCs w:val="32"/>
          <w:shd w:val="clear" w:color="auto" w:fill="FFFFFF"/>
          <w:lang w:eastAsia="zh-CN"/>
        </w:rPr>
        <w:t>人才等项目经费</w:t>
      </w:r>
      <w:r>
        <w:rPr>
          <w:rFonts w:hint="eastAsia" w:ascii="Times New Roman" w:hAnsi="Times New Roman" w:eastAsia="方正仿宋_GBK" w:cs="方正仿宋_GBK"/>
          <w:color w:val="auto"/>
          <w:sz w:val="32"/>
          <w:szCs w:val="32"/>
          <w:shd w:val="clear" w:color="auto" w:fill="FFFFFF"/>
          <w:lang w:eastAsia="zh-CN"/>
        </w:rPr>
        <w:t>减少。</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9"/>
          <w:rFonts w:ascii="Times New Roman" w:hAnsi="Times New Roman" w:eastAsia="方正仿宋_GBK" w:cs="方正仿宋_GBK"/>
          <w:sz w:val="32"/>
          <w:szCs w:val="32"/>
          <w:shd w:val="clear" w:color="auto" w:fill="FFFFFF"/>
        </w:rPr>
        <w:t>2.</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cs="宋体"/>
          <w:b w:val="0"/>
          <w:bCs w:val="0"/>
          <w:kern w:val="0"/>
          <w:sz w:val="32"/>
          <w:szCs w:val="32"/>
          <w:lang w:val="en-US" w:eastAsia="zh-CN" w:bidi="ar"/>
        </w:rPr>
        <w:t>2024年度收入合计1241.27万元，与2023年度相比，减少181.62万元，下降12.8%，主要原因是</w:t>
      </w:r>
      <w:r>
        <w:rPr>
          <w:rFonts w:hint="eastAsia" w:ascii="Times New Roman" w:hAnsi="Times New Roman" w:eastAsia="方正仿宋_GBK" w:cs="宋体"/>
          <w:b w:val="0"/>
          <w:bCs w:val="0"/>
          <w:kern w:val="0"/>
          <w:sz w:val="32"/>
          <w:szCs w:val="32"/>
          <w:lang w:val="en-US" w:eastAsia="zh-CN" w:bidi="ar"/>
        </w:rPr>
        <w:t>人才等项目经费减少。</w:t>
      </w:r>
      <w:r>
        <w:rPr>
          <w:rFonts w:hint="default" w:ascii="Times New Roman" w:hAnsi="Times New Roman" w:eastAsia="方正仿宋_GBK" w:cs="宋体"/>
          <w:b w:val="0"/>
          <w:bCs w:val="0"/>
          <w:kern w:val="0"/>
          <w:sz w:val="32"/>
          <w:szCs w:val="32"/>
          <w:lang w:val="en-US" w:eastAsia="zh-CN" w:bidi="ar"/>
        </w:rPr>
        <w:t>其中：财政拨款收入1241.27万元，占100.0%；事业收入0.00万元，占0.0%；经营收入0.00万元，占0.0%；其他收入0.00万元，占0.0%。此外，</w:t>
      </w:r>
      <w:r>
        <w:rPr>
          <w:rFonts w:hint="eastAsia" w:ascii="Times New Roman" w:hAnsi="Times New Roman" w:eastAsia="方正仿宋_GBK" w:cs="宋体"/>
          <w:b w:val="0"/>
          <w:bCs w:val="0"/>
          <w:kern w:val="0"/>
          <w:sz w:val="32"/>
          <w:szCs w:val="32"/>
          <w:lang w:val="en-US" w:eastAsia="zh-CN" w:bidi="ar"/>
        </w:rPr>
        <w:t>使用非财政拨款结余（含专用结余）</w:t>
      </w:r>
      <w:r>
        <w:rPr>
          <w:rFonts w:hint="default" w:ascii="Times New Roman" w:hAnsi="Times New Roman" w:eastAsia="方正仿宋_GBK" w:cs="宋体"/>
          <w:b w:val="0"/>
          <w:bCs w:val="0"/>
          <w:kern w:val="0"/>
          <w:sz w:val="32"/>
          <w:szCs w:val="32"/>
          <w:lang w:val="en-US" w:eastAsia="zh-CN" w:bidi="ar"/>
        </w:rPr>
        <w:t>0.00万元，年初结转和结余0.00万元</w:t>
      </w:r>
      <w:r>
        <w:rPr>
          <w:rFonts w:ascii="Times New Roman" w:hAnsi="Times New Roman" w:eastAsia="方正仿宋_GBK" w:cs="方正仿宋_GBK"/>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b w:val="0"/>
          <w:bCs w:val="0"/>
          <w:kern w:val="0"/>
          <w:sz w:val="32"/>
          <w:szCs w:val="32"/>
          <w:lang w:val="en-US" w:eastAsia="zh-CN" w:bidi="ar"/>
        </w:rPr>
      </w:pPr>
      <w:r>
        <w:rPr>
          <w:rStyle w:val="9"/>
          <w:rFonts w:ascii="Times New Roman" w:hAnsi="Times New Roman" w:eastAsia="方正仿宋_GBK" w:cs="方正仿宋_GBK"/>
          <w:sz w:val="32"/>
          <w:szCs w:val="32"/>
          <w:shd w:val="clear" w:color="auto" w:fill="FFFFFF"/>
        </w:rPr>
        <w:t>3.</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cs="宋体"/>
          <w:b w:val="0"/>
          <w:bCs w:val="0"/>
          <w:kern w:val="0"/>
          <w:sz w:val="32"/>
          <w:szCs w:val="32"/>
          <w:lang w:val="en-US" w:eastAsia="zh-CN" w:bidi="ar"/>
        </w:rPr>
        <w:t>2024年度支出合计1241.27万元，与2023年度相比，减少181.62万元，下降12.8%，主要原因是</w:t>
      </w:r>
      <w:r>
        <w:rPr>
          <w:rFonts w:hint="eastAsia" w:ascii="Times New Roman" w:hAnsi="Times New Roman" w:eastAsia="方正仿宋_GBK" w:cs="宋体"/>
          <w:b w:val="0"/>
          <w:bCs w:val="0"/>
          <w:kern w:val="0"/>
          <w:sz w:val="32"/>
          <w:szCs w:val="32"/>
          <w:lang w:val="en-US" w:eastAsia="zh-CN" w:bidi="ar"/>
        </w:rPr>
        <w:t>人才等项目经费减少。</w:t>
      </w:r>
      <w:r>
        <w:rPr>
          <w:rFonts w:hint="default" w:ascii="Times New Roman" w:hAnsi="Times New Roman" w:eastAsia="方正仿宋_GBK" w:cs="宋体"/>
          <w:b w:val="0"/>
          <w:bCs w:val="0"/>
          <w:kern w:val="0"/>
          <w:sz w:val="32"/>
          <w:szCs w:val="32"/>
          <w:lang w:val="en-US" w:eastAsia="zh-CN" w:bidi="ar"/>
        </w:rPr>
        <w:t>其中：基本支出603.83万元，占48.7%；项目支出637.44万元，占51.4%；经营支出0.00万元，占0.0%。此外，结余分配0.00万元。</w:t>
      </w:r>
    </w:p>
    <w:p>
      <w:pPr>
        <w:pStyle w:val="13"/>
        <w:keepNext w:val="0"/>
        <w:keepLines w:val="0"/>
        <w:pageBreakBefore w:val="0"/>
        <w:widowControl w:val="0"/>
        <w:kinsoku/>
        <w:wordWrap/>
        <w:overflowPunct/>
        <w:topLinePunct w:val="0"/>
        <w:autoSpaceDN/>
        <w:bidi w:val="0"/>
        <w:adjustRightInd/>
        <w:spacing w:before="0" w:beforeLines="0" w:beforeAutospacing="0" w:after="0" w:afterLines="0" w:afterAutospacing="0" w:line="600" w:lineRule="exact"/>
        <w:ind w:firstLine="643" w:firstLineChars="200"/>
        <w:jc w:val="both"/>
        <w:textAlignment w:val="auto"/>
        <w:outlineLvl w:val="9"/>
        <w:rPr>
          <w:rFonts w:hint="default" w:ascii="Times New Roman" w:hAnsi="Times New Roman" w:eastAsia="方正仿宋_GBK" w:cs="方正仿宋_GBK"/>
          <w:sz w:val="32"/>
          <w:szCs w:val="32"/>
          <w:lang w:val="en-US" w:eastAsia="zh-CN" w:bidi="ar-SA"/>
        </w:rPr>
      </w:pPr>
      <w:r>
        <w:rPr>
          <w:rStyle w:val="9"/>
          <w:rFonts w:ascii="Times New Roman" w:hAnsi="Times New Roman" w:eastAsia="方正仿宋_GBK" w:cs="方正仿宋_GBK"/>
          <w:sz w:val="32"/>
          <w:szCs w:val="32"/>
          <w:shd w:val="clear" w:color="auto" w:fill="FFFFFF"/>
        </w:rPr>
        <w:t>4.</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cs="宋体"/>
          <w:b w:val="0"/>
          <w:bCs w:val="0"/>
          <w:kern w:val="0"/>
          <w:sz w:val="32"/>
          <w:szCs w:val="32"/>
          <w:lang w:val="en-US" w:eastAsia="zh-CN" w:bidi="ar"/>
        </w:rPr>
        <w:t>2024年度年末结转和结余0.00万元，与2023年度相比，无增减，主</w:t>
      </w:r>
      <w:r>
        <w:rPr>
          <w:rFonts w:ascii="Times New Roman" w:hAnsi="Times New Roman" w:eastAsia="方正仿宋_GBK" w:cs="方正仿宋_GBK"/>
          <w:sz w:val="32"/>
          <w:szCs w:val="32"/>
          <w:shd w:val="clear" w:color="auto" w:fill="FFFFFF"/>
        </w:rPr>
        <w:t>要原因是</w:t>
      </w:r>
      <w:r>
        <w:rPr>
          <w:rFonts w:hint="eastAsia" w:ascii="Times New Roman" w:hAnsi="Times New Roman" w:eastAsia="方正仿宋_GBK" w:cs="方正仿宋_GBK"/>
          <w:sz w:val="32"/>
          <w:szCs w:val="32"/>
          <w:lang w:val="en-US" w:eastAsia="zh-CN" w:bidi="ar-SA"/>
        </w:rPr>
        <w:t>2024年度无年末一般公共预算财政拨款结转和结余。</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（二）财政拨款收入支出决算总体情况说明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b w:val="0"/>
          <w:bCs w:val="0"/>
          <w:kern w:val="0"/>
          <w:sz w:val="32"/>
          <w:szCs w:val="32"/>
          <w:lang w:val="en-US" w:eastAsia="zh-CN" w:bidi="ar"/>
        </w:rPr>
      </w:pPr>
      <w:r>
        <w:rPr>
          <w:rFonts w:hint="default" w:ascii="Times New Roman" w:hAnsi="Times New Roman" w:eastAsia="方正仿宋_GBK" w:cs="宋体"/>
          <w:b w:val="0"/>
          <w:bCs w:val="0"/>
          <w:kern w:val="0"/>
          <w:sz w:val="32"/>
          <w:szCs w:val="32"/>
          <w:lang w:val="en-US" w:eastAsia="zh-CN" w:bidi="ar"/>
        </w:rPr>
        <w:t>2024年度财政拨款收、支总计均为1241.27万元。与2023年</w:t>
      </w:r>
      <w:r>
        <w:rPr>
          <w:rFonts w:hint="eastAsia" w:ascii="Times New Roman" w:hAnsi="Times New Roman" w:eastAsia="方正仿宋_GBK" w:cs="宋体"/>
          <w:b w:val="0"/>
          <w:bCs w:val="0"/>
          <w:kern w:val="0"/>
          <w:sz w:val="32"/>
          <w:szCs w:val="32"/>
          <w:lang w:val="en-US" w:eastAsia="zh-CN" w:bidi="ar"/>
        </w:rPr>
        <w:t>度</w:t>
      </w:r>
      <w:r>
        <w:rPr>
          <w:rFonts w:hint="default" w:ascii="Times New Roman" w:hAnsi="Times New Roman" w:eastAsia="方正仿宋_GBK" w:cs="宋体"/>
          <w:b w:val="0"/>
          <w:bCs w:val="0"/>
          <w:kern w:val="0"/>
          <w:sz w:val="32"/>
          <w:szCs w:val="32"/>
          <w:lang w:val="en-US" w:eastAsia="zh-CN" w:bidi="ar"/>
        </w:rPr>
        <w:t>相比，财政拨款收、支总计各减少181.62万元，下降12.8%。主要原因是</w:t>
      </w:r>
      <w:r>
        <w:rPr>
          <w:rFonts w:hint="eastAsia" w:ascii="Times New Roman" w:hAnsi="Times New Roman" w:eastAsia="方正仿宋_GBK" w:cs="宋体"/>
          <w:b w:val="0"/>
          <w:bCs w:val="0"/>
          <w:kern w:val="0"/>
          <w:sz w:val="32"/>
          <w:szCs w:val="32"/>
          <w:lang w:val="en-US" w:eastAsia="zh-CN" w:bidi="ar"/>
        </w:rPr>
        <w:t>人才等项目经费减少。</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b w:val="0"/>
          <w:bCs w:val="0"/>
          <w:kern w:val="0"/>
          <w:sz w:val="32"/>
          <w:szCs w:val="32"/>
          <w:lang w:val="en-US" w:eastAsia="zh-CN" w:bidi="ar"/>
        </w:rPr>
      </w:pPr>
      <w:r>
        <w:rPr>
          <w:rStyle w:val="9"/>
          <w:rFonts w:ascii="Times New Roman" w:hAnsi="Times New Roman" w:eastAsia="方正仿宋_GBK" w:cs="方正仿宋_GBK"/>
          <w:sz w:val="32"/>
          <w:szCs w:val="32"/>
          <w:shd w:val="clear" w:color="auto" w:fill="FFFFFF"/>
        </w:rPr>
        <w:t>1.</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cs="宋体"/>
          <w:b w:val="0"/>
          <w:bCs w:val="0"/>
          <w:kern w:val="0"/>
          <w:sz w:val="32"/>
          <w:szCs w:val="32"/>
          <w:lang w:val="en-US" w:eastAsia="zh-CN" w:bidi="ar"/>
        </w:rPr>
        <w:t>2024年度一般公共预算财政拨款收入1241.27万元，与2023年度相比，减少181.62万元，下降12.8%。主要原因是</w:t>
      </w:r>
      <w:r>
        <w:rPr>
          <w:rFonts w:hint="eastAsia" w:ascii="Times New Roman" w:hAnsi="Times New Roman" w:eastAsia="方正仿宋_GBK" w:cs="宋体"/>
          <w:b w:val="0"/>
          <w:bCs w:val="0"/>
          <w:kern w:val="0"/>
          <w:sz w:val="32"/>
          <w:szCs w:val="32"/>
          <w:lang w:val="en-US" w:eastAsia="zh-CN" w:bidi="ar"/>
        </w:rPr>
        <w:t>人才等项目经费减少。</w:t>
      </w:r>
      <w:r>
        <w:rPr>
          <w:rFonts w:hint="default" w:ascii="Times New Roman" w:hAnsi="Times New Roman" w:eastAsia="方正仿宋_GBK" w:cs="宋体"/>
          <w:b w:val="0"/>
          <w:bCs w:val="0"/>
          <w:kern w:val="0"/>
          <w:sz w:val="32"/>
          <w:szCs w:val="32"/>
          <w:lang w:val="en-US" w:eastAsia="zh-CN" w:bidi="ar"/>
        </w:rPr>
        <w:t>较年初预算数减少763.22万元，下降38.1%。主要原因是</w:t>
      </w:r>
      <w:r>
        <w:rPr>
          <w:rFonts w:hint="eastAsia" w:ascii="Times New Roman" w:hAnsi="Times New Roman" w:eastAsia="方正仿宋_GBK" w:cs="宋体"/>
          <w:b w:val="0"/>
          <w:bCs w:val="0"/>
          <w:kern w:val="0"/>
          <w:sz w:val="32"/>
          <w:szCs w:val="32"/>
          <w:lang w:val="en-US" w:eastAsia="zh-CN" w:bidi="ar"/>
        </w:rPr>
        <w:t>人才等项目经费减少。</w:t>
      </w:r>
      <w:r>
        <w:rPr>
          <w:rFonts w:hint="default" w:ascii="Times New Roman" w:hAnsi="Times New Roman" w:eastAsia="方正仿宋_GBK" w:cs="宋体"/>
          <w:b w:val="0"/>
          <w:bCs w:val="0"/>
          <w:kern w:val="0"/>
          <w:sz w:val="32"/>
          <w:szCs w:val="32"/>
          <w:lang w:val="en-US" w:eastAsia="zh-CN" w:bidi="ar"/>
        </w:rPr>
        <w:t>此外，年初财政拨款结转和结余0.00万元。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b w:val="0"/>
          <w:bCs w:val="0"/>
          <w:kern w:val="0"/>
          <w:sz w:val="32"/>
          <w:szCs w:val="32"/>
          <w:lang w:val="en-US" w:eastAsia="zh-CN" w:bidi="ar"/>
        </w:rPr>
      </w:pPr>
      <w:r>
        <w:rPr>
          <w:rStyle w:val="9"/>
          <w:rFonts w:ascii="Times New Roman" w:hAnsi="Times New Roman" w:eastAsia="方正仿宋_GBK" w:cs="方正仿宋_GBK"/>
          <w:sz w:val="32"/>
          <w:szCs w:val="32"/>
          <w:shd w:val="clear" w:color="auto" w:fill="FFFFFF"/>
        </w:rPr>
        <w:t>2.</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cs="宋体"/>
          <w:b w:val="0"/>
          <w:bCs w:val="0"/>
          <w:kern w:val="0"/>
          <w:sz w:val="32"/>
          <w:szCs w:val="32"/>
          <w:lang w:val="en-US" w:eastAsia="zh-CN" w:bidi="ar"/>
        </w:rPr>
        <w:t>2024年度一般公共预算财政拨款支出1241.27万元，与2023年度相比，减少181.62万元，下降12.8%。主要原因是</w:t>
      </w:r>
      <w:r>
        <w:rPr>
          <w:rFonts w:hint="eastAsia" w:ascii="Times New Roman" w:hAnsi="Times New Roman" w:eastAsia="方正仿宋_GBK" w:cs="宋体"/>
          <w:b w:val="0"/>
          <w:bCs w:val="0"/>
          <w:kern w:val="0"/>
          <w:sz w:val="32"/>
          <w:szCs w:val="32"/>
          <w:lang w:val="en-US" w:eastAsia="zh-CN" w:bidi="ar"/>
        </w:rPr>
        <w:t>人才等项目经费减少。</w:t>
      </w:r>
      <w:r>
        <w:rPr>
          <w:rFonts w:hint="default" w:ascii="Times New Roman" w:hAnsi="Times New Roman" w:eastAsia="方正仿宋_GBK" w:cs="宋体"/>
          <w:b w:val="0"/>
          <w:bCs w:val="0"/>
          <w:kern w:val="0"/>
          <w:sz w:val="32"/>
          <w:szCs w:val="32"/>
          <w:lang w:val="en-US" w:eastAsia="zh-CN" w:bidi="ar"/>
        </w:rPr>
        <w:t>较年初预算数减少763.22万元，下降38.1%。主要原因是</w:t>
      </w:r>
      <w:r>
        <w:rPr>
          <w:rFonts w:hint="eastAsia" w:ascii="Times New Roman" w:hAnsi="Times New Roman" w:eastAsia="方正仿宋_GBK" w:cs="宋体"/>
          <w:b w:val="0"/>
          <w:bCs w:val="0"/>
          <w:kern w:val="0"/>
          <w:sz w:val="32"/>
          <w:szCs w:val="32"/>
          <w:lang w:val="en-US" w:eastAsia="zh-CN" w:bidi="ar"/>
        </w:rPr>
        <w:t>人才等项目经费减少。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b w:val="0"/>
          <w:bCs w:val="0"/>
          <w:kern w:val="0"/>
          <w:sz w:val="32"/>
          <w:szCs w:val="32"/>
          <w:lang w:val="en-US" w:eastAsia="zh-CN" w:bidi="ar"/>
        </w:rPr>
      </w:pPr>
      <w:r>
        <w:rPr>
          <w:rFonts w:ascii="Times New Roman" w:hAnsi="Times New Roman" w:eastAsia="方正仿宋_GBK" w:cs="方正仿宋_GBK"/>
          <w:sz w:val="32"/>
          <w:szCs w:val="32"/>
          <w:shd w:val="clear" w:color="auto" w:fill="FFFFFF"/>
        </w:rPr>
        <w:t>（1）一</w:t>
      </w:r>
      <w:r>
        <w:rPr>
          <w:rFonts w:hint="default" w:ascii="Times New Roman" w:hAnsi="Times New Roman" w:eastAsia="方正仿宋_GBK" w:cs="宋体"/>
          <w:b w:val="0"/>
          <w:bCs w:val="0"/>
          <w:kern w:val="0"/>
          <w:sz w:val="32"/>
          <w:szCs w:val="32"/>
          <w:lang w:val="en-US" w:eastAsia="zh-CN" w:bidi="ar"/>
        </w:rPr>
        <w:t>般公共服务支出1090.79万元，占87.9%，较年初预算数减少760.25万元，下降41.1%，主要原因是</w:t>
      </w:r>
      <w:r>
        <w:rPr>
          <w:rFonts w:hint="eastAsia" w:ascii="Times New Roman" w:hAnsi="Times New Roman" w:eastAsia="方正仿宋_GBK" w:cs="宋体"/>
          <w:b w:val="0"/>
          <w:bCs w:val="0"/>
          <w:kern w:val="0"/>
          <w:sz w:val="32"/>
          <w:szCs w:val="32"/>
          <w:lang w:val="en-US" w:eastAsia="zh-CN" w:bidi="ar"/>
        </w:rPr>
        <w:t>人才等项目经费减少。</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b w:val="0"/>
          <w:bCs w:val="0"/>
          <w:kern w:val="0"/>
          <w:sz w:val="32"/>
          <w:szCs w:val="32"/>
          <w:lang w:val="en-US" w:eastAsia="zh-CN" w:bidi="ar"/>
        </w:rPr>
      </w:pPr>
      <w:r>
        <w:rPr>
          <w:rFonts w:hint="default" w:ascii="Times New Roman" w:hAnsi="Times New Roman" w:eastAsia="方正仿宋_GBK" w:cs="宋体"/>
          <w:b w:val="0"/>
          <w:bCs w:val="0"/>
          <w:kern w:val="0"/>
          <w:sz w:val="32"/>
          <w:szCs w:val="32"/>
          <w:lang w:val="en-US" w:eastAsia="zh-CN" w:bidi="ar"/>
        </w:rPr>
        <w:t>（</w:t>
      </w:r>
      <w:r>
        <w:rPr>
          <w:rFonts w:hint="eastAsia" w:ascii="Times New Roman" w:hAnsi="Times New Roman" w:eastAsia="方正仿宋_GBK" w:cs="宋体"/>
          <w:b w:val="0"/>
          <w:bCs w:val="0"/>
          <w:kern w:val="0"/>
          <w:sz w:val="32"/>
          <w:szCs w:val="32"/>
          <w:lang w:val="en-US" w:eastAsia="zh-CN" w:bidi="ar"/>
        </w:rPr>
        <w:t>2</w:t>
      </w:r>
      <w:r>
        <w:rPr>
          <w:rFonts w:hint="default" w:ascii="Times New Roman" w:hAnsi="Times New Roman" w:eastAsia="方正仿宋_GBK" w:cs="宋体"/>
          <w:b w:val="0"/>
          <w:bCs w:val="0"/>
          <w:kern w:val="0"/>
          <w:sz w:val="32"/>
          <w:szCs w:val="32"/>
          <w:lang w:val="en-US" w:eastAsia="zh-CN" w:bidi="ar"/>
        </w:rPr>
        <w:t>）社会保障</w:t>
      </w:r>
      <w:r>
        <w:rPr>
          <w:rFonts w:hint="eastAsia" w:ascii="Times New Roman" w:hAnsi="Times New Roman" w:eastAsia="方正仿宋_GBK" w:cs="宋体"/>
          <w:b w:val="0"/>
          <w:bCs w:val="0"/>
          <w:kern w:val="0"/>
          <w:sz w:val="32"/>
          <w:szCs w:val="32"/>
          <w:lang w:val="en-US" w:eastAsia="zh-CN" w:bidi="ar"/>
        </w:rPr>
        <w:t>和</w:t>
      </w:r>
      <w:r>
        <w:rPr>
          <w:rFonts w:hint="default" w:ascii="Times New Roman" w:hAnsi="Times New Roman" w:eastAsia="方正仿宋_GBK" w:cs="宋体"/>
          <w:b w:val="0"/>
          <w:bCs w:val="0"/>
          <w:kern w:val="0"/>
          <w:sz w:val="32"/>
          <w:szCs w:val="32"/>
          <w:lang w:val="en-US" w:eastAsia="zh-CN" w:bidi="ar"/>
        </w:rPr>
        <w:t>就业支出82.07万元，占6.6%，较年初预算数增加2.26万元，增长2.8%，主要原因是</w:t>
      </w:r>
      <w:r>
        <w:rPr>
          <w:rFonts w:hint="eastAsia" w:ascii="Times New Roman" w:hAnsi="Times New Roman" w:eastAsia="方正仿宋_GBK" w:cs="宋体"/>
          <w:b w:val="0"/>
          <w:bCs w:val="0"/>
          <w:kern w:val="0"/>
          <w:sz w:val="32"/>
          <w:szCs w:val="32"/>
          <w:lang w:val="en-US" w:eastAsia="zh-CN" w:bidi="ar"/>
        </w:rPr>
        <w:t>人员增资，缴费基数随之增长等。</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b w:val="0"/>
          <w:bCs w:val="0"/>
          <w:kern w:val="0"/>
          <w:sz w:val="32"/>
          <w:szCs w:val="32"/>
          <w:lang w:val="en-US" w:eastAsia="zh-CN" w:bidi="ar"/>
        </w:rPr>
      </w:pPr>
      <w:r>
        <w:rPr>
          <w:rFonts w:hint="default" w:ascii="Times New Roman" w:hAnsi="Times New Roman" w:eastAsia="方正仿宋_GBK" w:cs="宋体"/>
          <w:b w:val="0"/>
          <w:bCs w:val="0"/>
          <w:kern w:val="0"/>
          <w:sz w:val="32"/>
          <w:szCs w:val="32"/>
          <w:lang w:val="en-US" w:eastAsia="zh-CN" w:bidi="ar"/>
        </w:rPr>
        <w:t>（</w:t>
      </w:r>
      <w:r>
        <w:rPr>
          <w:rFonts w:hint="eastAsia" w:ascii="Times New Roman" w:hAnsi="Times New Roman" w:eastAsia="方正仿宋_GBK" w:cs="宋体"/>
          <w:b w:val="0"/>
          <w:bCs w:val="0"/>
          <w:kern w:val="0"/>
          <w:sz w:val="32"/>
          <w:szCs w:val="32"/>
          <w:lang w:val="en-US" w:eastAsia="zh-CN" w:bidi="ar"/>
        </w:rPr>
        <w:t>3</w:t>
      </w:r>
      <w:r>
        <w:rPr>
          <w:rFonts w:hint="default" w:ascii="Times New Roman" w:hAnsi="Times New Roman" w:eastAsia="方正仿宋_GBK" w:cs="宋体"/>
          <w:b w:val="0"/>
          <w:bCs w:val="0"/>
          <w:kern w:val="0"/>
          <w:sz w:val="32"/>
          <w:szCs w:val="32"/>
          <w:lang w:val="en-US" w:eastAsia="zh-CN" w:bidi="ar"/>
        </w:rPr>
        <w:t>）卫生健康支出29.53万元，占2.4%，较年初预算数减少3.08万元，下降9.4%，主要原因是</w:t>
      </w:r>
      <w:r>
        <w:rPr>
          <w:rFonts w:hint="eastAsia" w:ascii="Times New Roman" w:hAnsi="Times New Roman" w:eastAsia="方正仿宋_GBK" w:cs="方正仿宋_GBK"/>
          <w:sz w:val="32"/>
          <w:szCs w:val="32"/>
          <w:lang w:val="en-US" w:eastAsia="zh-CN" w:bidi="ar-SA"/>
        </w:rPr>
        <w:t>缴费基数调整</w:t>
      </w:r>
      <w:r>
        <w:rPr>
          <w:rFonts w:hint="eastAsia" w:ascii="Times New Roman" w:hAnsi="Times New Roman" w:eastAsia="方正仿宋_GBK" w:cs="宋体"/>
          <w:b w:val="0"/>
          <w:bCs w:val="0"/>
          <w:kern w:val="0"/>
          <w:sz w:val="32"/>
          <w:szCs w:val="32"/>
          <w:lang w:val="en-US" w:eastAsia="zh-CN" w:bidi="ar"/>
        </w:rPr>
        <w:t>。</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outlineLvl w:val="9"/>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宋体"/>
          <w:b w:val="0"/>
          <w:bCs w:val="0"/>
          <w:kern w:val="0"/>
          <w:sz w:val="32"/>
          <w:szCs w:val="32"/>
          <w:lang w:val="en-US" w:eastAsia="zh-CN" w:bidi="ar"/>
        </w:rPr>
        <w:t>住房保障支出38.88万元，占3.1%，较年初预算数减少2.14万元，下降5.2%，主</w:t>
      </w:r>
      <w:r>
        <w:rPr>
          <w:rFonts w:ascii="Times New Roman" w:hAnsi="Times New Roman" w:eastAsia="方正仿宋_GBK" w:cs="方正仿宋_GBK"/>
          <w:sz w:val="32"/>
          <w:szCs w:val="32"/>
          <w:shd w:val="clear" w:color="auto" w:fill="FFFFFF"/>
        </w:rPr>
        <w:t>要原因是</w:t>
      </w:r>
      <w:r>
        <w:rPr>
          <w:rFonts w:hint="eastAsia" w:ascii="Times New Roman" w:hAnsi="Times New Roman" w:eastAsia="方正仿宋_GBK" w:cs="方正仿宋_GBK"/>
          <w:sz w:val="32"/>
          <w:szCs w:val="32"/>
          <w:lang w:val="en-US" w:eastAsia="zh-CN" w:bidi="ar-SA"/>
        </w:rPr>
        <w:t>缴费基数调整</w:t>
      </w:r>
      <w:r>
        <w:rPr>
          <w:rFonts w:hint="eastAsia" w:ascii="Times New Roman" w:hAnsi="Times New Roman" w:eastAsia="方正仿宋_GBK" w:cs="方正仿宋_GBK"/>
          <w:sz w:val="32"/>
          <w:szCs w:val="32"/>
          <w:shd w:val="clear" w:color="auto" w:fill="FFFFFF"/>
          <w:lang w:eastAsia="zh-CN"/>
        </w:rPr>
        <w:t>。</w:t>
      </w:r>
    </w:p>
    <w:p>
      <w:pPr>
        <w:pStyle w:val="13"/>
        <w:keepNext w:val="0"/>
        <w:keepLines w:val="0"/>
        <w:pageBreakBefore w:val="0"/>
        <w:widowControl w:val="0"/>
        <w:kinsoku/>
        <w:wordWrap/>
        <w:overflowPunct/>
        <w:topLinePunct w:val="0"/>
        <w:autoSpaceDN/>
        <w:bidi w:val="0"/>
        <w:adjustRightInd/>
        <w:spacing w:before="0" w:beforeLines="0" w:beforeAutospacing="0" w:after="0" w:afterLines="0" w:afterAutospacing="0" w:line="600" w:lineRule="exact"/>
        <w:ind w:firstLine="643" w:firstLineChars="200"/>
        <w:jc w:val="both"/>
        <w:textAlignment w:val="auto"/>
        <w:outlineLvl w:val="9"/>
        <w:rPr>
          <w:rFonts w:hint="default" w:ascii="Times New Roman" w:hAnsi="Times New Roman" w:eastAsia="方正仿宋_GBK" w:cs="方正仿宋_GBK"/>
          <w:sz w:val="32"/>
          <w:szCs w:val="32"/>
          <w:lang w:val="en-US" w:eastAsia="zh-CN" w:bidi="ar-SA"/>
        </w:rPr>
      </w:pPr>
      <w:r>
        <w:rPr>
          <w:rStyle w:val="9"/>
          <w:rFonts w:ascii="Times New Roman" w:hAnsi="Times New Roman" w:eastAsia="方正仿宋_GBK" w:cs="方正仿宋_GBK"/>
          <w:sz w:val="32"/>
          <w:szCs w:val="32"/>
          <w:shd w:val="clear" w:color="auto" w:fill="FFFFFF"/>
        </w:rPr>
        <w:t>3.</w:t>
      </w:r>
      <w:r>
        <w:rPr>
          <w:rStyle w:val="9"/>
          <w:rFonts w:hint="eastAsia" w:ascii="Times New Roman" w:hAnsi="Times New Roman" w:eastAsia="方正仿宋_GBK" w:cs="方正仿宋_GBK"/>
          <w:sz w:val="32"/>
          <w:szCs w:val="32"/>
          <w:shd w:val="clear" w:color="auto" w:fill="FFFFFF"/>
          <w:lang w:val="en-US" w:eastAsia="zh-CN"/>
        </w:rPr>
        <w:t xml:space="preserve"> </w:t>
      </w:r>
      <w:r>
        <w:rPr>
          <w:rStyle w:val="9"/>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cs="宋体"/>
          <w:b w:val="0"/>
          <w:bCs w:val="0"/>
          <w:kern w:val="0"/>
          <w:sz w:val="32"/>
          <w:szCs w:val="32"/>
          <w:lang w:val="en-US" w:eastAsia="zh-CN" w:bidi="ar"/>
        </w:rPr>
        <w:t>2024年度年末一般公共预算财政拨款结转和结余0.00万元，与2023年度相比，无增减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lang w:val="en-US" w:eastAsia="zh-CN" w:bidi="ar-SA"/>
        </w:rPr>
        <w:t>2024年度无年末一般公共预算财政拨款结转和结余。</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宋体"/>
          <w:b w:val="0"/>
          <w:bCs w:val="0"/>
          <w:kern w:val="0"/>
          <w:sz w:val="32"/>
          <w:szCs w:val="32"/>
          <w:lang w:val="en-US" w:eastAsia="zh-CN" w:bidi="ar"/>
        </w:rPr>
      </w:pPr>
      <w:r>
        <w:rPr>
          <w:rFonts w:hint="default" w:ascii="Times New Roman" w:hAnsi="Times New Roman" w:eastAsia="方正仿宋_GBK" w:cs="宋体"/>
          <w:b w:val="0"/>
          <w:bCs w:val="0"/>
          <w:kern w:val="0"/>
          <w:sz w:val="32"/>
          <w:szCs w:val="32"/>
          <w:lang w:val="en-US" w:eastAsia="zh-CN" w:bidi="ar"/>
        </w:rPr>
        <w:t>2024年度一般公共财政拨款基本支出603.83万元。其中：</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2"/>
          <w:sz w:val="32"/>
          <w:szCs w:val="32"/>
          <w:shd w:val="clear" w:color="auto" w:fill="FFFFFF"/>
          <w:lang w:eastAsia="zh-CN"/>
        </w:rPr>
      </w:pPr>
      <w:r>
        <w:rPr>
          <w:rFonts w:hint="default" w:ascii="Times New Roman" w:hAnsi="Times New Roman" w:eastAsia="方正仿宋_GBK" w:cs="宋体"/>
          <w:b w:val="0"/>
          <w:bCs w:val="0"/>
          <w:kern w:val="0"/>
          <w:sz w:val="32"/>
          <w:szCs w:val="32"/>
          <w:lang w:val="en-US" w:eastAsia="zh-CN" w:bidi="ar"/>
        </w:rPr>
        <w:t>人员经费490.88万元，与2023年度相比，减少8.66万元，下降1.7%，主要原因是</w:t>
      </w:r>
      <w:r>
        <w:rPr>
          <w:rFonts w:hint="eastAsia" w:ascii="Times New Roman" w:hAnsi="Times New Roman" w:eastAsia="方正仿宋_GBK" w:cs="宋体"/>
          <w:b w:val="0"/>
          <w:bCs w:val="0"/>
          <w:kern w:val="0"/>
          <w:sz w:val="32"/>
          <w:szCs w:val="32"/>
          <w:lang w:val="en-US" w:eastAsia="zh-CN" w:bidi="ar"/>
        </w:rPr>
        <w:t>人员</w:t>
      </w:r>
      <w:r>
        <w:rPr>
          <w:rFonts w:hint="eastAsia" w:ascii="Times New Roman" w:hAnsi="Times New Roman" w:eastAsia="方正仿宋_GBK" w:cs="方正仿宋_GBK"/>
          <w:color w:val="auto"/>
          <w:sz w:val="32"/>
          <w:szCs w:val="32"/>
          <w:shd w:val="clear" w:color="auto" w:fill="FFFFFF"/>
          <w:lang w:eastAsia="zh-CN"/>
        </w:rPr>
        <w:t>减少等。</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kern w:val="2"/>
          <w:sz w:val="32"/>
          <w:szCs w:val="32"/>
          <w:shd w:val="clear" w:color="auto" w:fill="FFFFFF"/>
        </w:rPr>
        <w:t>基本工资、津贴补贴、其他社会保障缴费、机关事业单位养老保险、职业年金、医疗费、住房公积金等</w:t>
      </w:r>
      <w:r>
        <w:rPr>
          <w:rFonts w:hint="eastAsia" w:ascii="Times New Roman" w:hAnsi="Times New Roman" w:eastAsia="方正仿宋_GBK" w:cs="方正仿宋_GBK"/>
          <w:kern w:val="2"/>
          <w:sz w:val="32"/>
          <w:szCs w:val="32"/>
          <w:shd w:val="clear" w:color="auto" w:fill="FFFFFF"/>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b w:val="0"/>
          <w:bCs w:val="0"/>
          <w:kern w:val="0"/>
          <w:sz w:val="32"/>
          <w:szCs w:val="32"/>
          <w:lang w:val="en-US" w:eastAsia="zh-CN" w:bidi="ar"/>
        </w:rPr>
      </w:pPr>
      <w:r>
        <w:rPr>
          <w:rFonts w:hint="default" w:ascii="Times New Roman" w:hAnsi="Times New Roman" w:eastAsia="方正仿宋_GBK" w:cs="宋体"/>
          <w:b w:val="0"/>
          <w:bCs w:val="0"/>
          <w:kern w:val="0"/>
          <w:sz w:val="32"/>
          <w:szCs w:val="32"/>
          <w:lang w:val="en-US" w:eastAsia="zh-CN" w:bidi="ar"/>
        </w:rPr>
        <w:t>公用经费112.96万元，与2023年度相比，增加5.39万元，增长5.0%，主要原因是2024年</w:t>
      </w:r>
      <w:r>
        <w:rPr>
          <w:rFonts w:hint="eastAsia" w:ascii="Times New Roman" w:hAnsi="Times New Roman" w:eastAsia="方正仿宋_GBK" w:cs="宋体"/>
          <w:b w:val="0"/>
          <w:bCs w:val="0"/>
          <w:kern w:val="0"/>
          <w:sz w:val="32"/>
          <w:szCs w:val="32"/>
          <w:lang w:val="en-US" w:eastAsia="zh-CN" w:bidi="ar"/>
        </w:rPr>
        <w:t>将</w:t>
      </w:r>
      <w:r>
        <w:rPr>
          <w:rFonts w:hint="default" w:ascii="Times New Roman" w:hAnsi="Times New Roman" w:eastAsia="方正仿宋_GBK" w:cs="宋体"/>
          <w:b w:val="0"/>
          <w:bCs w:val="0"/>
          <w:kern w:val="0"/>
          <w:sz w:val="32"/>
          <w:szCs w:val="32"/>
          <w:lang w:val="en-US" w:eastAsia="zh-CN" w:bidi="ar"/>
        </w:rPr>
        <w:t>运转性项目经费纳入机关运行经费管理，增加机关公用经费支出</w:t>
      </w:r>
      <w:r>
        <w:rPr>
          <w:rFonts w:hint="eastAsia" w:ascii="Times New Roman" w:hAnsi="Times New Roman" w:eastAsia="方正仿宋_GBK" w:cs="宋体"/>
          <w:b w:val="0"/>
          <w:bCs w:val="0"/>
          <w:kern w:val="0"/>
          <w:sz w:val="32"/>
          <w:szCs w:val="32"/>
          <w:lang w:val="en-US" w:eastAsia="zh-CN" w:bidi="ar"/>
        </w:rPr>
        <w:t>。</w:t>
      </w:r>
      <w:r>
        <w:rPr>
          <w:rFonts w:hint="default" w:ascii="Times New Roman" w:hAnsi="Times New Roman" w:eastAsia="方正仿宋_GBK" w:cs="宋体"/>
          <w:b w:val="0"/>
          <w:bCs w:val="0"/>
          <w:kern w:val="0"/>
          <w:sz w:val="32"/>
          <w:szCs w:val="32"/>
          <w:lang w:val="en-US" w:eastAsia="zh-CN" w:bidi="ar"/>
        </w:rPr>
        <w:t>公用经费用途主要包括</w:t>
      </w:r>
      <w:r>
        <w:rPr>
          <w:rFonts w:hint="eastAsia" w:ascii="Times New Roman" w:hAnsi="Times New Roman" w:eastAsia="方正仿宋_GBK" w:cs="宋体"/>
          <w:b w:val="0"/>
          <w:bCs w:val="0"/>
          <w:kern w:val="0"/>
          <w:sz w:val="32"/>
          <w:szCs w:val="32"/>
          <w:lang w:val="en-US" w:eastAsia="zh-CN" w:bidi="ar"/>
        </w:rPr>
        <w:t>办公费、邮电费、差旅费、维修（护）费、会议费、培训费、公务接待费、劳务费、工会经费、其他交通费用、公务用车运行维护费、其他商品和服务支出等。</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b w:val="0"/>
          <w:bCs w:val="0"/>
          <w:kern w:val="0"/>
          <w:sz w:val="32"/>
          <w:szCs w:val="32"/>
          <w:lang w:val="en-US" w:eastAsia="zh-CN" w:bidi="ar"/>
        </w:rPr>
      </w:pPr>
      <w:r>
        <w:rPr>
          <w:rFonts w:hint="default" w:ascii="Times New Roman" w:hAnsi="Times New Roman" w:eastAsia="方正仿宋_GBK" w:cs="宋体"/>
          <w:b w:val="0"/>
          <w:bCs w:val="0"/>
          <w:kern w:val="0"/>
          <w:sz w:val="32"/>
          <w:szCs w:val="32"/>
          <w:lang w:val="en-US" w:eastAsia="zh-CN" w:bidi="ar"/>
        </w:rPr>
        <w:t>本单位202</w:t>
      </w:r>
      <w:r>
        <w:rPr>
          <w:rFonts w:hint="eastAsia" w:ascii="Times New Roman" w:hAnsi="Times New Roman" w:eastAsia="方正仿宋_GBK" w:cs="宋体"/>
          <w:b w:val="0"/>
          <w:bCs w:val="0"/>
          <w:kern w:val="0"/>
          <w:sz w:val="32"/>
          <w:szCs w:val="32"/>
          <w:lang w:val="en-US" w:eastAsia="zh-CN" w:bidi="ar"/>
        </w:rPr>
        <w:t>4</w:t>
      </w:r>
      <w:r>
        <w:rPr>
          <w:rFonts w:hint="default" w:ascii="Times New Roman" w:hAnsi="Times New Roman" w:eastAsia="方正仿宋_GBK" w:cs="宋体"/>
          <w:b w:val="0"/>
          <w:bCs w:val="0"/>
          <w:kern w:val="0"/>
          <w:sz w:val="32"/>
          <w:szCs w:val="32"/>
          <w:lang w:val="en-US" w:eastAsia="zh-CN" w:bidi="ar"/>
        </w:rPr>
        <w:t>年度无政府性基金预算财政拨款收支。</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b w:val="0"/>
          <w:bCs w:val="0"/>
          <w:sz w:val="32"/>
          <w:szCs w:val="32"/>
          <w:shd w:val="clear" w:color="auto" w:fill="FFFFFF"/>
        </w:rPr>
        <w:t>本单位</w:t>
      </w:r>
      <w:r>
        <w:rPr>
          <w:rFonts w:hint="default" w:ascii="Times New Roman" w:hAnsi="Times New Roman" w:eastAsia="方正仿宋_GBK" w:cs="宋体"/>
          <w:b w:val="0"/>
          <w:bCs w:val="0"/>
          <w:kern w:val="0"/>
          <w:sz w:val="32"/>
          <w:szCs w:val="32"/>
          <w:lang w:val="en-US" w:eastAsia="zh-CN" w:bidi="ar"/>
        </w:rPr>
        <w:t>202</w:t>
      </w:r>
      <w:r>
        <w:rPr>
          <w:rFonts w:hint="eastAsia" w:ascii="Times New Roman" w:hAnsi="Times New Roman" w:eastAsia="方正仿宋_GBK" w:cs="宋体"/>
          <w:b w:val="0"/>
          <w:bCs w:val="0"/>
          <w:kern w:val="0"/>
          <w:sz w:val="32"/>
          <w:szCs w:val="32"/>
          <w:lang w:val="en-US" w:eastAsia="zh-CN" w:bidi="ar"/>
        </w:rPr>
        <w:t>4</w:t>
      </w:r>
      <w:r>
        <w:rPr>
          <w:rFonts w:hint="default" w:ascii="Times New Roman" w:hAnsi="Times New Roman" w:eastAsia="方正仿宋_GBK" w:cs="宋体"/>
          <w:b w:val="0"/>
          <w:bCs w:val="0"/>
          <w:kern w:val="0"/>
          <w:sz w:val="32"/>
          <w:szCs w:val="32"/>
          <w:lang w:val="en-US" w:eastAsia="zh-CN" w:bidi="ar"/>
        </w:rPr>
        <w:t>年度</w:t>
      </w:r>
      <w:r>
        <w:rPr>
          <w:rFonts w:ascii="Times New Roman" w:hAnsi="Times New Roman" w:eastAsia="方正仿宋_GBK" w:cs="方正仿宋_GBK"/>
          <w:b w:val="0"/>
          <w:bCs w:val="0"/>
          <w:sz w:val="32"/>
          <w:szCs w:val="32"/>
          <w:shd w:val="clear" w:color="auto" w:fill="FFFFFF"/>
        </w:rPr>
        <w:t>无国有资本经营预算财政拨款支出。</w:t>
      </w:r>
    </w:p>
    <w:p>
      <w:pPr>
        <w:pStyle w:val="12"/>
        <w:keepNext w:val="0"/>
        <w:keepLines w:val="0"/>
        <w:pageBreakBefore w:val="0"/>
        <w:widowControl w:val="0"/>
        <w:kinsoku/>
        <w:wordWrap/>
        <w:overflowPunct/>
        <w:topLinePunct w:val="0"/>
        <w:autoSpaceDE w:val="0"/>
        <w:autoSpaceDN/>
        <w:bidi w:val="0"/>
        <w:adjustRightInd/>
        <w:spacing w:beforeAutospacing="0" w:line="600" w:lineRule="exact"/>
        <w:ind w:firstLine="640" w:firstLineChars="200"/>
        <w:jc w:val="both"/>
        <w:textAlignment w:val="auto"/>
        <w:rPr>
          <w:rFonts w:hint="eastAsia" w:ascii="Times New Roman" w:hAnsi="Times New Roman" w:eastAsia="方正黑体_GBK" w:cs="方正黑体_GBK"/>
          <w:b w:val="0"/>
          <w:bCs w:val="0"/>
          <w:sz w:val="32"/>
          <w:szCs w:val="32"/>
          <w:shd w:val="clear" w:color="auto" w:fill="FFFFFF"/>
        </w:rPr>
      </w:pPr>
      <w:r>
        <w:rPr>
          <w:rFonts w:hint="eastAsia" w:ascii="Times New Roman" w:hAnsi="Times New Roman" w:eastAsia="方正黑体_GBK" w:cs="方正黑体_GBK"/>
          <w:b w:val="0"/>
          <w:bCs w:val="0"/>
          <w:sz w:val="32"/>
          <w:szCs w:val="32"/>
          <w:shd w:val="clear" w:color="auto" w:fill="FFFFFF"/>
        </w:rPr>
        <w:t>三、“三公”经费情况说明</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default" w:ascii="Times New Roman" w:hAnsi="Times New Roman" w:eastAsia="方正仿宋_GBK" w:cs="宋体"/>
          <w:b w:val="0"/>
          <w:bCs w:val="0"/>
          <w:kern w:val="0"/>
          <w:sz w:val="32"/>
          <w:szCs w:val="32"/>
          <w:lang w:val="en-US" w:eastAsia="zh-CN" w:bidi="ar"/>
        </w:rPr>
        <w:t>2024年度“三公”经费支出共计5.86万元，较年初预算数减少2.64万元，下降31.1%，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lang w:val="en-US" w:eastAsia="zh-CN" w:bidi="ar-SA"/>
        </w:rPr>
        <w:t>厉行节约，严格控制支出。</w:t>
      </w:r>
      <w:r>
        <w:rPr>
          <w:rFonts w:hint="default" w:ascii="Times New Roman" w:hAnsi="Times New Roman" w:eastAsia="方正仿宋_GBK" w:cs="宋体"/>
          <w:b w:val="0"/>
          <w:bCs w:val="0"/>
          <w:kern w:val="0"/>
          <w:sz w:val="32"/>
          <w:szCs w:val="32"/>
          <w:lang w:val="en-US" w:eastAsia="zh-CN" w:bidi="ar"/>
        </w:rPr>
        <w:t>较上年支出数减少25.95万元，下降81.6%，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2023年</w:t>
      </w:r>
      <w:r>
        <w:rPr>
          <w:rFonts w:hint="eastAsia" w:ascii="Times New Roman" w:hAnsi="Times New Roman" w:eastAsia="方正仿宋_GBK" w:cs="方正仿宋_GBK"/>
          <w:color w:val="auto"/>
          <w:sz w:val="32"/>
          <w:szCs w:val="32"/>
          <w:shd w:val="clear" w:color="auto" w:fill="FFFFFF"/>
          <w:lang w:eastAsia="zh-CN"/>
        </w:rPr>
        <w:t>购置公务用车</w:t>
      </w:r>
      <w:r>
        <w:rPr>
          <w:rFonts w:hint="eastAsia" w:ascii="Times New Roman" w:hAnsi="Times New Roman" w:eastAsia="方正仿宋_GBK" w:cs="方正仿宋_GBK"/>
          <w:color w:val="auto"/>
          <w:sz w:val="32"/>
          <w:szCs w:val="32"/>
          <w:shd w:val="clear" w:color="auto" w:fill="FFFFFF"/>
          <w:lang w:val="en-US" w:eastAsia="zh-CN"/>
        </w:rPr>
        <w:t>1辆，2024年未购置。</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（二）“三公”经费分项支出情况</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color w:val="auto"/>
          <w:sz w:val="32"/>
          <w:szCs w:val="32"/>
          <w:shd w:val="clear" w:color="auto" w:fill="FFFFFF"/>
          <w:lang w:val="en-US" w:eastAsia="zh-CN"/>
        </w:rPr>
        <w:t>2024</w:t>
      </w:r>
      <w:r>
        <w:rPr>
          <w:rFonts w:hint="eastAsia" w:ascii="Times New Roman" w:hAnsi="Times New Roman" w:eastAsia="方正仿宋_GBK" w:cs="方正仿宋_GBK"/>
          <w:color w:val="auto"/>
          <w:sz w:val="32"/>
          <w:szCs w:val="32"/>
          <w:shd w:val="clear" w:color="auto" w:fill="FFFFFF"/>
          <w:lang w:val="en-US" w:eastAsia="zh-CN"/>
        </w:rPr>
        <w:t>年度本单位因公出国（境）费用</w:t>
      </w:r>
      <w:r>
        <w:rPr>
          <w:rFonts w:hint="default" w:ascii="Times New Roman" w:hAnsi="Times New Roman" w:eastAsia="方正仿宋_GBK" w:cs="方正仿宋_GBK"/>
          <w:color w:val="auto"/>
          <w:sz w:val="32"/>
          <w:szCs w:val="32"/>
          <w:shd w:val="clear" w:color="auto" w:fill="FFFFFF"/>
          <w:lang w:val="en-US" w:eastAsia="zh-CN"/>
        </w:rPr>
        <w:t>0.00</w:t>
      </w:r>
      <w:r>
        <w:rPr>
          <w:rFonts w:hint="eastAsia" w:ascii="Times New Roman" w:hAnsi="Times New Roman" w:eastAsia="方正仿宋_GBK" w:cs="方正仿宋_GBK"/>
          <w:color w:val="auto"/>
          <w:sz w:val="32"/>
          <w:szCs w:val="32"/>
          <w:shd w:val="clear" w:color="auto" w:fill="FFFFFF"/>
          <w:lang w:val="en-US" w:eastAsia="zh-CN"/>
        </w:rPr>
        <w:t>万元，与</w:t>
      </w:r>
      <w:r>
        <w:rPr>
          <w:rFonts w:hint="eastAsia" w:ascii="Times New Roman" w:hAnsi="Times New Roman" w:eastAsia="方正仿宋_GBK" w:cs="方正仿宋_GBK"/>
          <w:sz w:val="32"/>
          <w:szCs w:val="32"/>
          <w:lang w:val="en-US" w:eastAsia="zh-CN" w:bidi="ar-SA"/>
        </w:rPr>
        <w:t>年初预算一致，与上年支出数一致。</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bidi="ar-SA"/>
        </w:rPr>
        <w:t>公务用车购置费</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万元，费用支出</w:t>
      </w:r>
      <w:r>
        <w:rPr>
          <w:rFonts w:hint="default" w:ascii="Times New Roman" w:hAnsi="Times New Roman" w:eastAsia="方正仿宋_GBK" w:cs="方正仿宋_GBK"/>
          <w:sz w:val="32"/>
          <w:szCs w:val="32"/>
          <w:lang w:val="en-US" w:eastAsia="zh-CN" w:bidi="ar-SA"/>
        </w:rPr>
        <w:t>较年初预算数无增减</w:t>
      </w:r>
      <w:r>
        <w:rPr>
          <w:rFonts w:hint="eastAsia" w:ascii="Times New Roman" w:hAnsi="Times New Roman" w:eastAsia="方正仿宋_GBK" w:cs="方正仿宋_GBK"/>
          <w:sz w:val="32"/>
          <w:szCs w:val="32"/>
          <w:lang w:val="en-US" w:eastAsia="zh-CN" w:bidi="ar-SA"/>
        </w:rPr>
        <w:t>，主要原因是2024年未购置公务用车。</w:t>
      </w:r>
      <w:r>
        <w:rPr>
          <w:rFonts w:hint="default" w:ascii="Times New Roman" w:hAnsi="Times New Roman" w:eastAsia="方正仿宋_GBK" w:cs="方正仿宋_GBK"/>
          <w:sz w:val="32"/>
          <w:szCs w:val="32"/>
          <w:lang w:val="en-US" w:eastAsia="zh-CN" w:bidi="ar-SA"/>
        </w:rPr>
        <w:t>较上年支出数减少26.00万元，下降100.0%</w:t>
      </w:r>
      <w:r>
        <w:rPr>
          <w:rFonts w:hint="eastAsia" w:ascii="Times New Roman" w:hAnsi="Times New Roman" w:eastAsia="方正仿宋_GBK" w:cs="方正仿宋_GBK"/>
          <w:sz w:val="32"/>
          <w:szCs w:val="32"/>
          <w:lang w:val="en-US" w:eastAsia="zh-CN" w:bidi="ar-SA"/>
        </w:rPr>
        <w:t>，主要原因是2024年未购置公务用车。</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公务</w:t>
      </w:r>
      <w:r>
        <w:rPr>
          <w:rFonts w:hint="eastAsia" w:ascii="Times New Roman" w:hAnsi="Times New Roman" w:eastAsia="方正仿宋_GBK" w:cs="方正仿宋_GBK"/>
          <w:sz w:val="32"/>
          <w:szCs w:val="32"/>
          <w:lang w:val="en-US" w:eastAsia="zh-CN" w:bidi="ar-SA"/>
        </w:rPr>
        <w:t>用</w:t>
      </w:r>
      <w:r>
        <w:rPr>
          <w:rFonts w:hint="default" w:ascii="Times New Roman" w:hAnsi="Times New Roman" w:eastAsia="方正仿宋_GBK" w:cs="方正仿宋_GBK"/>
          <w:sz w:val="32"/>
          <w:szCs w:val="32"/>
          <w:lang w:val="en-US" w:eastAsia="zh-CN" w:bidi="ar-SA"/>
        </w:rPr>
        <w:t>车运行维护费4.95万元，</w:t>
      </w:r>
      <w:r>
        <w:rPr>
          <w:rFonts w:ascii="Times New Roman" w:hAnsi="Times New Roman" w:eastAsia="方正仿宋_GBK" w:cs="方正仿宋_GBK"/>
          <w:sz w:val="32"/>
          <w:szCs w:val="32"/>
          <w:shd w:val="clear" w:color="auto" w:fill="FFFFFF"/>
        </w:rPr>
        <w:t>主要用于</w:t>
      </w:r>
      <w:r>
        <w:rPr>
          <w:rFonts w:hint="eastAsia" w:ascii="Times New Roman" w:hAnsi="Times New Roman" w:eastAsia="方正仿宋_GBK" w:cs="方正仿宋_GBK"/>
          <w:kern w:val="0"/>
          <w:sz w:val="32"/>
          <w:szCs w:val="32"/>
        </w:rPr>
        <w:t>机要文件交换、市内因公出行、到街镇扶贫等工作所需车辆的燃料费、维修费、</w:t>
      </w:r>
      <w:r>
        <w:rPr>
          <w:rFonts w:hint="eastAsia" w:ascii="Times New Roman" w:hAnsi="Times New Roman" w:eastAsia="方正仿宋_GBK" w:cs="方正仿宋_GBK"/>
          <w:kern w:val="0"/>
          <w:sz w:val="32"/>
          <w:szCs w:val="32"/>
          <w:lang w:eastAsia="zh-CN"/>
        </w:rPr>
        <w:t>高</w:t>
      </w:r>
      <w:r>
        <w:rPr>
          <w:rFonts w:hint="eastAsia" w:ascii="Times New Roman" w:hAnsi="Times New Roman" w:eastAsia="方正仿宋_GBK" w:cs="方正仿宋_GBK"/>
          <w:sz w:val="32"/>
          <w:szCs w:val="32"/>
          <w:lang w:val="en-US" w:eastAsia="zh-CN" w:bidi="ar-SA"/>
        </w:rPr>
        <w:t>速通行费、保险费等。</w:t>
      </w:r>
      <w:r>
        <w:rPr>
          <w:rFonts w:hint="default" w:ascii="Times New Roman" w:hAnsi="Times New Roman" w:eastAsia="方正仿宋_GBK" w:cs="方正仿宋_GBK"/>
          <w:sz w:val="32"/>
          <w:szCs w:val="32"/>
          <w:lang w:val="en-US" w:eastAsia="zh-CN" w:bidi="ar-SA"/>
        </w:rPr>
        <w:t>费用支出较年初预算数减少1.55万元，下降23.9%，主要原因是</w:t>
      </w:r>
      <w:r>
        <w:rPr>
          <w:rFonts w:hint="eastAsia" w:ascii="Times New Roman" w:hAnsi="Times New Roman" w:eastAsia="方正仿宋_GBK" w:cs="方正仿宋_GBK"/>
          <w:sz w:val="32"/>
          <w:szCs w:val="32"/>
          <w:lang w:val="en-US" w:eastAsia="zh-CN" w:bidi="ar-SA"/>
        </w:rPr>
        <w:t>厉行节约，严格控制支出。</w:t>
      </w:r>
      <w:r>
        <w:rPr>
          <w:rFonts w:hint="default" w:ascii="Times New Roman" w:hAnsi="Times New Roman" w:eastAsia="方正仿宋_GBK" w:cs="方正仿宋_GBK"/>
          <w:sz w:val="32"/>
          <w:szCs w:val="32"/>
          <w:lang w:val="en-US" w:eastAsia="zh-CN" w:bidi="ar-SA"/>
        </w:rPr>
        <w:t>较上年支出数减少0.18万元，下降3.5%，主要原因是</w:t>
      </w:r>
      <w:r>
        <w:rPr>
          <w:rFonts w:hint="eastAsia" w:ascii="Times New Roman" w:hAnsi="Times New Roman" w:eastAsia="方正仿宋_GBK" w:cs="方正仿宋_GBK"/>
          <w:sz w:val="32"/>
          <w:szCs w:val="32"/>
          <w:lang w:val="en-US" w:eastAsia="zh-CN" w:bidi="ar-SA"/>
        </w:rPr>
        <w:t>厉行节约，严格控制支出</w:t>
      </w:r>
      <w:r>
        <w:rPr>
          <w:rFonts w:hint="default" w:ascii="Times New Roman" w:hAnsi="Times New Roman" w:eastAsia="方正仿宋_GBK" w:cs="方正仿宋_GBK"/>
          <w:sz w:val="32"/>
          <w:szCs w:val="32"/>
          <w:lang w:val="en-US" w:eastAsia="zh-CN" w:bidi="ar-SA"/>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公务接待费0.91万元，</w:t>
      </w:r>
      <w:r>
        <w:rPr>
          <w:rFonts w:ascii="Times New Roman" w:hAnsi="Times New Roman" w:eastAsia="方正仿宋_GBK" w:cs="方正仿宋_GBK"/>
          <w:sz w:val="32"/>
          <w:szCs w:val="32"/>
          <w:shd w:val="clear" w:color="auto" w:fill="FFFFFF"/>
        </w:rPr>
        <w:t>主要用于接待</w:t>
      </w:r>
      <w:r>
        <w:rPr>
          <w:rFonts w:hint="eastAsia" w:ascii="Times New Roman" w:hAnsi="Times New Roman" w:eastAsia="方正仿宋_GBK" w:cs="方正仿宋_GBK"/>
          <w:color w:val="auto"/>
          <w:sz w:val="32"/>
          <w:szCs w:val="27"/>
          <w:shd w:val="clear" w:color="auto" w:fill="FFFFFF"/>
        </w:rPr>
        <w:t>市级主管部门来綦考察和调研工作等。</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w:t>
      </w:r>
      <w:r>
        <w:rPr>
          <w:rFonts w:hint="default" w:ascii="Times New Roman" w:hAnsi="Times New Roman" w:eastAsia="方正仿宋_GBK" w:cs="方正仿宋_GBK"/>
          <w:sz w:val="32"/>
          <w:szCs w:val="32"/>
          <w:lang w:val="en-US" w:eastAsia="zh-CN" w:bidi="ar-SA"/>
        </w:rPr>
        <w:t>1.09万元，下降54.5%，主要原因是</w:t>
      </w:r>
      <w:r>
        <w:rPr>
          <w:rFonts w:hint="eastAsia" w:ascii="Times New Roman" w:hAnsi="Times New Roman" w:eastAsia="方正仿宋_GBK" w:cs="方正仿宋_GBK"/>
          <w:sz w:val="32"/>
          <w:szCs w:val="32"/>
          <w:lang w:val="en-US" w:eastAsia="zh-CN" w:bidi="ar-SA"/>
        </w:rPr>
        <w:t>厉行节约，严格控制支出。</w:t>
      </w:r>
      <w:r>
        <w:rPr>
          <w:rFonts w:hint="default" w:ascii="Times New Roman" w:hAnsi="Times New Roman" w:eastAsia="方正仿宋_GBK" w:cs="方正仿宋_GBK"/>
          <w:sz w:val="32"/>
          <w:szCs w:val="32"/>
          <w:lang w:val="en-US" w:eastAsia="zh-CN" w:bidi="ar-SA"/>
        </w:rPr>
        <w:t>较上年支出数增加0.23万元，增长33.8%，主要原因是</w:t>
      </w:r>
      <w:r>
        <w:rPr>
          <w:rFonts w:hint="eastAsia" w:ascii="Times New Roman" w:hAnsi="Times New Roman" w:eastAsia="方正仿宋_GBK" w:cs="方正仿宋_GBK"/>
          <w:sz w:val="32"/>
          <w:szCs w:val="32"/>
          <w:lang w:val="en-US" w:eastAsia="zh-CN" w:bidi="ar-SA"/>
        </w:rPr>
        <w:t>接待人数增加。</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2024年度本</w:t>
      </w:r>
      <w:r>
        <w:rPr>
          <w:rFonts w:hint="eastAsia" w:ascii="Times New Roman" w:hAnsi="Times New Roman" w:eastAsia="方正仿宋_GBK" w:cs="方正仿宋_GBK"/>
          <w:sz w:val="32"/>
          <w:szCs w:val="32"/>
          <w:lang w:val="en-US" w:eastAsia="zh-CN" w:bidi="ar-SA"/>
        </w:rPr>
        <w:t>单位</w:t>
      </w:r>
      <w:r>
        <w:rPr>
          <w:rFonts w:hint="default" w:ascii="Times New Roman" w:hAnsi="Times New Roman" w:eastAsia="方正仿宋_GBK" w:cs="方正仿宋_GBK"/>
          <w:sz w:val="32"/>
          <w:szCs w:val="32"/>
          <w:lang w:val="en-US" w:eastAsia="zh-CN" w:bidi="ar-SA"/>
        </w:rPr>
        <w:t>因公出国（境）共计0个团组，0人；公务用车购置0辆，公务车保有量为1辆；国内公务接待10批次115人，其中：国内外事接待0批次，0人；国（境）外公务接待0批次，0人。2024年本</w:t>
      </w:r>
      <w:r>
        <w:rPr>
          <w:rFonts w:hint="eastAsia" w:ascii="Times New Roman" w:hAnsi="Times New Roman" w:eastAsia="方正仿宋_GBK" w:cs="方正仿宋_GBK"/>
          <w:sz w:val="32"/>
          <w:szCs w:val="32"/>
          <w:lang w:val="en-US" w:eastAsia="zh-CN" w:bidi="ar-SA"/>
        </w:rPr>
        <w:t>单位</w:t>
      </w:r>
      <w:r>
        <w:rPr>
          <w:rFonts w:hint="default" w:ascii="Times New Roman" w:hAnsi="Times New Roman" w:eastAsia="方正仿宋_GBK" w:cs="方正仿宋_GBK"/>
          <w:sz w:val="32"/>
          <w:szCs w:val="32"/>
          <w:lang w:val="en-US" w:eastAsia="zh-CN" w:bidi="ar-SA"/>
        </w:rPr>
        <w:t>人均接待费79.13元，车均购置费0万元，车均维护费4.95万元。</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600" w:lineRule="exact"/>
        <w:ind w:firstLine="640" w:firstLineChars="200"/>
        <w:textAlignment w:val="auto"/>
        <w:outlineLvl w:val="9"/>
        <w:rPr>
          <w:rStyle w:val="21"/>
          <w:rFonts w:hint="default" w:ascii="Times New Roman" w:hAnsi="Times New Roman" w:eastAsia="方正黑体_GBK" w:cs="方正黑体_GBK"/>
          <w:b w:val="0"/>
          <w:bCs/>
          <w:sz w:val="32"/>
          <w:szCs w:val="32"/>
          <w:shd w:val="clear" w:color="auto" w:fill="FFFFFF"/>
          <w:lang w:val="en-US" w:eastAsia="zh-CN" w:bidi="ar-SA"/>
        </w:rPr>
      </w:pPr>
      <w:r>
        <w:rPr>
          <w:rStyle w:val="21"/>
          <w:rFonts w:ascii="Times New Roman" w:hAnsi="Times New Roman" w:eastAsia="方正黑体_GBK" w:cs="方正黑体_GBK"/>
          <w:b w:val="0"/>
          <w:bCs/>
          <w:sz w:val="32"/>
          <w:szCs w:val="32"/>
          <w:shd w:val="clear" w:color="auto" w:fill="FFFFFF"/>
          <w:lang w:val="en-US" w:eastAsia="zh-CN" w:bidi="ar-SA"/>
        </w:rPr>
        <w:t>四、其他需要说明的事项</w:t>
      </w:r>
    </w:p>
    <w:p>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textAlignment w:val="auto"/>
        <w:outlineLvl w:val="9"/>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（一）财政拨款会议费</w:t>
      </w:r>
      <w:r>
        <w:rPr>
          <w:rFonts w:hint="eastAsia" w:ascii="Times New Roman" w:hAnsi="Times New Roman" w:eastAsia="楷体" w:cs="楷体"/>
          <w:b w:val="0"/>
          <w:bCs w:val="0"/>
          <w:sz w:val="32"/>
          <w:szCs w:val="32"/>
          <w:shd w:val="clear" w:color="auto" w:fill="FFFFFF"/>
          <w:lang w:eastAsia="zh-CN"/>
        </w:rPr>
        <w:t>、</w:t>
      </w:r>
      <w:r>
        <w:rPr>
          <w:rFonts w:hint="eastAsia" w:ascii="Times New Roman" w:hAnsi="Times New Roman" w:eastAsia="楷体" w:cs="楷体"/>
          <w:b w:val="0"/>
          <w:bCs w:val="0"/>
          <w:sz w:val="32"/>
          <w:szCs w:val="32"/>
          <w:shd w:val="clear" w:color="auto" w:fill="FFFFFF"/>
        </w:rPr>
        <w:t>培训费</w:t>
      </w:r>
      <w:r>
        <w:rPr>
          <w:rFonts w:hint="eastAsia" w:ascii="Times New Roman" w:hAnsi="Times New Roman" w:eastAsia="楷体" w:cs="楷体"/>
          <w:b w:val="0"/>
          <w:bCs w:val="0"/>
          <w:sz w:val="32"/>
          <w:szCs w:val="32"/>
          <w:shd w:val="clear" w:color="auto" w:fill="FFFFFF"/>
          <w:lang w:eastAsia="zh-CN"/>
        </w:rPr>
        <w:t>和差旅费</w:t>
      </w:r>
      <w:r>
        <w:rPr>
          <w:rFonts w:hint="eastAsia" w:ascii="Times New Roman" w:hAnsi="Times New Roman" w:eastAsia="楷体" w:cs="楷体"/>
          <w:b w:val="0"/>
          <w:bCs w:val="0"/>
          <w:sz w:val="32"/>
          <w:szCs w:val="32"/>
          <w:shd w:val="clear" w:color="auto" w:fill="FFFFFF"/>
        </w:rPr>
        <w:t>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本年度会议费支出2.85万元，与2023年度相比，减少12.76万元，下降81.7%，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会议人次减少等</w:t>
      </w:r>
      <w:r>
        <w:rPr>
          <w:rFonts w:ascii="Times New Roman" w:hAnsi="Times New Roman" w:eastAsia="方正仿宋_GBK" w:cs="方正仿宋_GBK"/>
          <w:sz w:val="32"/>
          <w:szCs w:val="32"/>
          <w:shd w:val="clear" w:color="auto" w:fill="FFFFFF"/>
        </w:rPr>
        <w:t>。本年度培训费</w:t>
      </w:r>
      <w:r>
        <w:rPr>
          <w:rFonts w:hint="default" w:ascii="Times New Roman" w:hAnsi="Times New Roman" w:eastAsia="方正仿宋_GBK" w:cs="方正仿宋_GBK"/>
          <w:sz w:val="32"/>
          <w:szCs w:val="32"/>
          <w:lang w:val="en-US" w:eastAsia="zh-CN" w:bidi="ar-SA"/>
        </w:rPr>
        <w:t>支出44.95万元，与2023年度相比，减少5.44万元，下降10.8%，主要原因是</w:t>
      </w:r>
      <w:r>
        <w:rPr>
          <w:rFonts w:hint="eastAsia" w:ascii="Times New Roman" w:hAnsi="Times New Roman" w:eastAsia="方正仿宋_GBK" w:cs="方正仿宋_GBK"/>
          <w:sz w:val="32"/>
          <w:szCs w:val="32"/>
          <w:lang w:val="en-US" w:eastAsia="zh-CN" w:bidi="ar-SA"/>
        </w:rPr>
        <w:t>培训人次减少等</w:t>
      </w:r>
      <w:r>
        <w:rPr>
          <w:rFonts w:hint="default" w:ascii="Times New Roman" w:hAnsi="Times New Roman" w:eastAsia="方正仿宋_GBK" w:cs="方正仿宋_GBK"/>
          <w:sz w:val="32"/>
          <w:szCs w:val="32"/>
          <w:lang w:val="en-US" w:eastAsia="zh-CN" w:bidi="ar-SA"/>
        </w:rPr>
        <w:t>。本年度差旅费支出10.10万元，与2023年度相比，增加3.27万元，增长47.9%，主要原因是</w:t>
      </w:r>
      <w:r>
        <w:rPr>
          <w:rFonts w:hint="eastAsia" w:ascii="Times New Roman" w:hAnsi="Times New Roman" w:eastAsia="方正仿宋_GBK" w:cs="方正仿宋_GBK"/>
          <w:sz w:val="32"/>
          <w:szCs w:val="32"/>
          <w:lang w:val="en-US" w:eastAsia="zh-CN" w:bidi="ar-SA"/>
        </w:rPr>
        <w:t>出差人次增加等。</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（二）机关运行经费情况说明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2024年度本</w:t>
      </w:r>
      <w:r>
        <w:rPr>
          <w:rFonts w:hint="eastAsia" w:ascii="Times New Roman" w:hAnsi="Times New Roman" w:eastAsia="方正仿宋_GBK" w:cs="方正仿宋_GBK"/>
          <w:sz w:val="32"/>
          <w:szCs w:val="32"/>
          <w:lang w:val="en-US" w:eastAsia="zh-CN" w:bidi="ar-SA"/>
        </w:rPr>
        <w:t>单位</w:t>
      </w:r>
      <w:r>
        <w:rPr>
          <w:rFonts w:hint="default" w:ascii="Times New Roman" w:hAnsi="Times New Roman" w:eastAsia="方正仿宋_GBK" w:cs="方正仿宋_GBK"/>
          <w:sz w:val="32"/>
          <w:szCs w:val="32"/>
          <w:lang w:val="en-US" w:eastAsia="zh-CN" w:bidi="ar-SA"/>
        </w:rPr>
        <w:t>机关运行经费支出112.96万元，机关运行经费主要用于</w:t>
      </w:r>
      <w:r>
        <w:rPr>
          <w:rFonts w:hint="eastAsia" w:ascii="Times New Roman" w:hAnsi="Times New Roman" w:eastAsia="方正仿宋_GBK" w:cs="方正仿宋_GBK"/>
          <w:sz w:val="32"/>
          <w:szCs w:val="32"/>
          <w:lang w:val="en-US" w:eastAsia="zh-CN" w:bidi="ar-SA"/>
        </w:rPr>
        <w:t>开支办公费、邮电费、差旅费、会议费、培训费、公务接待费、劳务费等</w:t>
      </w:r>
      <w:r>
        <w:rPr>
          <w:rFonts w:hint="default" w:ascii="Times New Roman" w:hAnsi="Times New Roman" w:eastAsia="方正仿宋_GBK" w:cs="方正仿宋_GBK"/>
          <w:sz w:val="32"/>
          <w:szCs w:val="32"/>
          <w:lang w:val="en-US" w:eastAsia="zh-CN" w:bidi="ar-SA"/>
        </w:rPr>
        <w:t>。机关运行经费较上年支出数增加5.39万元，增长5.0%，主要原因是2024年</w:t>
      </w:r>
      <w:r>
        <w:rPr>
          <w:rFonts w:hint="eastAsia" w:ascii="Times New Roman" w:hAnsi="Times New Roman" w:eastAsia="方正仿宋_GBK" w:cs="方正仿宋_GBK"/>
          <w:sz w:val="32"/>
          <w:szCs w:val="32"/>
          <w:lang w:val="en-US" w:eastAsia="zh-CN" w:bidi="ar-SA"/>
        </w:rPr>
        <w:t>将</w:t>
      </w:r>
      <w:r>
        <w:rPr>
          <w:rFonts w:hint="default" w:ascii="Times New Roman" w:hAnsi="Times New Roman" w:eastAsia="方正仿宋_GBK" w:cs="方正仿宋_GBK"/>
          <w:sz w:val="32"/>
          <w:szCs w:val="32"/>
          <w:lang w:val="en-US" w:eastAsia="zh-CN" w:bidi="ar-SA"/>
        </w:rPr>
        <w:t>运转性项目经费纳入机关运行经费管理，增加</w:t>
      </w:r>
      <w:r>
        <w:rPr>
          <w:rFonts w:hint="eastAsia" w:ascii="Times New Roman" w:hAnsi="Times New Roman" w:eastAsia="方正仿宋_GBK" w:cs="方正仿宋_GBK"/>
          <w:sz w:val="32"/>
          <w:szCs w:val="32"/>
          <w:lang w:val="en-US" w:eastAsia="zh-CN" w:bidi="ar-SA"/>
        </w:rPr>
        <w:t>了</w:t>
      </w:r>
      <w:r>
        <w:rPr>
          <w:rFonts w:hint="default" w:ascii="Times New Roman" w:hAnsi="Times New Roman" w:eastAsia="方正仿宋_GBK" w:cs="方正仿宋_GBK"/>
          <w:sz w:val="32"/>
          <w:szCs w:val="32"/>
          <w:lang w:val="en-US" w:eastAsia="zh-CN" w:bidi="ar-SA"/>
        </w:rPr>
        <w:t>机关公用经费支出。</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年12月31日，本单位共有车辆</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2024年度我单位未发生政府采购事项，无相关经费支出。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638" w:leftChars="266" w:firstLine="0" w:firstLineChars="0"/>
        <w:jc w:val="both"/>
        <w:textAlignment w:val="auto"/>
        <w:outlineLvl w:val="9"/>
        <w:rPr>
          <w:rStyle w:val="9"/>
          <w:rFonts w:hint="eastAsia" w:ascii="Times New Roman" w:hAnsi="Times New Roman" w:eastAsia="方正黑体_GBK" w:cs="方正黑体_GBK"/>
          <w:b w:val="0"/>
          <w:bCs w:val="0"/>
          <w:sz w:val="32"/>
          <w:szCs w:val="32"/>
          <w:shd w:val="clear" w:color="auto" w:fill="FFFFFF"/>
        </w:rPr>
      </w:pPr>
      <w:r>
        <w:rPr>
          <w:rFonts w:hint="eastAsia" w:ascii="Times New Roman" w:hAnsi="Times New Roman" w:eastAsia="方正黑体_GBK" w:cs="方正黑体_GBK"/>
          <w:b w:val="0"/>
          <w:bCs w:val="0"/>
          <w:color w:val="auto"/>
          <w:sz w:val="32"/>
          <w:szCs w:val="32"/>
          <w:shd w:val="clear" w:color="auto" w:fill="FFFFFF"/>
          <w:lang w:eastAsia="zh-CN"/>
        </w:rPr>
        <w:t>五、</w:t>
      </w:r>
      <w:r>
        <w:rPr>
          <w:rStyle w:val="9"/>
          <w:rFonts w:hint="eastAsia" w:ascii="Times New Roman" w:hAnsi="Times New Roman" w:eastAsia="方正黑体_GBK" w:cs="方正黑体_GBK"/>
          <w:b w:val="0"/>
          <w:bCs w:val="0"/>
          <w:sz w:val="32"/>
          <w:szCs w:val="32"/>
          <w:shd w:val="clear" w:color="auto" w:fill="FFFFFF"/>
        </w:rPr>
        <w:t>预算绩效管理情况说明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Times New Roman" w:hAnsi="Times New Roman" w:eastAsia="方正楷体_GBK" w:cs="方正楷体_GBK"/>
          <w:b w:val="0"/>
          <w:bCs w:val="0"/>
          <w:sz w:val="32"/>
          <w:szCs w:val="32"/>
          <w:lang w:val="en-US" w:eastAsia="zh-CN"/>
        </w:rPr>
      </w:pPr>
      <w:r>
        <w:rPr>
          <w:rFonts w:hint="eastAsia" w:ascii="Times New Roman" w:hAnsi="Times New Roman" w:eastAsia="方正楷体_GBK" w:cs="方正楷体_GBK"/>
          <w:b w:val="0"/>
          <w:bCs w:val="0"/>
          <w:sz w:val="32"/>
          <w:szCs w:val="32"/>
        </w:rPr>
        <w:t>（一）预算绩效管理工作开展情况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根据预算绩效管理要求，我</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对部门整体和</w:t>
      </w:r>
      <w:r>
        <w:rPr>
          <w:rFonts w:hint="eastAsia" w:ascii="Times New Roman" w:hAnsi="Times New Roman" w:eastAsia="方正仿宋_GBK" w:cs="方正仿宋_GBK"/>
          <w:sz w:val="32"/>
          <w:szCs w:val="32"/>
          <w:shd w:val="clear" w:color="auto" w:fill="FFFFFF"/>
          <w:lang w:val="en-US" w:eastAsia="zh-CN"/>
        </w:rPr>
        <w:t>21</w:t>
      </w:r>
      <w:r>
        <w:rPr>
          <w:rFonts w:hint="eastAsia" w:ascii="Times New Roman" w:hAnsi="Times New Roman" w:eastAsia="方正仿宋_GBK" w:cs="方正仿宋_GBK"/>
          <w:sz w:val="32"/>
          <w:szCs w:val="32"/>
          <w:shd w:val="clear" w:color="auto" w:fill="FFFFFF"/>
        </w:rPr>
        <w:t>个项目开展了绩效自评，其中，以填报自评表形式开展自评</w:t>
      </w:r>
      <w:r>
        <w:rPr>
          <w:rFonts w:hint="eastAsia" w:ascii="Times New Roman" w:hAnsi="Times New Roman" w:eastAsia="方正仿宋_GBK" w:cs="方正仿宋_GBK"/>
          <w:sz w:val="32"/>
          <w:szCs w:val="32"/>
          <w:shd w:val="clear" w:color="auto" w:fill="FFFFFF"/>
          <w:lang w:val="en-US" w:eastAsia="zh-CN"/>
        </w:rPr>
        <w:t>21</w:t>
      </w:r>
      <w:r>
        <w:rPr>
          <w:rFonts w:hint="eastAsia" w:ascii="Times New Roman" w:hAnsi="Times New Roman" w:eastAsia="方正仿宋_GBK" w:cs="方正仿宋_GBK"/>
          <w:sz w:val="32"/>
          <w:szCs w:val="32"/>
          <w:shd w:val="clear" w:color="auto" w:fill="FFFFFF"/>
        </w:rPr>
        <w:t>项，涉及资金</w:t>
      </w:r>
      <w:r>
        <w:rPr>
          <w:rFonts w:hint="default" w:ascii="Times New Roman" w:hAnsi="Times New Roman" w:eastAsia="方正仿宋_GBK" w:cs="宋体"/>
          <w:b w:val="0"/>
          <w:bCs w:val="0"/>
          <w:kern w:val="0"/>
          <w:sz w:val="32"/>
          <w:szCs w:val="32"/>
          <w:lang w:val="en-US" w:eastAsia="zh-CN" w:bidi="ar"/>
        </w:rPr>
        <w:t>637.44万元</w:t>
      </w:r>
      <w:r>
        <w:rPr>
          <w:rStyle w:val="9"/>
          <w:rFonts w:hint="eastAsia" w:ascii="Times New Roman" w:hAnsi="Times New Roman" w:eastAsia="方正仿宋_GBK" w:cs="方正仿宋_GBK"/>
          <w:b w:val="0"/>
          <w:bCs w:val="0"/>
          <w:sz w:val="32"/>
          <w:szCs w:val="32"/>
          <w:shd w:val="clear" w:color="auto" w:fill="FFFFFF"/>
        </w:rPr>
        <w:t>；以委托第三方出具报告的方式开展绩效评价</w:t>
      </w:r>
      <w:r>
        <w:rPr>
          <w:rFonts w:hint="eastAsia" w:ascii="Times New Roman" w:hAnsi="Times New Roman" w:eastAsia="方正仿宋_GBK" w:cs="方正仿宋_GBK"/>
          <w:sz w:val="32"/>
          <w:szCs w:val="32"/>
          <w:shd w:val="clear" w:color="auto" w:fill="FFFFFF"/>
        </w:rPr>
        <w:t>0</w:t>
      </w:r>
      <w:r>
        <w:rPr>
          <w:rStyle w:val="9"/>
          <w:rFonts w:hint="eastAsia" w:ascii="Times New Roman" w:hAnsi="Times New Roman" w:eastAsia="方正仿宋_GBK" w:cs="方正仿宋_GBK"/>
          <w:b w:val="0"/>
          <w:bCs w:val="0"/>
          <w:sz w:val="32"/>
          <w:szCs w:val="32"/>
          <w:shd w:val="clear" w:color="auto" w:fill="FFFFFF"/>
        </w:rPr>
        <w:t>项，涉及资金</w:t>
      </w:r>
      <w:r>
        <w:rPr>
          <w:rFonts w:hint="eastAsia" w:ascii="Times New Roman" w:hAnsi="Times New Roman" w:eastAsia="方正仿宋_GBK" w:cs="方正仿宋_GBK"/>
          <w:sz w:val="32"/>
          <w:szCs w:val="32"/>
          <w:shd w:val="clear" w:color="auto" w:fill="FFFFFF"/>
        </w:rPr>
        <w:t>0</w:t>
      </w:r>
      <w:r>
        <w:rPr>
          <w:rFonts w:hint="eastAsia" w:ascii="Times New Roman" w:hAnsi="Times New Roman" w:eastAsia="方正仿宋_GBK" w:cs="方正仿宋_GBK"/>
          <w:sz w:val="32"/>
          <w:szCs w:val="32"/>
          <w:shd w:val="clear" w:color="auto" w:fill="FFFFFF"/>
          <w:lang w:val="en-US" w:eastAsia="zh-CN"/>
        </w:rPr>
        <w:t>.00</w:t>
      </w:r>
      <w:r>
        <w:rPr>
          <w:rStyle w:val="9"/>
          <w:rFonts w:hint="eastAsia" w:ascii="Times New Roman" w:hAnsi="Times New Roman" w:eastAsia="方正仿宋_GBK" w:cs="方正仿宋_GBK"/>
          <w:b w:val="0"/>
          <w:bCs w:val="0"/>
          <w:sz w:val="32"/>
          <w:szCs w:val="32"/>
          <w:shd w:val="clear" w:color="auto" w:fill="FFFFFF"/>
        </w:rPr>
        <w:t>万元</w:t>
      </w:r>
      <w:r>
        <w:rPr>
          <w:rFonts w:hint="eastAsia" w:ascii="Times New Roman" w:hAnsi="Times New Roman" w:eastAsia="方正仿宋_GBK" w:cs="方正仿宋_GBK"/>
          <w:sz w:val="32"/>
          <w:szCs w:val="32"/>
          <w:shd w:val="clear" w:color="auto" w:fill="FFFFFF"/>
        </w:rPr>
        <w:t>。</w:t>
      </w:r>
    </w:p>
    <w:p>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outlineLvl w:val="9"/>
        <w:rPr>
          <w:rFonts w:hint="eastAsia" w:ascii="Times New Roman" w:hAnsi="Times New Roman" w:eastAsia="方正楷体_GBK"/>
          <w:b w:val="0"/>
          <w:bCs w:val="0"/>
          <w:sz w:val="32"/>
          <w:szCs w:val="32"/>
        </w:rPr>
      </w:pPr>
      <w:r>
        <w:rPr>
          <w:rFonts w:hint="eastAsia" w:ascii="Times New Roman" w:hAnsi="Times New Roman" w:eastAsia="方正楷体_GBK"/>
          <w:b w:val="0"/>
          <w:bCs w:val="0"/>
          <w:sz w:val="32"/>
          <w:szCs w:val="32"/>
        </w:rPr>
        <w:t>（二）绩效自评结果</w:t>
      </w:r>
    </w:p>
    <w:p>
      <w:pPr>
        <w:keepNext w:val="0"/>
        <w:keepLines w:val="0"/>
        <w:pageBreakBefore w:val="0"/>
        <w:widowControl w:val="0"/>
        <w:kinsoku/>
        <w:wordWrap/>
        <w:overflowPunct/>
        <w:topLinePunct w:val="0"/>
        <w:autoSpaceDN/>
        <w:bidi w:val="0"/>
        <w:adjustRightInd/>
        <w:spacing w:line="600" w:lineRule="exact"/>
        <w:ind w:firstLine="643" w:firstLineChars="200"/>
        <w:jc w:val="both"/>
        <w:textAlignment w:val="auto"/>
        <w:outlineLvl w:val="9"/>
        <w:rPr>
          <w:rFonts w:hint="eastAsia" w:ascii="Times New Roman" w:hAnsi="Times New Roman" w:eastAsia="方正仿宋_GBK"/>
          <w:b/>
          <w:bCs/>
          <w:sz w:val="32"/>
          <w:szCs w:val="32"/>
        </w:rPr>
      </w:pPr>
      <w:r>
        <w:rPr>
          <w:rFonts w:hint="eastAsia" w:ascii="Times New Roman" w:hAnsi="Times New Roman" w:eastAsia="方正仿宋_GBK"/>
          <w:b/>
          <w:bCs/>
          <w:sz w:val="32"/>
          <w:szCs w:val="32"/>
        </w:rPr>
        <w:t>1.</w:t>
      </w:r>
      <w:r>
        <w:rPr>
          <w:rFonts w:hint="eastAsia" w:ascii="Times New Roman" w:hAnsi="Times New Roman" w:eastAsia="方正仿宋_GBK"/>
          <w:b/>
          <w:bCs/>
          <w:sz w:val="32"/>
          <w:szCs w:val="32"/>
          <w:lang w:val="en-US" w:eastAsia="zh-CN"/>
        </w:rPr>
        <w:t xml:space="preserve"> </w:t>
      </w:r>
      <w:r>
        <w:rPr>
          <w:rFonts w:hint="eastAsia" w:ascii="Times New Roman" w:hAnsi="Times New Roman" w:eastAsia="方正仿宋_GBK"/>
          <w:b/>
          <w:bCs/>
          <w:sz w:val="32"/>
          <w:szCs w:val="32"/>
        </w:rPr>
        <w:t>绩效目标自评表。</w:t>
      </w:r>
    </w:p>
    <w:p>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outlineLvl w:val="9"/>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bidi="ar-SA"/>
        </w:rPr>
        <w:t>公开范围。整体绩效自评表，部分项目绩效自评表。</w:t>
      </w:r>
    </w:p>
    <w:p>
      <w:pPr>
        <w:pStyle w:val="19"/>
        <w:keepNext w:val="0"/>
        <w:keepLines w:val="0"/>
        <w:pageBreakBefore w:val="0"/>
        <w:widowControl w:val="0"/>
        <w:tabs>
          <w:tab w:val="center" w:pos="4153"/>
          <w:tab w:val="left" w:pos="7275"/>
        </w:tabs>
        <w:kinsoku/>
        <w:wordWrap/>
        <w:overflowPunct/>
        <w:topLinePunct w:val="0"/>
        <w:autoSpaceDN/>
        <w:bidi w:val="0"/>
        <w:adjustRightInd/>
        <w:spacing w:line="600" w:lineRule="exact"/>
        <w:jc w:val="both"/>
        <w:textAlignment w:val="auto"/>
        <w:outlineLvl w:val="9"/>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（2）</w:t>
      </w:r>
      <w:r>
        <w:rPr>
          <w:rFonts w:hint="eastAsia" w:ascii="Times New Roman" w:hAnsi="Times New Roman" w:eastAsia="方正仿宋_GBK" w:cs="宋体"/>
          <w:b w:val="0"/>
          <w:bCs w:val="0"/>
          <w:kern w:val="0"/>
          <w:sz w:val="32"/>
          <w:szCs w:val="32"/>
        </w:rPr>
        <w:t>详见</w:t>
      </w:r>
      <w:r>
        <w:rPr>
          <w:rFonts w:hint="eastAsia" w:ascii="Times New Roman" w:hAnsi="Times New Roman" w:eastAsia="方正仿宋_GBK" w:cs="宋体"/>
          <w:b w:val="0"/>
          <w:bCs w:val="0"/>
          <w:kern w:val="0"/>
          <w:sz w:val="32"/>
          <w:szCs w:val="32"/>
          <w:lang w:eastAsia="zh-CN"/>
        </w:rPr>
        <w:t>附件</w:t>
      </w:r>
      <w:r>
        <w:rPr>
          <w:rFonts w:hint="eastAsia" w:ascii="Times New Roman" w:hAnsi="Times New Roman" w:eastAsia="方正仿宋_GBK" w:cs="宋体"/>
          <w:b w:val="0"/>
          <w:bCs w:val="0"/>
          <w:kern w:val="0"/>
          <w:sz w:val="32"/>
          <w:szCs w:val="32"/>
        </w:rPr>
        <w:t>。</w:t>
      </w:r>
    </w:p>
    <w:p>
      <w:pPr>
        <w:keepNext w:val="0"/>
        <w:keepLines w:val="0"/>
        <w:pageBreakBefore w:val="0"/>
        <w:widowControl w:val="0"/>
        <w:kinsoku/>
        <w:wordWrap/>
        <w:overflowPunct/>
        <w:topLinePunct w:val="0"/>
        <w:autoSpaceDN/>
        <w:bidi w:val="0"/>
        <w:adjustRightInd/>
        <w:spacing w:line="600" w:lineRule="exact"/>
        <w:ind w:firstLine="643" w:firstLineChars="200"/>
        <w:jc w:val="both"/>
        <w:textAlignment w:val="auto"/>
        <w:outlineLvl w:val="9"/>
        <w:rPr>
          <w:rFonts w:hint="eastAsia" w:ascii="Times New Roman" w:hAnsi="Times New Roman" w:eastAsia="方正仿宋_GBK"/>
          <w:b w:val="0"/>
          <w:bCs w:val="0"/>
          <w:sz w:val="32"/>
          <w:szCs w:val="32"/>
        </w:rPr>
      </w:pPr>
      <w:r>
        <w:rPr>
          <w:rFonts w:hint="eastAsia" w:ascii="Times New Roman" w:hAnsi="Times New Roman" w:eastAsia="方正仿宋_GBK"/>
          <w:b/>
          <w:bCs/>
          <w:sz w:val="32"/>
          <w:szCs w:val="32"/>
        </w:rPr>
        <w:t>2.</w:t>
      </w:r>
      <w:r>
        <w:rPr>
          <w:rFonts w:hint="eastAsia" w:ascii="Times New Roman" w:hAnsi="Times New Roman" w:eastAsia="方正仿宋_GBK"/>
          <w:b/>
          <w:bCs/>
          <w:sz w:val="32"/>
          <w:szCs w:val="32"/>
          <w:lang w:val="en-US" w:eastAsia="zh-CN"/>
        </w:rPr>
        <w:t xml:space="preserve"> </w:t>
      </w:r>
      <w:r>
        <w:rPr>
          <w:rFonts w:hint="eastAsia" w:ascii="Times New Roman" w:hAnsi="Times New Roman" w:eastAsia="方正仿宋_GBK"/>
          <w:b/>
          <w:bCs/>
          <w:sz w:val="32"/>
          <w:szCs w:val="32"/>
        </w:rPr>
        <w:t>绩效自评报告或案例。</w:t>
      </w:r>
      <w:r>
        <w:rPr>
          <w:rFonts w:hint="eastAsia" w:ascii="Times New Roman" w:hAnsi="Times New Roman" w:eastAsia="方正仿宋_GBK"/>
          <w:b w:val="0"/>
          <w:bCs w:val="0"/>
          <w:sz w:val="32"/>
          <w:szCs w:val="32"/>
        </w:rPr>
        <w:t>无。</w:t>
      </w:r>
    </w:p>
    <w:p>
      <w:pPr>
        <w:keepNext w:val="0"/>
        <w:keepLines w:val="0"/>
        <w:pageBreakBefore w:val="0"/>
        <w:widowControl w:val="0"/>
        <w:kinsoku/>
        <w:wordWrap/>
        <w:overflowPunct/>
        <w:topLinePunct w:val="0"/>
        <w:autoSpaceDN/>
        <w:bidi w:val="0"/>
        <w:adjustRightInd/>
        <w:spacing w:line="600" w:lineRule="exact"/>
        <w:ind w:firstLine="643" w:firstLineChars="200"/>
        <w:jc w:val="both"/>
        <w:textAlignment w:val="auto"/>
        <w:outlineLvl w:val="9"/>
        <w:rPr>
          <w:rFonts w:hint="eastAsia" w:ascii="Times New Roman" w:hAnsi="Times New Roman" w:eastAsia="方正仿宋_GBK"/>
          <w:b w:val="0"/>
          <w:bCs w:val="0"/>
          <w:sz w:val="32"/>
          <w:szCs w:val="32"/>
          <w:lang w:eastAsia="zh-CN"/>
        </w:rPr>
      </w:pPr>
      <w:r>
        <w:rPr>
          <w:rFonts w:hint="eastAsia" w:ascii="Times New Roman" w:hAnsi="Times New Roman" w:eastAsia="方正仿宋_GBK"/>
          <w:b/>
          <w:bCs/>
          <w:sz w:val="32"/>
          <w:szCs w:val="32"/>
        </w:rPr>
        <w:t>3.</w:t>
      </w:r>
      <w:r>
        <w:rPr>
          <w:rFonts w:hint="eastAsia" w:ascii="Times New Roman" w:hAnsi="Times New Roman" w:eastAsia="方正仿宋_GBK"/>
          <w:b/>
          <w:bCs/>
          <w:sz w:val="32"/>
          <w:szCs w:val="32"/>
          <w:lang w:val="en-US" w:eastAsia="zh-CN"/>
        </w:rPr>
        <w:t xml:space="preserve"> </w:t>
      </w:r>
      <w:r>
        <w:rPr>
          <w:rFonts w:hint="eastAsia" w:ascii="Times New Roman" w:hAnsi="Times New Roman" w:eastAsia="方正仿宋_GBK"/>
          <w:b/>
          <w:bCs/>
          <w:sz w:val="32"/>
          <w:szCs w:val="32"/>
        </w:rPr>
        <w:t>关于绩效自评结果的说明</w:t>
      </w:r>
      <w:r>
        <w:rPr>
          <w:rFonts w:hint="eastAsia" w:ascii="Times New Roman" w:hAnsi="Times New Roman" w:eastAsia="方正仿宋_GBK"/>
          <w:b w:val="0"/>
          <w:bCs w:val="0"/>
          <w:sz w:val="32"/>
          <w:szCs w:val="32"/>
        </w:rPr>
        <w:t>。</w:t>
      </w:r>
      <w:r>
        <w:rPr>
          <w:rFonts w:hint="eastAsia" w:ascii="Times New Roman" w:hAnsi="Times New Roman" w:eastAsia="方正仿宋_GBK"/>
          <w:b w:val="0"/>
          <w:bCs w:val="0"/>
          <w:sz w:val="32"/>
          <w:szCs w:val="32"/>
          <w:lang w:eastAsia="zh-CN"/>
        </w:rPr>
        <w:t>无。</w:t>
      </w:r>
    </w:p>
    <w:p>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outlineLvl w:val="9"/>
        <w:rPr>
          <w:rFonts w:hint="eastAsia" w:ascii="Times New Roman" w:hAnsi="Times New Roman" w:eastAsia="方正楷体_GBK" w:cs="方正仿宋_GBK"/>
          <w:b w:val="0"/>
          <w:bCs w:val="0"/>
          <w:sz w:val="32"/>
          <w:szCs w:val="32"/>
          <w:shd w:val="clear" w:color="auto" w:fill="FFFFFF"/>
          <w:lang w:eastAsia="zh-CN"/>
        </w:rPr>
      </w:pPr>
      <w:r>
        <w:rPr>
          <w:rFonts w:hint="eastAsia" w:ascii="Times New Roman" w:hAnsi="Times New Roman" w:eastAsia="方正楷体_GBK"/>
          <w:b w:val="0"/>
          <w:bCs w:val="0"/>
          <w:sz w:val="32"/>
          <w:szCs w:val="32"/>
        </w:rPr>
        <w:t>（三）重点绩效评价结果</w:t>
      </w:r>
      <w:r>
        <w:rPr>
          <w:rFonts w:hint="eastAsia" w:ascii="Times New Roman" w:hAnsi="Times New Roman" w:eastAsia="方正楷体_GBK"/>
          <w:b w:val="0"/>
          <w:bCs w:val="0"/>
          <w:sz w:val="32"/>
          <w:szCs w:val="32"/>
          <w:lang w:eastAsia="zh-CN"/>
        </w:rPr>
        <w:t>。无。</w:t>
      </w:r>
    </w:p>
    <w:p>
      <w:pPr>
        <w:pStyle w:val="12"/>
        <w:keepNext w:val="0"/>
        <w:keepLines w:val="0"/>
        <w:pageBreakBefore w:val="0"/>
        <w:widowControl w:val="0"/>
        <w:kinsoku/>
        <w:wordWrap/>
        <w:overflowPunct/>
        <w:topLinePunct w:val="0"/>
        <w:autoSpaceDE w:val="0"/>
        <w:autoSpaceDN/>
        <w:bidi w:val="0"/>
        <w:adjustRightInd/>
        <w:spacing w:line="600" w:lineRule="exact"/>
        <w:ind w:firstLine="643"/>
        <w:textAlignment w:val="auto"/>
        <w:outlineLvl w:val="9"/>
        <w:rPr>
          <w:rStyle w:val="9"/>
          <w:rFonts w:hint="eastAsia" w:ascii="Times New Roman" w:hAnsi="Times New Roman" w:eastAsia="方正黑体_GBK" w:cs="方正黑体_GBK"/>
          <w:b w:val="0"/>
          <w:bCs/>
          <w:sz w:val="32"/>
          <w:szCs w:val="32"/>
          <w:shd w:val="clear" w:color="auto" w:fill="FFFFFF"/>
        </w:rPr>
      </w:pPr>
      <w:r>
        <w:rPr>
          <w:rStyle w:val="9"/>
          <w:rFonts w:hint="eastAsia" w:ascii="Times New Roman" w:hAnsi="Times New Roman" w:eastAsia="方正黑体_GBK" w:cs="方正黑体_GBK"/>
          <w:b w:val="0"/>
          <w:bCs/>
          <w:sz w:val="32"/>
          <w:szCs w:val="32"/>
          <w:shd w:val="clear" w:color="auto" w:fill="FFFFFF"/>
        </w:rPr>
        <w:t>六、专业名词解释</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（二）事业收入：</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（三）经营收入：</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（四）其他收入：</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（五）使用非财政拨款结余：</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（六）年初结转和结余：</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（七）结余分配：</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（八）年末结转和结余：</w:t>
      </w:r>
      <w:r>
        <w:rPr>
          <w:rFonts w:ascii="Times New Roman" w:hAnsi="Times New Roman" w:eastAsia="方正仿宋_GBK" w:cs="方正仿宋_GBK"/>
          <w:sz w:val="32"/>
          <w:szCs w:val="32"/>
          <w:shd w:val="clear" w:color="auto" w:fill="FFFFFF"/>
        </w:rPr>
        <w:t>指单位结转下年的基本支出结转、项目支出结转和结余、经营结余。</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（九）基本支出：</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（十）项目支出：</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（十一）经营支出：</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（十二）“三公”经费：</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（十三）机关运行经费：</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（十四）工资福利支出（支出经济分类科目类级）：</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（十五）商品和服务支出（支出经济分类科目类级）：</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shd w:val="clear" w:color="auto" w:fill="FFFFFF"/>
        </w:rPr>
        <w:t>（十六）对个人和家庭的补助（支出经济分类科目类级）：</w:t>
      </w:r>
      <w:r>
        <w:rPr>
          <w:rFonts w:ascii="Times New Roman" w:hAnsi="Times New Roman" w:eastAsia="方正仿宋_GBK" w:cs="方正仿宋_GBK"/>
          <w:sz w:val="32"/>
          <w:szCs w:val="32"/>
          <w:shd w:val="clear" w:color="auto" w:fill="FFFFFF"/>
        </w:rPr>
        <w:t>反映用于对个人和家庭的补助支出。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ascii="Times New Roman" w:hAnsi="Times New Roman" w:eastAsia="方正仿宋_GBK" w:cs="方正仿宋_GBK"/>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（十七）其他资本性支出（支出经济分类科目类级）：</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N/>
        <w:bidi w:val="0"/>
        <w:adjustRightInd/>
        <w:spacing w:line="600" w:lineRule="exact"/>
        <w:ind w:firstLine="640" w:firstLineChars="200"/>
        <w:textAlignment w:val="auto"/>
        <w:outlineLvl w:val="9"/>
        <w:rPr>
          <w:rStyle w:val="9"/>
          <w:rFonts w:hint="eastAsia" w:ascii="Times New Roman" w:hAnsi="Times New Roman" w:eastAsia="方正黑体_GBK" w:cs="方正黑体_GBK"/>
          <w:b w:val="0"/>
          <w:bCs/>
          <w:sz w:val="32"/>
          <w:szCs w:val="32"/>
          <w:shd w:val="clear" w:color="auto" w:fill="FFFFFF"/>
        </w:rPr>
      </w:pPr>
      <w:r>
        <w:rPr>
          <w:rStyle w:val="9"/>
          <w:rFonts w:hint="eastAsia" w:ascii="Times New Roman" w:hAnsi="Times New Roman" w:eastAsia="方正黑体_GBK" w:cs="方正黑体_GBK"/>
          <w:b w:val="0"/>
          <w:bCs/>
          <w:sz w:val="32"/>
          <w:szCs w:val="32"/>
          <w:shd w:val="clear" w:color="auto" w:fill="FFFFFF"/>
        </w:rPr>
        <w:t>七、决算公开联系方式</w:t>
      </w:r>
    </w:p>
    <w:p>
      <w:pPr>
        <w:pStyle w:val="12"/>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ascii="Times New Roman" w:hAnsi="Times New Roman" w:eastAsia="方正仿宋_GBK" w:cs="方正仿宋_GBK"/>
          <w:b w:val="0"/>
          <w:bCs w:val="0"/>
          <w:sz w:val="32"/>
          <w:szCs w:val="32"/>
          <w:lang w:val="en-US" w:eastAsia="zh-CN" w:bidi="ar-SA"/>
        </w:rPr>
      </w:pPr>
      <w:r>
        <w:rPr>
          <w:rFonts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b w:val="0"/>
          <w:bCs w:val="0"/>
          <w:sz w:val="32"/>
          <w:szCs w:val="32"/>
          <w:lang w:val="en-US" w:eastAsia="zh-CN" w:bidi="ar-SA"/>
        </w:rPr>
        <w:t>023-48662049</w:t>
      </w:r>
    </w:p>
    <w:p>
      <w:pPr>
        <w:keepNext w:val="0"/>
        <w:keepLines w:val="0"/>
        <w:pageBreakBefore w:val="0"/>
        <w:widowControl w:val="0"/>
        <w:kinsoku/>
        <w:wordWrap/>
        <w:overflowPunct/>
        <w:topLinePunct w:val="0"/>
        <w:autoSpaceDN/>
        <w:bidi w:val="0"/>
        <w:adjustRightInd/>
        <w:spacing w:line="600" w:lineRule="exact"/>
        <w:textAlignment w:val="auto"/>
        <w:rPr>
          <w:rFonts w:hint="default" w:ascii="Times New Roman" w:hAnsi="Times New Roman" w:cs="宋体"/>
          <w:sz w:val="21"/>
          <w:szCs w:val="21"/>
        </w:rPr>
      </w:pPr>
    </w:p>
    <w:sectPr>
      <w:headerReference r:id="rId3" w:type="default"/>
      <w:footerReference r:id="rId4" w:type="default"/>
      <w:pgSz w:w="11907" w:h="16839"/>
      <w:pgMar w:top="2098" w:right="1474" w:bottom="1984" w:left="1587" w:header="0" w:footer="1474" w:gutter="0"/>
      <w:pgNumType w:fmt="decimal" w:start="1"/>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sz w:val="18"/>
      </w:rPr>
      <w:pict>
        <v:shape id="_x0000_s1038" o:spid="_x0000_s1038"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4"/>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v:textbox>
        </v:shape>
      </w:pict>
    </w:r>
    <w:r>
      <w:rPr>
        <w:rFonts w:hint="default"/>
      </w:rPr>
      <w:pict>
        <v:shape id="_x0000_s1030" o:spid="_x0000_s1030" o:spt="202" type="#_x0000_t202" style="position:absolute;left:0pt;margin-top:1160.4pt;height:17.4pt;width:144pt;mso-position-horizontal:center;mso-position-horizontal-relative:margin;mso-position-vertical-relative:page;mso-wrap-style:none;z-index:251662336;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F661A6"/>
    <w:multiLevelType w:val="singleLevel"/>
    <w:tmpl w:val="90F661A6"/>
    <w:lvl w:ilvl="0" w:tentative="0">
      <w:start w:val="1"/>
      <w:numFmt w:val="decimal"/>
      <w:suff w:val="space"/>
      <w:lvlText w:val="%1."/>
      <w:lvlJc w:val="left"/>
    </w:lvl>
  </w:abstractNum>
  <w:abstractNum w:abstractNumId="1">
    <w:nsid w:val="40685053"/>
    <w:multiLevelType w:val="singleLevel"/>
    <w:tmpl w:val="40685053"/>
    <w:lvl w:ilvl="0" w:tentative="0">
      <w:start w:val="3"/>
      <w:numFmt w:val="chineseCounting"/>
      <w:suff w:val="nothing"/>
      <w:lvlText w:val="（%1）"/>
      <w:lvlJc w:val="left"/>
      <w:rPr>
        <w:rFonts w:hint="eastAsia"/>
      </w:rPr>
    </w:lvl>
  </w:abstractNum>
  <w:abstractNum w:abstractNumId="2">
    <w:nsid w:val="6DB573FD"/>
    <w:multiLevelType w:val="singleLevel"/>
    <w:tmpl w:val="6DB573FD"/>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7E2C06"/>
    <w:rsid w:val="01F3521E"/>
    <w:rsid w:val="03B87EA0"/>
    <w:rsid w:val="03E3214F"/>
    <w:rsid w:val="044C50BA"/>
    <w:rsid w:val="05BC6D49"/>
    <w:rsid w:val="06194FF1"/>
    <w:rsid w:val="06A2550B"/>
    <w:rsid w:val="06F80EE2"/>
    <w:rsid w:val="07001CCA"/>
    <w:rsid w:val="075678DB"/>
    <w:rsid w:val="079D7CC7"/>
    <w:rsid w:val="08051BCA"/>
    <w:rsid w:val="086B15E6"/>
    <w:rsid w:val="086C12F4"/>
    <w:rsid w:val="08705944"/>
    <w:rsid w:val="08BA052C"/>
    <w:rsid w:val="08DB07BA"/>
    <w:rsid w:val="0969353F"/>
    <w:rsid w:val="098305D0"/>
    <w:rsid w:val="0A3317EA"/>
    <w:rsid w:val="0A5C4B69"/>
    <w:rsid w:val="0A86124A"/>
    <w:rsid w:val="0AB54CC0"/>
    <w:rsid w:val="0B9335CE"/>
    <w:rsid w:val="0BF2311A"/>
    <w:rsid w:val="0C396597"/>
    <w:rsid w:val="0C7927C4"/>
    <w:rsid w:val="0C9B098C"/>
    <w:rsid w:val="0D673E11"/>
    <w:rsid w:val="0DDA54E4"/>
    <w:rsid w:val="0E3A5F83"/>
    <w:rsid w:val="0F836721"/>
    <w:rsid w:val="0FA25D96"/>
    <w:rsid w:val="106A5941"/>
    <w:rsid w:val="107B59E5"/>
    <w:rsid w:val="10EC0126"/>
    <w:rsid w:val="10F70B9A"/>
    <w:rsid w:val="111445C7"/>
    <w:rsid w:val="114278C6"/>
    <w:rsid w:val="1158083A"/>
    <w:rsid w:val="11643A4B"/>
    <w:rsid w:val="11ED0F98"/>
    <w:rsid w:val="11F03528"/>
    <w:rsid w:val="12C921C4"/>
    <w:rsid w:val="13871C70"/>
    <w:rsid w:val="13A71CB4"/>
    <w:rsid w:val="13AF1D43"/>
    <w:rsid w:val="13CE1647"/>
    <w:rsid w:val="13ED4C6E"/>
    <w:rsid w:val="13FD55AB"/>
    <w:rsid w:val="14042783"/>
    <w:rsid w:val="14200702"/>
    <w:rsid w:val="163A6CEE"/>
    <w:rsid w:val="173708E3"/>
    <w:rsid w:val="17C374FC"/>
    <w:rsid w:val="182E4AB6"/>
    <w:rsid w:val="189079DC"/>
    <w:rsid w:val="189B0D0B"/>
    <w:rsid w:val="18B43F7C"/>
    <w:rsid w:val="194A1770"/>
    <w:rsid w:val="198C541E"/>
    <w:rsid w:val="199B16AF"/>
    <w:rsid w:val="19B906A4"/>
    <w:rsid w:val="1B6F15B6"/>
    <w:rsid w:val="1B7E6CFF"/>
    <w:rsid w:val="1BAA2EDC"/>
    <w:rsid w:val="1CA55E64"/>
    <w:rsid w:val="1D014A01"/>
    <w:rsid w:val="1D022362"/>
    <w:rsid w:val="1D1B04B0"/>
    <w:rsid w:val="1D7F7B60"/>
    <w:rsid w:val="1DA52501"/>
    <w:rsid w:val="1DB00CEB"/>
    <w:rsid w:val="1DBD6767"/>
    <w:rsid w:val="1DC52125"/>
    <w:rsid w:val="1DD26311"/>
    <w:rsid w:val="1E374ACB"/>
    <w:rsid w:val="1EBB5EBD"/>
    <w:rsid w:val="1ECF0A66"/>
    <w:rsid w:val="1EF67CA4"/>
    <w:rsid w:val="1F020D3A"/>
    <w:rsid w:val="1F2C5189"/>
    <w:rsid w:val="1F4B0B02"/>
    <w:rsid w:val="1FBB35CD"/>
    <w:rsid w:val="1FCD26AF"/>
    <w:rsid w:val="1FEB58AF"/>
    <w:rsid w:val="20642787"/>
    <w:rsid w:val="20F0582B"/>
    <w:rsid w:val="21130F0E"/>
    <w:rsid w:val="21556F04"/>
    <w:rsid w:val="22403BD3"/>
    <w:rsid w:val="22A664C2"/>
    <w:rsid w:val="22DE637D"/>
    <w:rsid w:val="23823464"/>
    <w:rsid w:val="24B92327"/>
    <w:rsid w:val="24C14514"/>
    <w:rsid w:val="2533755C"/>
    <w:rsid w:val="25791755"/>
    <w:rsid w:val="259F5406"/>
    <w:rsid w:val="26396DF4"/>
    <w:rsid w:val="27167136"/>
    <w:rsid w:val="271B442C"/>
    <w:rsid w:val="27B23302"/>
    <w:rsid w:val="29310A5F"/>
    <w:rsid w:val="29C37A35"/>
    <w:rsid w:val="2A076083"/>
    <w:rsid w:val="2A73162E"/>
    <w:rsid w:val="2B167953"/>
    <w:rsid w:val="2B200583"/>
    <w:rsid w:val="2B8209DE"/>
    <w:rsid w:val="2C636760"/>
    <w:rsid w:val="2C6762A3"/>
    <w:rsid w:val="2F783593"/>
    <w:rsid w:val="2FCA4B37"/>
    <w:rsid w:val="2FE029D7"/>
    <w:rsid w:val="2FF06E00"/>
    <w:rsid w:val="30586FEC"/>
    <w:rsid w:val="315F0B22"/>
    <w:rsid w:val="31D84415"/>
    <w:rsid w:val="32285F6F"/>
    <w:rsid w:val="323D3741"/>
    <w:rsid w:val="32770556"/>
    <w:rsid w:val="329C0913"/>
    <w:rsid w:val="32AA0460"/>
    <w:rsid w:val="3337290D"/>
    <w:rsid w:val="33E31118"/>
    <w:rsid w:val="33EF7674"/>
    <w:rsid w:val="342D7BC6"/>
    <w:rsid w:val="352930DB"/>
    <w:rsid w:val="35573069"/>
    <w:rsid w:val="355F6038"/>
    <w:rsid w:val="358C217E"/>
    <w:rsid w:val="35E52552"/>
    <w:rsid w:val="36C9128A"/>
    <w:rsid w:val="37841E99"/>
    <w:rsid w:val="37BF1123"/>
    <w:rsid w:val="37DB3FFC"/>
    <w:rsid w:val="383C3F15"/>
    <w:rsid w:val="38A716F2"/>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6C0F4F"/>
    <w:rsid w:val="3DDF3AB1"/>
    <w:rsid w:val="3E1D0952"/>
    <w:rsid w:val="3E42660A"/>
    <w:rsid w:val="3E7555B1"/>
    <w:rsid w:val="3E787ED9"/>
    <w:rsid w:val="3F032E93"/>
    <w:rsid w:val="3F0527E5"/>
    <w:rsid w:val="3F694D83"/>
    <w:rsid w:val="3F885DCC"/>
    <w:rsid w:val="3FCD675E"/>
    <w:rsid w:val="3FFB0320"/>
    <w:rsid w:val="4004000C"/>
    <w:rsid w:val="40BD5482"/>
    <w:rsid w:val="410E2E9E"/>
    <w:rsid w:val="411B6CE5"/>
    <w:rsid w:val="412070D7"/>
    <w:rsid w:val="41314E40"/>
    <w:rsid w:val="41E0734B"/>
    <w:rsid w:val="426C1EA8"/>
    <w:rsid w:val="42736402"/>
    <w:rsid w:val="42821D68"/>
    <w:rsid w:val="42E86A87"/>
    <w:rsid w:val="43307B09"/>
    <w:rsid w:val="439A3EB9"/>
    <w:rsid w:val="43BB152F"/>
    <w:rsid w:val="44C37687"/>
    <w:rsid w:val="45CB699A"/>
    <w:rsid w:val="465B470D"/>
    <w:rsid w:val="467645B2"/>
    <w:rsid w:val="469D6AD4"/>
    <w:rsid w:val="471E6C84"/>
    <w:rsid w:val="4748792B"/>
    <w:rsid w:val="475D719D"/>
    <w:rsid w:val="47674801"/>
    <w:rsid w:val="48225EF7"/>
    <w:rsid w:val="488F422B"/>
    <w:rsid w:val="48CD094C"/>
    <w:rsid w:val="48E36915"/>
    <w:rsid w:val="48EB6572"/>
    <w:rsid w:val="495C4A24"/>
    <w:rsid w:val="497135DF"/>
    <w:rsid w:val="49DD0406"/>
    <w:rsid w:val="4A263DF2"/>
    <w:rsid w:val="4A6F6675"/>
    <w:rsid w:val="4B135857"/>
    <w:rsid w:val="4B7951CB"/>
    <w:rsid w:val="4B7C315C"/>
    <w:rsid w:val="4C661396"/>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D07693"/>
    <w:rsid w:val="552256E1"/>
    <w:rsid w:val="554E5773"/>
    <w:rsid w:val="555829E0"/>
    <w:rsid w:val="555A3CBC"/>
    <w:rsid w:val="5582012B"/>
    <w:rsid w:val="558E4E05"/>
    <w:rsid w:val="55BE2E85"/>
    <w:rsid w:val="56530F5D"/>
    <w:rsid w:val="567700D3"/>
    <w:rsid w:val="56FF7E9E"/>
    <w:rsid w:val="578867FC"/>
    <w:rsid w:val="57F01263"/>
    <w:rsid w:val="5842572D"/>
    <w:rsid w:val="59C526D0"/>
    <w:rsid w:val="5A3B59D6"/>
    <w:rsid w:val="5AD134D8"/>
    <w:rsid w:val="5C263CE4"/>
    <w:rsid w:val="5C5D2777"/>
    <w:rsid w:val="5CF66BF3"/>
    <w:rsid w:val="5D290C69"/>
    <w:rsid w:val="5F2D4A41"/>
    <w:rsid w:val="60C74F6C"/>
    <w:rsid w:val="60FB039B"/>
    <w:rsid w:val="61025A59"/>
    <w:rsid w:val="613548D7"/>
    <w:rsid w:val="613D5BBC"/>
    <w:rsid w:val="61536C39"/>
    <w:rsid w:val="62944DD7"/>
    <w:rsid w:val="6319381F"/>
    <w:rsid w:val="63C25DC5"/>
    <w:rsid w:val="63C62057"/>
    <w:rsid w:val="63D77643"/>
    <w:rsid w:val="64571EF5"/>
    <w:rsid w:val="64FB113D"/>
    <w:rsid w:val="656152C6"/>
    <w:rsid w:val="6587477F"/>
    <w:rsid w:val="658C3A08"/>
    <w:rsid w:val="65C031CA"/>
    <w:rsid w:val="65CE6852"/>
    <w:rsid w:val="66267C04"/>
    <w:rsid w:val="663F505A"/>
    <w:rsid w:val="66C13D35"/>
    <w:rsid w:val="66EE5541"/>
    <w:rsid w:val="67924660"/>
    <w:rsid w:val="68407834"/>
    <w:rsid w:val="6883293E"/>
    <w:rsid w:val="688412AD"/>
    <w:rsid w:val="68EB1B71"/>
    <w:rsid w:val="69FF48AA"/>
    <w:rsid w:val="6A140014"/>
    <w:rsid w:val="6A6C7940"/>
    <w:rsid w:val="6AAD2300"/>
    <w:rsid w:val="6AED23B9"/>
    <w:rsid w:val="6B474EF5"/>
    <w:rsid w:val="6C0A5AC5"/>
    <w:rsid w:val="6C560CAE"/>
    <w:rsid w:val="6C576495"/>
    <w:rsid w:val="6CCD38EA"/>
    <w:rsid w:val="6D903FF5"/>
    <w:rsid w:val="6DA955B8"/>
    <w:rsid w:val="6DB5224B"/>
    <w:rsid w:val="6DB74869"/>
    <w:rsid w:val="6DE346AB"/>
    <w:rsid w:val="6DE5391A"/>
    <w:rsid w:val="6EFD1324"/>
    <w:rsid w:val="6F5A53AC"/>
    <w:rsid w:val="6FAC003D"/>
    <w:rsid w:val="6FE55E12"/>
    <w:rsid w:val="6FFB2E76"/>
    <w:rsid w:val="708F6F7F"/>
    <w:rsid w:val="70D94BD3"/>
    <w:rsid w:val="71C34D91"/>
    <w:rsid w:val="72624676"/>
    <w:rsid w:val="72DB435C"/>
    <w:rsid w:val="72E2613A"/>
    <w:rsid w:val="72F771F4"/>
    <w:rsid w:val="73934AD2"/>
    <w:rsid w:val="750837F0"/>
    <w:rsid w:val="754758CF"/>
    <w:rsid w:val="764F62AB"/>
    <w:rsid w:val="765C45EC"/>
    <w:rsid w:val="768A7619"/>
    <w:rsid w:val="772E1EBA"/>
    <w:rsid w:val="773027E2"/>
    <w:rsid w:val="781926BC"/>
    <w:rsid w:val="796D60A4"/>
    <w:rsid w:val="79A031D5"/>
    <w:rsid w:val="7A1525F7"/>
    <w:rsid w:val="7B420052"/>
    <w:rsid w:val="7BD06A28"/>
    <w:rsid w:val="7C3A7C0B"/>
    <w:rsid w:val="7C5248E4"/>
    <w:rsid w:val="7C566698"/>
    <w:rsid w:val="7C5866A3"/>
    <w:rsid w:val="7D7406BB"/>
    <w:rsid w:val="7D9419DF"/>
    <w:rsid w:val="7DBB1ACA"/>
    <w:rsid w:val="7DE94331"/>
    <w:rsid w:val="7F446A19"/>
    <w:rsid w:val="7F7452B9"/>
    <w:rsid w:val="D93B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spacing w:before="0" w:beforeAutospacing="0" w:after="0" w:afterAutospacing="0"/>
      <w:ind w:left="0" w:right="0"/>
      <w:jc w:val="left"/>
    </w:pPr>
    <w:rPr>
      <w:rFonts w:hint="eastAsia" w:ascii="宋体" w:hAnsi="Courier New" w:eastAsia="宋体" w:cs="Courier New"/>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character" w:customStyle="1" w:styleId="17">
    <w:name w:val="18"/>
    <w:basedOn w:val="8"/>
    <w:qFormat/>
    <w:uiPriority w:val="0"/>
    <w:rPr>
      <w:rFonts w:hint="default" w:ascii="Times New Roman" w:hAnsi="Times New Roman" w:cs="Times New Roman"/>
      <w:b/>
    </w:rPr>
  </w:style>
  <w:style w:type="paragraph" w:customStyle="1" w:styleId="18">
    <w:name w:val="p0"/>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宋体"/>
      <w:kern w:val="0"/>
      <w:sz w:val="24"/>
      <w:szCs w:val="24"/>
      <w:lang w:val="en-US" w:eastAsia="zh-CN" w:bidi="ar"/>
    </w:rPr>
  </w:style>
  <w:style w:type="paragraph" w:customStyle="1" w:styleId="19">
    <w:name w:val="List Paragraph"/>
    <w:basedOn w:val="1"/>
    <w:qFormat/>
    <w:uiPriority w:val="99"/>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15"/>
    <w:basedOn w:val="8"/>
    <w:qFormat/>
    <w:uiPriority w:val="0"/>
    <w:rPr>
      <w:rFonts w:hint="eastAsia" w:ascii="华文仿宋" w:hAnsi="华文仿宋" w:eastAsia="华文仿宋" w:cs="华文仿宋"/>
      <w:color w:val="000000"/>
      <w:sz w:val="36"/>
      <w:szCs w:val="36"/>
    </w:rPr>
  </w:style>
  <w:style w:type="character" w:customStyle="1" w:styleId="21">
    <w:name w:val="16"/>
    <w:basedOn w:val="8"/>
    <w:qFormat/>
    <w:uiPriority w:val="0"/>
    <w:rPr>
      <w:rFonts w:hint="eastAsia"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8"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4001</Words>
  <Characters>22811</Characters>
  <Lines>190</Lines>
  <Paragraphs>53</Paragraphs>
  <TotalTime>10</TotalTime>
  <ScaleCrop>false</ScaleCrop>
  <LinksUpToDate>false</LinksUpToDate>
  <CharactersWithSpaces>26759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2025-11-27T08:53:59Z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BB46EABDBB2749749395447164B066B3_12</vt:lpwstr>
  </property>
</Properties>
</file>