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600" w:lineRule="exact"/>
        <w:ind w:right="0" w:rightChars="0" w:firstLine="1760" w:firstLineChars="400"/>
        <w:jc w:val="both"/>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重庆市綦江区社会福利院</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right="0" w:rightChars="0"/>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一、</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楷体_GBK" w:hAnsi="方正楷体_GBK" w:eastAsia="方正楷体_GBK" w:cs="方正楷体_GBK"/>
          <w:b w:val="0"/>
          <w:bCs/>
          <w:sz w:val="32"/>
          <w:szCs w:val="32"/>
        </w:rPr>
      </w:pPr>
      <w:r>
        <w:rPr>
          <w:rStyle w:val="11"/>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pacing w:beforeAutospacing="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auto"/>
          <w:kern w:val="0"/>
          <w:sz w:val="32"/>
          <w:szCs w:val="32"/>
        </w:rPr>
      </w:pPr>
      <w:r>
        <w:rPr>
          <w:rStyle w:val="20"/>
          <w:rFonts w:hint="eastAsia" w:ascii="方正仿宋_GBK" w:hAnsi="方正仿宋_GBK" w:eastAsia="方正仿宋_GBK" w:cs="方正仿宋_GBK"/>
          <w:b w:val="0"/>
          <w:bCs w:val="0"/>
          <w:color w:val="auto"/>
          <w:sz w:val="32"/>
          <w:szCs w:val="32"/>
          <w:shd w:val="clear" w:color="auto" w:fill="FFFFFF"/>
          <w:lang w:eastAsia="zh-CN"/>
        </w:rPr>
        <w:t>綦江区社会福利院主要</w:t>
      </w:r>
      <w:r>
        <w:rPr>
          <w:rFonts w:hint="eastAsia" w:ascii="方正仿宋_GBK" w:hAnsi="方正仿宋_GBK" w:eastAsia="方正仿宋_GBK" w:cs="方正仿宋_GBK"/>
          <w:b w:val="0"/>
          <w:bCs w:val="0"/>
          <w:color w:val="auto"/>
          <w:kern w:val="0"/>
          <w:sz w:val="32"/>
          <w:szCs w:val="32"/>
        </w:rPr>
        <w:t>负责贯彻执行国家有关社会福利的方针、政策和法律、法规；协助主管部门广泛宣传老年人福利、方针、政策及法律、法规，大力推进社会福利社会化；负责城镇孤老和社会弃婴及孤残儿童的收养、管理并提供吃、穿、住、学、医及后事处理等基本保障服务工作；负责自费入院养老的社会老人的管理和服务工作；负责为城镇社区老人居家养老及社会弃婴和孤残儿童家庭寄养提供业务指导及技术支持；负责办理寻找弃婴（弃儿）生父母公告；完成主管部门交办的其他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楷体_GBK" w:hAnsi="方正楷体_GBK" w:eastAsia="方正楷体_GBK" w:cs="方正楷体_GBK"/>
          <w:b w:val="0"/>
          <w:bCs/>
          <w:sz w:val="32"/>
          <w:szCs w:val="32"/>
        </w:rPr>
      </w:pPr>
      <w:r>
        <w:rPr>
          <w:rStyle w:val="11"/>
          <w:rFonts w:hint="eastAsia" w:ascii="方正楷体_GBK" w:hAnsi="方正楷体_GBK" w:eastAsia="方正楷体_GBK" w:cs="方正楷体_GBK"/>
          <w:b w:val="0"/>
          <w:bCs/>
          <w:sz w:val="32"/>
          <w:szCs w:val="32"/>
          <w:shd w:val="clear" w:color="auto" w:fill="FFFFFF"/>
        </w:rPr>
        <w:t>（二）机构设置</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lang w:eastAsia="zh-CN"/>
        </w:rPr>
        <w:t>綦江</w:t>
      </w:r>
      <w:r>
        <w:rPr>
          <w:rFonts w:hint="eastAsia" w:ascii="方正仿宋_GBK" w:hAnsi="方正仿宋_GBK" w:eastAsia="方正仿宋_GBK" w:cs="方正仿宋_GBK"/>
          <w:b w:val="0"/>
          <w:bCs w:val="0"/>
          <w:color w:val="auto"/>
          <w:kern w:val="0"/>
          <w:sz w:val="32"/>
          <w:szCs w:val="32"/>
        </w:rPr>
        <w:t>区</w:t>
      </w:r>
      <w:r>
        <w:rPr>
          <w:rFonts w:hint="eastAsia" w:ascii="方正仿宋_GBK" w:hAnsi="方正仿宋_GBK" w:eastAsia="方正仿宋_GBK" w:cs="方正仿宋_GBK"/>
          <w:b w:val="0"/>
          <w:bCs w:val="0"/>
          <w:color w:val="auto"/>
          <w:kern w:val="0"/>
          <w:sz w:val="32"/>
          <w:szCs w:val="32"/>
          <w:lang w:eastAsia="zh-CN"/>
        </w:rPr>
        <w:t>社会福利院为</w:t>
      </w:r>
      <w:r>
        <w:rPr>
          <w:rFonts w:hint="eastAsia" w:ascii="方正仿宋_GBK" w:hAnsi="方正仿宋_GBK" w:eastAsia="方正仿宋_GBK" w:cs="方正仿宋_GBK"/>
          <w:b w:val="0"/>
          <w:bCs w:val="0"/>
          <w:color w:val="auto"/>
          <w:kern w:val="0"/>
          <w:sz w:val="32"/>
          <w:szCs w:val="32"/>
        </w:rPr>
        <w:t>财政全额拨款公益一类事业单位</w:t>
      </w:r>
      <w:r>
        <w:rPr>
          <w:rFonts w:hint="eastAsia" w:ascii="方正仿宋_GBK" w:hAnsi="方正仿宋_GBK" w:eastAsia="方正仿宋_GBK" w:cs="方正仿宋_GBK"/>
          <w:b w:val="0"/>
          <w:bCs w:val="0"/>
          <w:color w:val="auto"/>
          <w:kern w:val="0"/>
          <w:sz w:val="32"/>
          <w:szCs w:val="32"/>
          <w:lang w:eastAsia="zh-CN"/>
        </w:rPr>
        <w:t>，</w:t>
      </w:r>
      <w:r>
        <w:rPr>
          <w:rFonts w:hint="eastAsia" w:ascii="方正仿宋_GBK" w:hAnsi="方正仿宋_GBK" w:eastAsia="方正仿宋_GBK" w:cs="方正仿宋_GBK"/>
          <w:b w:val="0"/>
          <w:bCs w:val="0"/>
          <w:color w:val="auto"/>
          <w:kern w:val="0"/>
          <w:sz w:val="32"/>
          <w:szCs w:val="32"/>
        </w:rPr>
        <w:t>事业编制</w:t>
      </w:r>
      <w:r>
        <w:rPr>
          <w:rFonts w:hint="eastAsia" w:ascii="方正仿宋_GBK" w:hAnsi="方正仿宋_GBK" w:eastAsia="方正仿宋_GBK" w:cs="方正仿宋_GBK"/>
          <w:b w:val="0"/>
          <w:bCs w:val="0"/>
          <w:color w:val="auto"/>
          <w:kern w:val="0"/>
          <w:sz w:val="32"/>
          <w:szCs w:val="32"/>
          <w:lang w:val="en-US" w:eastAsia="zh-CN"/>
        </w:rPr>
        <w:t>5</w:t>
      </w:r>
      <w:r>
        <w:rPr>
          <w:rFonts w:hint="eastAsia" w:ascii="方正仿宋_GBK" w:hAnsi="方正仿宋_GBK" w:eastAsia="方正仿宋_GBK" w:cs="方正仿宋_GBK"/>
          <w:b w:val="0"/>
          <w:bCs w:val="0"/>
          <w:color w:val="auto"/>
          <w:kern w:val="0"/>
          <w:sz w:val="32"/>
          <w:szCs w:val="32"/>
        </w:rPr>
        <w:t>名。设院长1名，副院长1名。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150.45万元。收、支与2023年度相比，增加25.95万元，增长20.8%，</w:t>
      </w:r>
      <w:r>
        <w:rPr>
          <w:rFonts w:hint="eastAsia" w:ascii="方正仿宋_GBK" w:hAnsi="方正仿宋_GBK" w:eastAsia="方正仿宋_GBK" w:cs="方正仿宋_GBK"/>
          <w:sz w:val="32"/>
          <w:szCs w:val="32"/>
        </w:rPr>
        <w:t>主要原因是本年补发以前年度考核，人员经费增加，本年收</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较上年增加。</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11"/>
          <w:rFonts w:hint="eastAsia" w:ascii="方正仿宋_GBK" w:hAnsi="方正仿宋_GBK" w:eastAsia="方正仿宋_GBK" w:cs="方正仿宋_GBK"/>
          <w:sz w:val="32"/>
          <w:szCs w:val="32"/>
          <w:shd w:val="clear" w:color="auto" w:fill="FFFFFF"/>
          <w:lang w:val="en-US" w:eastAsia="zh-CN"/>
        </w:rPr>
        <w:t>1</w:t>
      </w:r>
      <w:r>
        <w:rPr>
          <w:rStyle w:val="11"/>
          <w:rFonts w:hint="eastAsia"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2024年度收入合计150.45万元，与2023年度相比，增加25.95万元，增长20.8%，</w:t>
      </w:r>
      <w:r>
        <w:rPr>
          <w:rFonts w:hint="eastAsia" w:ascii="方正仿宋_GBK" w:hAnsi="方正仿宋_GBK" w:eastAsia="方正仿宋_GBK" w:cs="方正仿宋_GBK"/>
          <w:sz w:val="32"/>
          <w:szCs w:val="32"/>
        </w:rPr>
        <w:t>主要原因是本年补发以前年度考核，人员经费增加，本年收</w:t>
      </w:r>
      <w:r>
        <w:rPr>
          <w:rFonts w:hint="eastAsia" w:ascii="方正仿宋_GBK" w:hAnsi="方正仿宋_GBK" w:eastAsia="方正仿宋_GBK" w:cs="方正仿宋_GBK"/>
          <w:sz w:val="32"/>
          <w:szCs w:val="32"/>
          <w:lang w:eastAsia="zh-CN"/>
        </w:rPr>
        <w:t>入</w:t>
      </w:r>
      <w:r>
        <w:rPr>
          <w:rFonts w:hint="eastAsia" w:ascii="方正仿宋_GBK" w:hAnsi="方正仿宋_GBK" w:eastAsia="方正仿宋_GBK" w:cs="方正仿宋_GBK"/>
          <w:sz w:val="32"/>
          <w:szCs w:val="32"/>
        </w:rPr>
        <w:t>较上年增加。</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其中：财政拨款收入150.45万元，占100.0%；事业收入0.00万元，占0.0%；经营收入0.00万元，占0.0%；其他收入0.00万元，占0.0%。此外，使用非财政拨款结余（含专用结余）0.00万元，年初结转和结余0.00万元。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11"/>
          <w:rFonts w:hint="eastAsia" w:ascii="方正仿宋_GBK" w:hAnsi="方正仿宋_GBK" w:eastAsia="方正仿宋_GBK" w:cs="方正仿宋_GBK"/>
          <w:sz w:val="32"/>
          <w:szCs w:val="32"/>
          <w:shd w:val="clear" w:color="auto" w:fill="FFFFFF"/>
          <w:lang w:val="en-US" w:eastAsia="zh-CN"/>
        </w:rPr>
        <w:t>2</w:t>
      </w:r>
      <w:r>
        <w:rPr>
          <w:rStyle w:val="11"/>
          <w:rFonts w:hint="eastAsia"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2024年度支出合计150.45万元，与2023年度相比，增加25.95万元，增长20.8%，</w:t>
      </w:r>
      <w:r>
        <w:rPr>
          <w:rFonts w:hint="eastAsia" w:ascii="方正仿宋_GBK" w:hAnsi="方正仿宋_GBK" w:eastAsia="方正仿宋_GBK" w:cs="方正仿宋_GBK"/>
          <w:sz w:val="32"/>
          <w:szCs w:val="32"/>
        </w:rPr>
        <w:t>主要原因是本年补发以前年度考核，人员经费增加，本年</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较上年增加。</w:t>
      </w:r>
      <w:r>
        <w:rPr>
          <w:rFonts w:hint="eastAsia" w:ascii="方正仿宋_GBK" w:hAnsi="方正仿宋_GBK" w:eastAsia="方正仿宋_GBK" w:cs="方正仿宋_GBK"/>
          <w:sz w:val="32"/>
          <w:szCs w:val="32"/>
          <w:shd w:val="clear" w:color="auto" w:fill="FFFFFF"/>
        </w:rPr>
        <w:t>其中：基本支出150.45万元，占100.0%；项目支出0.00万元，占0.0%；经营支出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万元，占0.0%。此外，结余分配0.00万元。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lang w:val="en-US" w:eastAsia="zh-CN"/>
        </w:rPr>
        <w:t>3</w:t>
      </w:r>
      <w:r>
        <w:rPr>
          <w:rStyle w:val="11"/>
          <w:rFonts w:hint="eastAsia"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2024年度年末结转和结余0.00万元，与2023年度相比，无增减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2024年度财政拨款收、支总计均为150.45万元。与2023年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相比，财政拨款收、支总计各增加25.95万元，增长20.8%。</w:t>
      </w:r>
      <w:r>
        <w:rPr>
          <w:rFonts w:hint="eastAsia" w:ascii="方正仿宋_GBK" w:hAnsi="方正仿宋_GBK" w:eastAsia="方正仿宋_GBK" w:cs="方正仿宋_GBK"/>
          <w:sz w:val="32"/>
          <w:szCs w:val="32"/>
        </w:rPr>
        <w:t>主要原因是本年补发以前年度考核，人员经费增加，本年</w:t>
      </w:r>
      <w:r>
        <w:rPr>
          <w:rFonts w:hint="eastAsia" w:ascii="方正仿宋_GBK" w:hAnsi="方正仿宋_GBK" w:eastAsia="方正仿宋_GBK" w:cs="方正仿宋_GBK"/>
          <w:sz w:val="32"/>
          <w:szCs w:val="32"/>
          <w:lang w:eastAsia="zh-CN"/>
        </w:rPr>
        <w:t>收支</w:t>
      </w:r>
      <w:r>
        <w:rPr>
          <w:rFonts w:hint="eastAsia" w:ascii="方正仿宋_GBK" w:hAnsi="方正仿宋_GBK" w:eastAsia="方正仿宋_GBK" w:cs="方正仿宋_GBK"/>
          <w:sz w:val="32"/>
          <w:szCs w:val="32"/>
        </w:rPr>
        <w:t>较上年增加。</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2024年度一般公共预算财政拨款收入150.45万元，与2023年度相比，增加25.95万元，增长20.8%。</w:t>
      </w:r>
      <w:r>
        <w:rPr>
          <w:rFonts w:hint="eastAsia" w:ascii="方正仿宋_GBK" w:hAnsi="方正仿宋_GBK" w:eastAsia="方正仿宋_GBK" w:cs="方正仿宋_GBK"/>
          <w:sz w:val="32"/>
          <w:szCs w:val="32"/>
        </w:rPr>
        <w:t>主要原因是本年补发以前年度考核，人员经费增加，本年</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较上年增加。</w:t>
      </w:r>
      <w:r>
        <w:rPr>
          <w:rFonts w:hint="eastAsia" w:ascii="方正仿宋_GBK" w:hAnsi="方正仿宋_GBK" w:eastAsia="方正仿宋_GBK" w:cs="方正仿宋_GBK"/>
          <w:sz w:val="32"/>
          <w:szCs w:val="32"/>
          <w:shd w:val="clear" w:color="auto" w:fill="FFFFFF"/>
        </w:rPr>
        <w:t>较年初预算数减少7.05万元，下降4.5%。</w:t>
      </w:r>
      <w:r>
        <w:rPr>
          <w:rFonts w:hint="eastAsia" w:ascii="方正仿宋_GBK" w:hAnsi="方正仿宋_GBK" w:eastAsia="方正仿宋_GBK" w:cs="方正仿宋_GBK"/>
          <w:sz w:val="32"/>
          <w:szCs w:val="32"/>
          <w:shd w:val="clear" w:color="auto" w:fill="FFFFFF"/>
          <w:lang w:eastAsia="zh-CN"/>
        </w:rPr>
        <w:t>年初预算超额绩效奖未支付完，部分在次年发放，故本年收入较年初预算减少。</w:t>
      </w:r>
      <w:r>
        <w:rPr>
          <w:rFonts w:hint="eastAsia" w:ascii="方正仿宋_GBK" w:hAnsi="方正仿宋_GBK" w:eastAsia="方正仿宋_GBK" w:cs="方正仿宋_GBK"/>
          <w:sz w:val="32"/>
          <w:szCs w:val="32"/>
          <w:shd w:val="clear" w:color="auto" w:fill="FFFFFF"/>
        </w:rPr>
        <w:t>此外，年初财政拨款结转和结余0.00万元。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11"/>
          <w:rFonts w:hint="eastAsia"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2024年度一般公共预算财政拨款支出150.45万元，与2023年度相比，增加25.95万元，增长20.8%。</w:t>
      </w:r>
      <w:r>
        <w:rPr>
          <w:rFonts w:hint="eastAsia" w:ascii="方正仿宋_GBK" w:hAnsi="方正仿宋_GBK" w:eastAsia="方正仿宋_GBK" w:cs="方正仿宋_GBK"/>
          <w:sz w:val="32"/>
          <w:szCs w:val="32"/>
        </w:rPr>
        <w:t>主要原因是本年补发以前年度考核，人员经费增加，本年</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较上年增加。</w:t>
      </w:r>
      <w:r>
        <w:rPr>
          <w:rFonts w:hint="eastAsia" w:ascii="方正仿宋_GBK" w:hAnsi="方正仿宋_GBK" w:eastAsia="方正仿宋_GBK" w:cs="方正仿宋_GBK"/>
          <w:sz w:val="32"/>
          <w:szCs w:val="32"/>
          <w:shd w:val="clear" w:color="auto" w:fill="FFFFFF"/>
        </w:rPr>
        <w:t>较年初预算数减少7.05万元，下降4.5%。</w:t>
      </w:r>
      <w:r>
        <w:rPr>
          <w:rFonts w:hint="eastAsia" w:ascii="方正仿宋_GBK" w:hAnsi="方正仿宋_GBK" w:eastAsia="方正仿宋_GBK" w:cs="方正仿宋_GBK"/>
          <w:sz w:val="32"/>
          <w:szCs w:val="32"/>
          <w:shd w:val="clear" w:color="auto" w:fill="FFFFFF"/>
          <w:lang w:eastAsia="zh-CN"/>
        </w:rPr>
        <w:t>年初预算超额绩效奖未支付完，部分在次年发放，故本年支出较年初预算减少。</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hint="eastAsia"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就业支出140.80万元，占93.6%，较年初预算数减少5.69万元，下降3.9%，</w:t>
      </w:r>
      <w:r>
        <w:rPr>
          <w:rFonts w:hint="eastAsia" w:ascii="方正仿宋_GBK" w:hAnsi="方正仿宋_GBK" w:eastAsia="方正仿宋_GBK" w:cs="方正仿宋_GBK"/>
          <w:sz w:val="32"/>
          <w:szCs w:val="32"/>
          <w:shd w:val="clear" w:color="auto" w:fill="FFFFFF"/>
          <w:lang w:eastAsia="zh-CN"/>
        </w:rPr>
        <w:t>年初预算超额绩效奖未支付完，部分在次年发放。</w:t>
      </w:r>
      <w:r>
        <w:rPr>
          <w:rFonts w:hint="eastAsia" w:ascii="方正仿宋_GBK" w:hAnsi="方正仿宋_GBK" w:eastAsia="方正仿宋_GBK" w:cs="方正仿宋_GBK"/>
          <w:sz w:val="32"/>
          <w:szCs w:val="32"/>
          <w:shd w:val="clear" w:color="auto" w:fill="FFFFFF"/>
          <w:lang w:val="en-US" w:eastAsia="zh-CN"/>
        </w:rPr>
        <w:t xml:space="preserve"> </w:t>
      </w:r>
    </w:p>
    <w:p>
      <w:pPr>
        <w:pStyle w:val="9"/>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卫生健康支出5.18万元，占3.4%，较年初预算数减少1.15万元，下降18.2%，主要原因是</w:t>
      </w:r>
      <w:r>
        <w:rPr>
          <w:rFonts w:hint="eastAsia" w:ascii="方正仿宋_GBK" w:hAnsi="方正仿宋_GBK" w:eastAsia="方正仿宋_GBK" w:cs="方正仿宋_GBK"/>
          <w:sz w:val="32"/>
          <w:szCs w:val="32"/>
          <w:shd w:val="clear" w:color="auto" w:fill="FFFFFF"/>
          <w:lang w:eastAsia="zh-CN"/>
        </w:rPr>
        <w:t>本年按照实际缴纳医疗保险等，实际缴纳费用较年初预算少。</w:t>
      </w:r>
    </w:p>
    <w:p>
      <w:pPr>
        <w:keepNext w:val="0"/>
        <w:keepLines w:val="0"/>
        <w:pageBreakBefore w:val="0"/>
        <w:widowControl/>
        <w:kinsoku/>
        <w:wordWrap/>
        <w:overflowPunct/>
        <w:topLinePunct w:val="0"/>
        <w:autoSpaceDN/>
        <w:bidi w:val="0"/>
        <w:adjustRightIn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4.47万元，占3.0%，较年初预算数减少0.22万元，下降4.7%，主要原因是</w:t>
      </w:r>
      <w:r>
        <w:rPr>
          <w:rFonts w:hint="eastAsia" w:ascii="方正仿宋_GBK" w:hAnsi="方正仿宋_GBK" w:eastAsia="方正仿宋_GBK" w:cs="方正仿宋_GBK"/>
          <w:sz w:val="32"/>
          <w:szCs w:val="32"/>
          <w:shd w:val="clear" w:color="auto" w:fill="FFFFFF"/>
          <w:lang w:eastAsia="zh-CN"/>
        </w:rPr>
        <w:t>本年按照实际缴纳职工住房公积金，实际缴纳费用较年初预算少。</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11"/>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rPr>
        <w:t>2024年度年末一般公共预算财政拨款结转和结余0.00万元，与2023年度相比，无增减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2024年度一般公共财政拨款基本支出150.45万元。其中：</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人员经费136.00万元，与2023年度相比，增加20.95万元，增长18.2%，</w:t>
      </w:r>
      <w:r>
        <w:rPr>
          <w:rFonts w:hint="eastAsia" w:ascii="方正仿宋_GBK" w:hAnsi="方正仿宋_GBK" w:eastAsia="方正仿宋_GBK" w:cs="方正仿宋_GBK"/>
          <w:color w:val="auto"/>
          <w:sz w:val="32"/>
          <w:szCs w:val="32"/>
        </w:rPr>
        <w:t>主要原因是本年补发以前年度考核，人员经费</w:t>
      </w:r>
      <w:r>
        <w:rPr>
          <w:rFonts w:hint="eastAsia" w:ascii="方正仿宋_GBK" w:hAnsi="方正仿宋_GBK" w:eastAsia="方正仿宋_GBK" w:cs="方正仿宋_GBK"/>
          <w:color w:val="auto"/>
          <w:sz w:val="32"/>
          <w:szCs w:val="32"/>
          <w:lang w:eastAsia="zh-CN"/>
        </w:rPr>
        <w:t>较上年</w:t>
      </w:r>
      <w:r>
        <w:rPr>
          <w:rFonts w:hint="eastAsia" w:ascii="方正仿宋_GBK" w:hAnsi="方正仿宋_GBK" w:eastAsia="方正仿宋_GBK" w:cs="方正仿宋_GBK"/>
          <w:color w:val="auto"/>
          <w:sz w:val="32"/>
          <w:szCs w:val="32"/>
        </w:rPr>
        <w:t>增加。</w:t>
      </w:r>
      <w:r>
        <w:rPr>
          <w:rFonts w:hint="eastAsia" w:ascii="方正仿宋_GBK" w:hAnsi="方正仿宋_GBK" w:eastAsia="方正仿宋_GBK" w:cs="方正仿宋_GBK"/>
          <w:b w:val="0"/>
          <w:bCs w:val="0"/>
          <w:color w:val="auto"/>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rPr>
        <w:t>基本工资、津贴补贴、奖金、社会保障缴费</w:t>
      </w:r>
      <w:r>
        <w:rPr>
          <w:rFonts w:hint="eastAsia" w:ascii="方正仿宋_GBK" w:hAnsi="方正仿宋_GBK" w:eastAsia="方正仿宋_GBK" w:cs="方正仿宋_GBK"/>
          <w:b w:val="0"/>
          <w:bCs w:val="0"/>
          <w:color w:val="auto"/>
          <w:sz w:val="32"/>
          <w:szCs w:val="32"/>
          <w:lang w:eastAsia="zh-CN"/>
        </w:rPr>
        <w:t>等</w:t>
      </w:r>
      <w:r>
        <w:rPr>
          <w:rFonts w:hint="eastAsia" w:ascii="方正仿宋_GBK" w:hAnsi="方正仿宋_GBK"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公用经费14.45万元，与2023年度相比，增加5.00万元，增长52.9%，主要原因是</w:t>
      </w:r>
      <w:r>
        <w:rPr>
          <w:rFonts w:hint="eastAsia" w:ascii="方正仿宋_GBK" w:hAnsi="方正仿宋_GBK" w:eastAsia="方正仿宋_GBK" w:cs="方正仿宋_GBK"/>
          <w:color w:val="auto"/>
          <w:sz w:val="32"/>
          <w:szCs w:val="32"/>
          <w:shd w:val="clear" w:color="auto" w:fill="FFFFFF"/>
          <w:lang w:eastAsia="zh-CN"/>
        </w:rPr>
        <w:t>本年加大社会福利救助力度，公用经费较上年增加。</w:t>
      </w:r>
      <w:r>
        <w:rPr>
          <w:rFonts w:hint="eastAsia" w:ascii="方正仿宋_GBK" w:hAnsi="方正仿宋_GBK" w:eastAsia="方正仿宋_GBK" w:cs="方正仿宋_GBK"/>
          <w:color w:val="auto"/>
          <w:sz w:val="32"/>
          <w:szCs w:val="32"/>
          <w:shd w:val="clear" w:color="auto" w:fill="FFFFFF"/>
          <w:lang w:val="en-US" w:eastAsia="zh-CN"/>
        </w:rPr>
        <w:t>公用</w:t>
      </w:r>
      <w:r>
        <w:rPr>
          <w:rFonts w:hint="eastAsia" w:ascii="方正仿宋_GBK" w:hAnsi="方正仿宋_GBK" w:eastAsia="方正仿宋_GBK" w:cs="方正仿宋_GBK"/>
          <w:b w:val="0"/>
          <w:bCs w:val="0"/>
          <w:color w:val="auto"/>
          <w:sz w:val="32"/>
          <w:szCs w:val="32"/>
          <w:shd w:val="clear" w:color="auto" w:fill="FFFFFF"/>
        </w:rPr>
        <w:t>经费用途主要包括</w:t>
      </w:r>
      <w:r>
        <w:rPr>
          <w:rFonts w:hint="eastAsia" w:ascii="方正仿宋_GBK" w:hAnsi="方正仿宋_GBK" w:eastAsia="方正仿宋_GBK" w:cs="方正仿宋_GBK"/>
          <w:b w:val="0"/>
          <w:bCs w:val="0"/>
          <w:color w:val="auto"/>
          <w:sz w:val="32"/>
          <w:szCs w:val="32"/>
        </w:rPr>
        <w:t>办公费、印刷费、咨询费、手续费</w:t>
      </w:r>
      <w:r>
        <w:rPr>
          <w:rFonts w:hint="eastAsia" w:ascii="方正仿宋_GBK" w:hAnsi="方正仿宋_GBK" w:eastAsia="方正仿宋_GBK" w:cs="方正仿宋_GBK"/>
          <w:b w:val="0"/>
          <w:bCs w:val="0"/>
          <w:color w:val="auto"/>
          <w:sz w:val="32"/>
          <w:szCs w:val="32"/>
          <w:lang w:eastAsia="zh-CN"/>
        </w:rPr>
        <w:t>等</w:t>
      </w:r>
      <w:r>
        <w:rPr>
          <w:rFonts w:hint="eastAsia" w:ascii="方正仿宋_GBK" w:hAnsi="方正仿宋_GBK" w:eastAsia="方正仿宋_GBK" w:cs="方正仿宋_GBK"/>
          <w:b w:val="0"/>
          <w:bCs w:val="0"/>
          <w:color w:val="auto"/>
          <w:sz w:val="32"/>
          <w:szCs w:val="32"/>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left"/>
        <w:textAlignment w:val="auto"/>
        <w:outlineLvl w:val="9"/>
        <w:rPr>
          <w:rFonts w:hint="default"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本单位</w:t>
      </w:r>
      <w:r>
        <w:rPr>
          <w:rFonts w:hint="default" w:ascii="方正仿宋_GBK" w:hAnsi="方正仿宋_GBK" w:eastAsia="方正仿宋_GBK" w:cs="方正仿宋_GBK"/>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left"/>
        <w:textAlignment w:val="auto"/>
        <w:outlineLvl w:val="9"/>
        <w:rPr>
          <w:rFonts w:hint="default"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本单位</w:t>
      </w:r>
      <w:r>
        <w:rPr>
          <w:rFonts w:hint="default" w:ascii="方正仿宋_GBK" w:hAnsi="方正仿宋_GBK" w:eastAsia="方正仿宋_GBK" w:cs="方正仿宋_GBK"/>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2024年度“三公”经费支出共计0.00万元，较年初预算数无增减，较上年支出数无增减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因公出国（境）费用0.00万元，费用支出较年初预算数无增减，较上年支出数无增减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车购置费0.00万元，费用支出较年初预算数无增减，较上年支出数无增减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rPr>
        <w:t>本年度会议费支出0.00万元，与2023年度相比，无增减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本年度培训费支出0.00万元，与2023年度相比，无变化</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本年度差旅费支出0.00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截至2024年12月31日，本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未发生政府采购事项，无相关经费支出。</w:t>
      </w:r>
    </w:p>
    <w:p>
      <w:pPr>
        <w:pStyle w:val="9"/>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ind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五、</w:t>
      </w:r>
      <w:r>
        <w:rPr>
          <w:rStyle w:val="11"/>
          <w:rFonts w:hint="eastAsia" w:ascii="方正黑体_GBK" w:hAnsi="方正黑体_GBK" w:eastAsia="方正黑体_GBK" w:cs="方正黑体_GBK"/>
          <w:b w:val="0"/>
          <w:bCs/>
          <w:sz w:val="32"/>
          <w:szCs w:val="32"/>
          <w:shd w:val="clear" w:color="auto" w:fill="FFFFFF"/>
        </w:rPr>
        <w:t>预算绩效管理情况说明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lang w:eastAsia="zh-CN"/>
        </w:rPr>
      </w:pPr>
      <w:r>
        <w:rPr>
          <w:rStyle w:val="20"/>
          <w:rFonts w:hint="eastAsia" w:ascii="方正楷体_GBK" w:hAnsi="方正楷体_GBK" w:eastAsia="方正楷体_GBK" w:cs="方正楷体_GBK"/>
          <w:b w:val="0"/>
          <w:bCs w:val="0"/>
          <w:sz w:val="32"/>
          <w:szCs w:val="32"/>
          <w:shd w:val="clear" w:color="auto" w:fill="FFFFFF"/>
        </w:rPr>
        <w:t>（一）预算绩效管理工作开展情况</w:t>
      </w:r>
      <w:r>
        <w:rPr>
          <w:rStyle w:val="20"/>
          <w:rFonts w:hint="eastAsia" w:ascii="方正楷体_GBK" w:hAnsi="方正楷体_GBK" w:eastAsia="方正楷体_GBK" w:cs="方正楷体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eastAsia"/>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rPr>
        <w:t>根据预算绩效管理要求，</w:t>
      </w:r>
      <w:r>
        <w:rPr>
          <w:rFonts w:hint="eastAsia" w:ascii="方正仿宋_GBK" w:hAnsi="方正仿宋_GBK" w:eastAsia="方正仿宋_GBK" w:cs="方正仿宋_GBK"/>
          <w:b w:val="0"/>
          <w:bCs w:val="0"/>
          <w:color w:val="auto"/>
          <w:sz w:val="32"/>
          <w:szCs w:val="32"/>
          <w:shd w:val="clear" w:color="auto" w:fill="FFFFFF"/>
          <w:lang w:eastAsia="zh-CN"/>
        </w:rPr>
        <w:t>因</w:t>
      </w:r>
      <w:r>
        <w:rPr>
          <w:rStyle w:val="20"/>
          <w:rFonts w:hint="eastAsia" w:ascii="方正仿宋_GBK" w:hAnsi="方正仿宋_GBK" w:eastAsia="方正仿宋_GBK" w:cs="方正仿宋_GBK"/>
          <w:b w:val="0"/>
          <w:bCs w:val="0"/>
          <w:sz w:val="32"/>
          <w:szCs w:val="32"/>
          <w:shd w:val="clear" w:color="auto" w:fill="FFFFFF"/>
          <w:lang w:eastAsia="zh-CN"/>
        </w:rPr>
        <w:t>本单位与民政局机关合署办公，未安排相关项目支出，故不涉及项目绩效评价。</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rPr>
      </w:pPr>
      <w:r>
        <w:rPr>
          <w:rStyle w:val="20"/>
          <w:rFonts w:hint="eastAsia" w:ascii="方正楷体_GBK" w:hAnsi="方正楷体_GBK" w:eastAsia="方正楷体_GBK" w:cs="方正楷体_GBK"/>
          <w:b w:val="0"/>
          <w:bCs w:val="0"/>
          <w:sz w:val="32"/>
          <w:szCs w:val="32"/>
          <w:shd w:val="clear" w:color="auto" w:fill="FFFFFF"/>
        </w:rPr>
        <w:t>（二）绩效自评结果。</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right="0" w:rightChars="0" w:firstLine="640" w:firstLineChars="200"/>
        <w:textAlignment w:val="auto"/>
        <w:outlineLvl w:val="9"/>
        <w:rPr>
          <w:rStyle w:val="20"/>
          <w:rFonts w:hint="eastAsia" w:ascii="方正仿宋_GBK" w:hAnsi="方正仿宋_GBK" w:eastAsia="方正仿宋_GBK" w:cs="方正仿宋_GBK"/>
          <w:b w:val="0"/>
          <w:bCs w:val="0"/>
          <w:sz w:val="32"/>
          <w:szCs w:val="32"/>
          <w:shd w:val="clear" w:color="auto" w:fill="FFFFFF"/>
        </w:rPr>
      </w:pPr>
      <w:r>
        <w:rPr>
          <w:rStyle w:val="20"/>
          <w:rFonts w:hint="eastAsia" w:ascii="方正仿宋_GBK" w:hAnsi="方正仿宋_GBK" w:eastAsia="方正仿宋_GBK" w:cs="方正仿宋_GBK"/>
          <w:b w:val="0"/>
          <w:bCs w:val="0"/>
          <w:sz w:val="32"/>
          <w:szCs w:val="32"/>
          <w:shd w:val="clear" w:color="auto" w:fill="FFFFFF"/>
        </w:rPr>
        <w:t>1.绩效目标自评表。</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0"/>
          <w:rFonts w:hint="eastAsia"/>
          <w:b w:val="0"/>
          <w:bCs w:val="0"/>
          <w:sz w:val="32"/>
          <w:szCs w:val="32"/>
          <w:shd w:val="clear" w:color="auto" w:fill="FFFFFF"/>
        </w:rPr>
      </w:pPr>
      <w:r>
        <w:rPr>
          <w:rFonts w:hint="eastAsia" w:ascii="方正仿宋_GBK" w:hAnsi="方正仿宋_GBK" w:eastAsia="方正仿宋_GBK" w:cs="方正仿宋_GBK"/>
          <w:b w:val="0"/>
          <w:bCs w:val="0"/>
          <w:i w:val="0"/>
          <w:caps w:val="0"/>
          <w:color w:val="171A1D"/>
          <w:spacing w:val="0"/>
          <w:sz w:val="32"/>
          <w:szCs w:val="32"/>
          <w:shd w:val="clear" w:color="auto" w:fill="FFFFFF"/>
        </w:rPr>
        <w:t>详见</w:t>
      </w:r>
      <w:r>
        <w:rPr>
          <w:rFonts w:hint="eastAsia" w:ascii="方正仿宋_GBK" w:hAnsi="方正仿宋_GBK" w:eastAsia="方正仿宋_GBK" w:cs="方正仿宋_GBK"/>
          <w:b w:val="0"/>
          <w:bCs w:val="0"/>
          <w:i w:val="0"/>
          <w:caps w:val="0"/>
          <w:color w:val="171A1D"/>
          <w:spacing w:val="0"/>
          <w:sz w:val="32"/>
          <w:szCs w:val="32"/>
          <w:shd w:val="clear" w:color="auto" w:fill="FFFFFF"/>
          <w:lang w:eastAsia="zh-CN"/>
        </w:rPr>
        <w:t>公开</w:t>
      </w:r>
      <w:r>
        <w:rPr>
          <w:rFonts w:hint="eastAsia" w:ascii="方正仿宋_GBK" w:hAnsi="方正仿宋_GBK" w:eastAsia="方正仿宋_GBK" w:cs="方正仿宋_GBK"/>
          <w:b w:val="0"/>
          <w:bCs w:val="0"/>
          <w:i w:val="0"/>
          <w:caps w:val="0"/>
          <w:color w:val="171A1D"/>
          <w:spacing w:val="0"/>
          <w:sz w:val="32"/>
          <w:szCs w:val="32"/>
          <w:shd w:val="clear" w:color="auto" w:fill="FFFFFF"/>
        </w:rPr>
        <w:t>表</w:t>
      </w:r>
      <w:r>
        <w:rPr>
          <w:rFonts w:hint="eastAsia" w:ascii="方正仿宋_GBK" w:hAnsi="方正仿宋_GBK" w:eastAsia="方正仿宋_GBK" w:cs="方正仿宋_GBK"/>
          <w:b w:val="0"/>
          <w:bCs w:val="0"/>
          <w:i w:val="0"/>
          <w:caps w:val="0"/>
          <w:color w:val="171A1D"/>
          <w:spacing w:val="0"/>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0"/>
          <w:rFonts w:hint="eastAsia" w:eastAsia="方正仿宋_GBK"/>
          <w:b w:val="0"/>
          <w:bCs w:val="0"/>
          <w:sz w:val="32"/>
          <w:szCs w:val="32"/>
          <w:shd w:val="clear" w:color="auto" w:fill="FFFFFF"/>
          <w:lang w:eastAsia="zh-CN"/>
        </w:rPr>
      </w:pPr>
      <w:r>
        <w:rPr>
          <w:rStyle w:val="20"/>
          <w:rFonts w:hint="eastAsia" w:ascii="方正仿宋_GBK" w:hAnsi="方正仿宋_GBK" w:eastAsia="方正仿宋_GBK" w:cs="方正仿宋_GBK"/>
          <w:b w:val="0"/>
          <w:bCs w:val="0"/>
          <w:sz w:val="32"/>
          <w:szCs w:val="32"/>
          <w:shd w:val="clear" w:color="auto" w:fill="FFFFFF"/>
        </w:rPr>
        <w:t>2.绩效自评报告或案例</w:t>
      </w:r>
      <w:r>
        <w:rPr>
          <w:rStyle w:val="20"/>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lang w:eastAsia="zh-CN"/>
        </w:rPr>
        <w:t>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lang w:eastAsia="zh-CN"/>
        </w:rPr>
      </w:pPr>
      <w:r>
        <w:rPr>
          <w:rStyle w:val="20"/>
          <w:rFonts w:hint="eastAsia" w:ascii="方正仿宋_GBK" w:hAnsi="方正仿宋_GBK" w:eastAsia="方正仿宋_GBK" w:cs="方正仿宋_GBK"/>
          <w:b w:val="0"/>
          <w:bCs w:val="0"/>
          <w:sz w:val="32"/>
          <w:szCs w:val="32"/>
          <w:shd w:val="clear" w:color="auto" w:fill="FFFFFF"/>
        </w:rPr>
        <w:t>3.关于绩效自评结果的说明</w:t>
      </w:r>
      <w:r>
        <w:rPr>
          <w:rStyle w:val="20"/>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eastAsia"/>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rPr>
        <w:t>根据预算绩效管理要求，</w:t>
      </w:r>
      <w:r>
        <w:rPr>
          <w:rFonts w:hint="eastAsia" w:ascii="方正仿宋_GBK" w:hAnsi="方正仿宋_GBK" w:eastAsia="方正仿宋_GBK" w:cs="方正仿宋_GBK"/>
          <w:b w:val="0"/>
          <w:bCs w:val="0"/>
          <w:color w:val="auto"/>
          <w:sz w:val="32"/>
          <w:szCs w:val="32"/>
          <w:shd w:val="clear" w:color="auto" w:fill="FFFFFF"/>
          <w:lang w:eastAsia="zh-CN"/>
        </w:rPr>
        <w:t>因</w:t>
      </w:r>
      <w:r>
        <w:rPr>
          <w:rStyle w:val="20"/>
          <w:rFonts w:hint="eastAsia" w:ascii="方正仿宋_GBK" w:hAnsi="方正仿宋_GBK" w:eastAsia="方正仿宋_GBK" w:cs="方正仿宋_GBK"/>
          <w:b w:val="0"/>
          <w:bCs w:val="0"/>
          <w:sz w:val="32"/>
          <w:szCs w:val="32"/>
          <w:shd w:val="clear" w:color="auto" w:fill="FFFFFF"/>
          <w:lang w:eastAsia="zh-CN"/>
        </w:rPr>
        <w:t>本单位与民政局机关合署办公，未安排相关项目支出，故不涉及项目绩效评价。</w:t>
      </w:r>
    </w:p>
    <w:p>
      <w:pPr>
        <w:pStyle w:val="9"/>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lang w:eastAsia="zh-CN"/>
        </w:rPr>
      </w:pPr>
      <w:r>
        <w:rPr>
          <w:rStyle w:val="20"/>
          <w:rFonts w:hint="eastAsia" w:ascii="方正楷体_GBK" w:hAnsi="方正楷体_GBK" w:eastAsia="方正楷体_GBK" w:cs="方正楷体_GBK"/>
          <w:b w:val="0"/>
          <w:bCs w:val="0"/>
          <w:sz w:val="32"/>
          <w:szCs w:val="32"/>
          <w:shd w:val="clear" w:color="auto" w:fill="FFFFFF"/>
        </w:rPr>
        <w:t>（三）重点绩效评价结果</w:t>
      </w:r>
      <w:r>
        <w:rPr>
          <w:rStyle w:val="20"/>
          <w:rFonts w:hint="eastAsia" w:ascii="方正楷体_GBK" w:hAnsi="方正楷体_GBK" w:eastAsia="方正楷体_GBK" w:cs="方正楷体_GBK"/>
          <w:b w:val="0"/>
          <w:bCs w:val="0"/>
          <w:sz w:val="32"/>
          <w:szCs w:val="32"/>
          <w:shd w:val="clear" w:color="auto" w:fill="FFFFFF"/>
          <w:lang w:eastAsia="zh-CN"/>
        </w:rPr>
        <w:t>。</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eastAsia="zh-CN"/>
        </w:rPr>
        <w:t>无。</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left="0" w:leftChars="0" w:right="0" w:rightChars="0"/>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1"/>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638" w:leftChars="266" w:right="0" w:rightChars="0" w:firstLine="0" w:firstLineChars="0"/>
        <w:textAlignment w:val="auto"/>
        <w:rPr>
          <w:rFonts w:hint="default" w:cs="宋体"/>
          <w:sz w:val="32"/>
          <w:szCs w:val="32"/>
        </w:rPr>
      </w:pPr>
      <w:r>
        <w:rPr>
          <w:rStyle w:val="11"/>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r>
        <w:rPr>
          <w:rFonts w:cs="宋体"/>
          <w:sz w:val="20"/>
          <w:szCs w:val="20"/>
        </w:rPr>
        <w:br w:type="textWrapping"/>
      </w:r>
      <w:r>
        <w:rPr>
          <w:rFonts w:hint="eastAsia" w:ascii="方正仿宋_GBK" w:hAnsi="方正仿宋_GBK" w:eastAsia="方正仿宋_GBK" w:cs="方正仿宋_GBK"/>
          <w:b w:val="0"/>
          <w:bCs w:val="0"/>
          <w:color w:val="auto"/>
          <w:sz w:val="32"/>
          <w:szCs w:val="32"/>
          <w:shd w:val="clear" w:color="auto" w:fill="FFFFFF"/>
        </w:rPr>
        <w:t>本单位决算公开信息反馈和联系方式：023-</w:t>
      </w:r>
      <w:r>
        <w:rPr>
          <w:rFonts w:hint="eastAsia" w:ascii="方正仿宋_GBK" w:hAnsi="方正仿宋_GBK" w:eastAsia="方正仿宋_GBK" w:cs="方正仿宋_GBK"/>
          <w:b w:val="0"/>
          <w:bCs w:val="0"/>
          <w:color w:val="auto"/>
          <w:sz w:val="32"/>
          <w:szCs w:val="32"/>
          <w:shd w:val="clear" w:color="auto" w:fill="FFFFFF"/>
          <w:lang w:val="en-US" w:eastAsia="zh-CN"/>
        </w:rPr>
        <w:t>48669908。</w:t>
      </w:r>
    </w:p>
    <w:p>
      <w:pPr>
        <w:keepNext w:val="0"/>
        <w:keepLines w:val="0"/>
        <w:pageBreakBefore w:val="0"/>
        <w:widowControl/>
        <w:kinsoku/>
        <w:wordWrap/>
        <w:overflowPunct/>
        <w:topLinePunct w:val="0"/>
        <w:autoSpaceDN/>
        <w:bidi w:val="0"/>
        <w:adjustRightInd/>
        <w:spacing w:line="600" w:lineRule="exact"/>
        <w:ind w:right="0" w:rightChars="0"/>
        <w:textAlignment w:val="auto"/>
        <w:rPr>
          <w:rFonts w:hint="default" w:cs="宋体"/>
          <w:sz w:val="21"/>
          <w:szCs w:val="21"/>
        </w:rPr>
      </w:pPr>
    </w:p>
    <w:p>
      <w:pPr>
        <w:keepNext w:val="0"/>
        <w:keepLines w:val="0"/>
        <w:pageBreakBefore w:val="0"/>
        <w:widowControl/>
        <w:kinsoku/>
        <w:wordWrap/>
        <w:overflowPunct/>
        <w:topLinePunct w:val="0"/>
        <w:autoSpaceDN/>
        <w:bidi w:val="0"/>
        <w:adjustRightInd/>
        <w:spacing w:line="600" w:lineRule="exact"/>
        <w:ind w:right="0" w:rightChars="0"/>
        <w:textAlignment w:val="auto"/>
        <w:rPr>
          <w:rFonts w:hint="default"/>
          <w:sz w:val="18"/>
          <w:szCs w:val="18"/>
        </w:rPr>
      </w:pPr>
      <w:r>
        <w:rPr>
          <w:rFonts w:cs="宋体"/>
          <w:sz w:val="18"/>
          <w:szCs w:val="18"/>
        </w:rPr>
        <w:br w:type="textWrapping"/>
      </w:r>
      <w:r>
        <w:rPr>
          <w:rFonts w:cs="宋体"/>
          <w:sz w:val="18"/>
          <w:szCs w:val="18"/>
        </w:rPr>
        <w:br w:type="textWrapping"/>
      </w:r>
    </w:p>
    <w:sectPr>
      <w:headerReference r:id="rId3" w:type="default"/>
      <w:footerReference r:id="rId4" w:type="default"/>
      <w:pgSz w:w="11850" w:h="16783"/>
      <w:pgMar w:top="2098" w:right="1474" w:bottom="1984" w:left="1587" w:header="0" w:footer="283" w:gutter="0"/>
      <w:paperSrc/>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CAF40"/>
    <w:multiLevelType w:val="singleLevel"/>
    <w:tmpl w:val="68ECAF4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1FF79FD"/>
    <w:rsid w:val="02333728"/>
    <w:rsid w:val="02A943F3"/>
    <w:rsid w:val="0315578D"/>
    <w:rsid w:val="03B87EA0"/>
    <w:rsid w:val="03E3214F"/>
    <w:rsid w:val="044C50BA"/>
    <w:rsid w:val="04C53919"/>
    <w:rsid w:val="05BC6D49"/>
    <w:rsid w:val="06194FF1"/>
    <w:rsid w:val="06A2550B"/>
    <w:rsid w:val="06F80EE2"/>
    <w:rsid w:val="07001CCA"/>
    <w:rsid w:val="07474939"/>
    <w:rsid w:val="075678DB"/>
    <w:rsid w:val="07775E4A"/>
    <w:rsid w:val="077B465F"/>
    <w:rsid w:val="079D7CC7"/>
    <w:rsid w:val="08051BCA"/>
    <w:rsid w:val="086C12F4"/>
    <w:rsid w:val="08705944"/>
    <w:rsid w:val="0881759C"/>
    <w:rsid w:val="08BA052C"/>
    <w:rsid w:val="08DB07BA"/>
    <w:rsid w:val="0969353F"/>
    <w:rsid w:val="098305D0"/>
    <w:rsid w:val="09B1218B"/>
    <w:rsid w:val="09BD1F63"/>
    <w:rsid w:val="0A3317EA"/>
    <w:rsid w:val="0A5C4B69"/>
    <w:rsid w:val="0A86124A"/>
    <w:rsid w:val="0AB54CC0"/>
    <w:rsid w:val="0B9335CE"/>
    <w:rsid w:val="0BF2311A"/>
    <w:rsid w:val="0C347DB9"/>
    <w:rsid w:val="0C7927C4"/>
    <w:rsid w:val="0C9B098C"/>
    <w:rsid w:val="0D0E39D9"/>
    <w:rsid w:val="0D673E11"/>
    <w:rsid w:val="0DDA54E4"/>
    <w:rsid w:val="0E3A5F83"/>
    <w:rsid w:val="0F836721"/>
    <w:rsid w:val="0FA25D96"/>
    <w:rsid w:val="0FB96D46"/>
    <w:rsid w:val="107B59E5"/>
    <w:rsid w:val="10EC0126"/>
    <w:rsid w:val="10F70B9A"/>
    <w:rsid w:val="111445C7"/>
    <w:rsid w:val="1117703A"/>
    <w:rsid w:val="114278C6"/>
    <w:rsid w:val="1158083A"/>
    <w:rsid w:val="11643A4B"/>
    <w:rsid w:val="11ED0F98"/>
    <w:rsid w:val="11F03528"/>
    <w:rsid w:val="12C921C4"/>
    <w:rsid w:val="13381009"/>
    <w:rsid w:val="13871C70"/>
    <w:rsid w:val="13A71CB4"/>
    <w:rsid w:val="13A8779C"/>
    <w:rsid w:val="13AF1D43"/>
    <w:rsid w:val="13CE1647"/>
    <w:rsid w:val="13FD55AB"/>
    <w:rsid w:val="14200702"/>
    <w:rsid w:val="14370EA1"/>
    <w:rsid w:val="163A6CEE"/>
    <w:rsid w:val="173708E3"/>
    <w:rsid w:val="17C374FC"/>
    <w:rsid w:val="182E4AB6"/>
    <w:rsid w:val="189079DC"/>
    <w:rsid w:val="189B0D0B"/>
    <w:rsid w:val="18B43F7C"/>
    <w:rsid w:val="19137B26"/>
    <w:rsid w:val="191C433B"/>
    <w:rsid w:val="194A1770"/>
    <w:rsid w:val="19B906A4"/>
    <w:rsid w:val="1B6F15B6"/>
    <w:rsid w:val="1BAA2EDC"/>
    <w:rsid w:val="1CA55E64"/>
    <w:rsid w:val="1CC40E06"/>
    <w:rsid w:val="1D014A01"/>
    <w:rsid w:val="1D022362"/>
    <w:rsid w:val="1D1B04B0"/>
    <w:rsid w:val="1DA52501"/>
    <w:rsid w:val="1DBD6767"/>
    <w:rsid w:val="1DC52125"/>
    <w:rsid w:val="1DD26311"/>
    <w:rsid w:val="1E2249CC"/>
    <w:rsid w:val="1E374ACB"/>
    <w:rsid w:val="1ECF0A66"/>
    <w:rsid w:val="1EF67CA4"/>
    <w:rsid w:val="1F020D3A"/>
    <w:rsid w:val="1F2C5189"/>
    <w:rsid w:val="1F4B0B02"/>
    <w:rsid w:val="1F630742"/>
    <w:rsid w:val="1FBB35CD"/>
    <w:rsid w:val="1FCD26AF"/>
    <w:rsid w:val="20497769"/>
    <w:rsid w:val="20642787"/>
    <w:rsid w:val="21556F04"/>
    <w:rsid w:val="22403BD3"/>
    <w:rsid w:val="22AD3177"/>
    <w:rsid w:val="235417B6"/>
    <w:rsid w:val="23AF375D"/>
    <w:rsid w:val="241076E5"/>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43E581C"/>
    <w:rsid w:val="351A3952"/>
    <w:rsid w:val="352930DB"/>
    <w:rsid w:val="35573069"/>
    <w:rsid w:val="355F6038"/>
    <w:rsid w:val="358C217E"/>
    <w:rsid w:val="35CD659C"/>
    <w:rsid w:val="36C9128A"/>
    <w:rsid w:val="37841E99"/>
    <w:rsid w:val="379276D3"/>
    <w:rsid w:val="37BF1123"/>
    <w:rsid w:val="37FE2F8C"/>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D95FB5"/>
    <w:rsid w:val="3D083B3A"/>
    <w:rsid w:val="3D2757A1"/>
    <w:rsid w:val="3D3D4FC4"/>
    <w:rsid w:val="3DDF3AB1"/>
    <w:rsid w:val="3E1D0952"/>
    <w:rsid w:val="3E42660A"/>
    <w:rsid w:val="3E7555B1"/>
    <w:rsid w:val="3E787ED9"/>
    <w:rsid w:val="3EAB7D4D"/>
    <w:rsid w:val="3F032E93"/>
    <w:rsid w:val="3F0527E5"/>
    <w:rsid w:val="3F4C52C6"/>
    <w:rsid w:val="3F694D83"/>
    <w:rsid w:val="3F885DCC"/>
    <w:rsid w:val="3FA42530"/>
    <w:rsid w:val="3FCD675E"/>
    <w:rsid w:val="3FFA288B"/>
    <w:rsid w:val="4004000C"/>
    <w:rsid w:val="40760DD1"/>
    <w:rsid w:val="40BD5482"/>
    <w:rsid w:val="411B6CE5"/>
    <w:rsid w:val="412070D7"/>
    <w:rsid w:val="41314E40"/>
    <w:rsid w:val="41803F05"/>
    <w:rsid w:val="41CE1F94"/>
    <w:rsid w:val="41E0734B"/>
    <w:rsid w:val="426C1EA8"/>
    <w:rsid w:val="42736402"/>
    <w:rsid w:val="42E86A87"/>
    <w:rsid w:val="43307B09"/>
    <w:rsid w:val="439A3EB9"/>
    <w:rsid w:val="43BB152F"/>
    <w:rsid w:val="447B761F"/>
    <w:rsid w:val="44C37687"/>
    <w:rsid w:val="45CB699A"/>
    <w:rsid w:val="46423C66"/>
    <w:rsid w:val="465B470D"/>
    <w:rsid w:val="469D6AD4"/>
    <w:rsid w:val="46A27264"/>
    <w:rsid w:val="471E6C84"/>
    <w:rsid w:val="4748792B"/>
    <w:rsid w:val="475D719D"/>
    <w:rsid w:val="47674801"/>
    <w:rsid w:val="48225EF7"/>
    <w:rsid w:val="488F422B"/>
    <w:rsid w:val="48E36915"/>
    <w:rsid w:val="48EB6572"/>
    <w:rsid w:val="495C4A24"/>
    <w:rsid w:val="497135DF"/>
    <w:rsid w:val="4A263DF2"/>
    <w:rsid w:val="4A2F278B"/>
    <w:rsid w:val="4A6F6675"/>
    <w:rsid w:val="4AB61D5C"/>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AE127C"/>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AE24E0"/>
    <w:rsid w:val="5A3B59D6"/>
    <w:rsid w:val="5AD134D8"/>
    <w:rsid w:val="5B7D7783"/>
    <w:rsid w:val="5BDA25ED"/>
    <w:rsid w:val="5BF41F67"/>
    <w:rsid w:val="5C263CE4"/>
    <w:rsid w:val="5C5D2777"/>
    <w:rsid w:val="5CF66BF3"/>
    <w:rsid w:val="5D290C69"/>
    <w:rsid w:val="5DA80C2C"/>
    <w:rsid w:val="5F2D4A41"/>
    <w:rsid w:val="60256956"/>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92970"/>
    <w:rsid w:val="66EE5541"/>
    <w:rsid w:val="67924660"/>
    <w:rsid w:val="68407834"/>
    <w:rsid w:val="6883293E"/>
    <w:rsid w:val="688412AD"/>
    <w:rsid w:val="68EB1B71"/>
    <w:rsid w:val="696C0310"/>
    <w:rsid w:val="6A6C7940"/>
    <w:rsid w:val="6A9F1565"/>
    <w:rsid w:val="6AAD2300"/>
    <w:rsid w:val="6B0860A5"/>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2018A7"/>
    <w:rsid w:val="71574775"/>
    <w:rsid w:val="71C34D91"/>
    <w:rsid w:val="726C0D9F"/>
    <w:rsid w:val="7291054D"/>
    <w:rsid w:val="72DB435C"/>
    <w:rsid w:val="72E2613A"/>
    <w:rsid w:val="72F771F4"/>
    <w:rsid w:val="73934AD2"/>
    <w:rsid w:val="750837F0"/>
    <w:rsid w:val="754758CF"/>
    <w:rsid w:val="75595ECD"/>
    <w:rsid w:val="764F62AB"/>
    <w:rsid w:val="765C45EC"/>
    <w:rsid w:val="768A7619"/>
    <w:rsid w:val="76BD23AB"/>
    <w:rsid w:val="76C12485"/>
    <w:rsid w:val="772E1EBA"/>
    <w:rsid w:val="781926BC"/>
    <w:rsid w:val="796D60A4"/>
    <w:rsid w:val="79A031D5"/>
    <w:rsid w:val="79B47FDF"/>
    <w:rsid w:val="79E569A9"/>
    <w:rsid w:val="7A1525F7"/>
    <w:rsid w:val="7A4E0735"/>
    <w:rsid w:val="7B420052"/>
    <w:rsid w:val="7BD06A28"/>
    <w:rsid w:val="7C3A7C0B"/>
    <w:rsid w:val="7C5248E4"/>
    <w:rsid w:val="7C566698"/>
    <w:rsid w:val="7C5866A3"/>
    <w:rsid w:val="7D7406BB"/>
    <w:rsid w:val="7DE94331"/>
    <w:rsid w:val="7EBA75A9"/>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15"/>
    <w:basedOn w:val="10"/>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ScaleCrop>false</ScaleCrop>
  <LinksUpToDate>false</LinksUpToDate>
  <CharactersWithSpaces>26313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2025-10-22T02:37:44Z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BB46EABDBB2749749395447164B066B3_12</vt:lpwstr>
  </property>
</Properties>
</file>