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重庆市綦江区民政局（本级）</w:t>
      </w:r>
    </w:p>
    <w:bookmarkEnd w:id="0"/>
    <w:p>
      <w:pPr>
        <w:pStyle w:val="9"/>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right="0" w:rightChars="0"/>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kern w:val="0"/>
          <w:sz w:val="32"/>
          <w:szCs w:val="32"/>
          <w:shd w:val="clear" w:color="auto" w:fill="FFFFFF"/>
        </w:rPr>
      </w:pPr>
      <w:r>
        <w:rPr>
          <w:rStyle w:val="20"/>
          <w:rFonts w:hint="eastAsia" w:ascii="方正仿宋_GBK" w:hAnsi="方正仿宋_GBK" w:eastAsia="方正仿宋_GBK" w:cs="方正仿宋_GBK"/>
          <w:b w:val="0"/>
          <w:bCs w:val="0"/>
          <w:color w:val="auto"/>
          <w:sz w:val="32"/>
          <w:szCs w:val="32"/>
          <w:shd w:val="clear" w:color="auto" w:fill="FFFFFF"/>
          <w:lang w:eastAsia="zh-CN"/>
        </w:rPr>
        <w:t>綦江</w:t>
      </w:r>
      <w:r>
        <w:rPr>
          <w:rFonts w:hint="eastAsia" w:ascii="方正仿宋_GBK" w:hAnsi="方正仿宋_GBK" w:eastAsia="方正仿宋_GBK" w:cs="方正仿宋_GBK"/>
          <w:b w:val="0"/>
          <w:bCs w:val="0"/>
          <w:color w:val="auto"/>
          <w:kern w:val="0"/>
          <w:sz w:val="32"/>
          <w:szCs w:val="32"/>
          <w:lang w:val="en-US" w:eastAsia="zh-CN" w:bidi="ar"/>
        </w:rPr>
        <w:t>区民政局</w:t>
      </w:r>
      <w:r>
        <w:rPr>
          <w:rFonts w:hint="eastAsia" w:ascii="方正仿宋_GBK" w:hAnsi="方正仿宋_GBK" w:eastAsia="方正仿宋_GBK" w:cs="方正仿宋_GBK"/>
          <w:b w:val="0"/>
          <w:bCs w:val="0"/>
          <w:color w:val="auto"/>
          <w:kern w:val="0"/>
          <w:sz w:val="32"/>
          <w:szCs w:val="32"/>
          <w:shd w:val="clear" w:color="auto" w:fill="FFFFFF"/>
        </w:rPr>
        <w:t>贯彻执行国家和市、区关于民政工作的方针、政策和法律、法规，研究拟订全区民政工作规范性文件及政策措施，提出全区民政事业改革和发展规划，并组织监督实施</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负责对全区社团、基金会、社会服务机构等社会组织的登记管理和执法监督工作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贯彻落实社会救助政策；统筹全区城乡社会救助体系建设；负责城乡居民最低生活保障、特困人员救助供养、临时救助、生活无着流浪乞讨人员救助工作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贯彻城乡基层群众自治建设和社区治理政策；承担基层政权建设的相关工作，指导村（居）民委员会建设和城乡社区建设工作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拟订全区行政区划总体规划；负责镇（街道）行政区划的设立、撤销、调整、更名和行政区域界线管理及政府驻地迁移的审核报批；负责镇（街道）行政区划名称变更的报批工作；负责地名管理工作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贯彻落实婚姻管理法规政策；负责婚姻登记管理相关工作；负责推进婚俗改革</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贯彻落实殡葬管理政策，推进殡葬改革</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统筹推进、督促指导、监督管理全区养老服务工作，拟订全区养老服务体系建设规划、政策、标准并组织实施；承担老年人福利和特殊困难老年人救助工作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贯彻落实残疾人权益保护政策，统筹推进残疾人福利制度建设</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贯彻落实儿童福利、孤弃儿童保障、儿童收养、儿童救助保护政策、标准，承担农村留守儿童关爱保护工作和困境儿童救助工作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贯彻落实慈善事业相关政策，推进慈善事业发展；组织、指导社会捐助工作；指导、管理全区福利彩票站点建设；指导、监督本区福利资金的管理使用。贯彻落实社会工作、志愿服务政策和标准，会同有关部门推进社会工作人才队伍建设和志愿者队伍建设</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负责机关、所属事业单位和区民政局主管的社会组织党建工作</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auto" w:fill="FFFFFF"/>
        </w:rPr>
        <w:t>完成区委、区政府交办的其他任务。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楷体_GBK" w:hAnsi="方正楷体_GBK" w:eastAsia="方正楷体_GBK" w:cs="方正楷体_GBK"/>
          <w:b w:val="0"/>
          <w:bCs/>
          <w:sz w:val="32"/>
          <w:szCs w:val="32"/>
        </w:rPr>
      </w:pPr>
      <w:r>
        <w:rPr>
          <w:rStyle w:val="11"/>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kern w:val="0"/>
          <w:sz w:val="32"/>
          <w:szCs w:val="32"/>
          <w:shd w:val="clear" w:color="auto" w:fill="FFFFFF"/>
          <w:lang w:eastAsia="zh-CN"/>
        </w:rPr>
      </w:pPr>
      <w:r>
        <w:rPr>
          <w:rFonts w:hint="eastAsia" w:ascii="方正仿宋_GBK" w:hAnsi="方正仿宋_GBK" w:eastAsia="方正仿宋_GBK" w:cs="方正仿宋_GBK"/>
          <w:b w:val="0"/>
          <w:bCs w:val="0"/>
          <w:color w:val="auto"/>
          <w:kern w:val="0"/>
          <w:sz w:val="32"/>
          <w:szCs w:val="32"/>
          <w:shd w:val="clear" w:color="auto" w:fill="FFFFFF"/>
        </w:rPr>
        <w:t>綦江区民政局</w:t>
      </w:r>
      <w:r>
        <w:rPr>
          <w:rFonts w:hint="eastAsia" w:ascii="方正仿宋_GBK" w:hAnsi="方正仿宋_GBK" w:eastAsia="方正仿宋_GBK" w:cs="方正仿宋_GBK"/>
          <w:b w:val="0"/>
          <w:bCs w:val="0"/>
          <w:color w:val="auto"/>
          <w:kern w:val="0"/>
          <w:sz w:val="32"/>
          <w:szCs w:val="32"/>
          <w:shd w:val="clear" w:color="auto" w:fill="FFFFFF"/>
          <w:lang w:eastAsia="zh-CN"/>
        </w:rPr>
        <w:t>（本级）</w:t>
      </w:r>
      <w:r>
        <w:rPr>
          <w:rFonts w:hint="eastAsia" w:ascii="方正仿宋_GBK" w:hAnsi="方正仿宋_GBK" w:eastAsia="方正仿宋_GBK" w:cs="方正仿宋_GBK"/>
          <w:b w:val="0"/>
          <w:bCs w:val="0"/>
          <w:color w:val="auto"/>
          <w:kern w:val="0"/>
          <w:sz w:val="32"/>
          <w:szCs w:val="32"/>
          <w:shd w:val="clear" w:color="auto" w:fill="FFFFFF"/>
        </w:rPr>
        <w:t>属</w:t>
      </w:r>
      <w:r>
        <w:rPr>
          <w:rFonts w:hint="eastAsia" w:ascii="方正仿宋_GBK" w:hAnsi="方正仿宋_GBK" w:eastAsia="方正仿宋_GBK" w:cs="方正仿宋_GBK"/>
          <w:b w:val="0"/>
          <w:bCs w:val="0"/>
          <w:color w:val="auto"/>
          <w:kern w:val="0"/>
          <w:sz w:val="32"/>
          <w:szCs w:val="32"/>
          <w:lang w:eastAsia="zh-CN"/>
        </w:rPr>
        <w:t>为</w:t>
      </w:r>
      <w:r>
        <w:rPr>
          <w:rFonts w:hint="eastAsia" w:ascii="方正仿宋_GBK" w:hAnsi="方正仿宋_GBK" w:eastAsia="方正仿宋_GBK" w:cs="方正仿宋_GBK"/>
          <w:b w:val="0"/>
          <w:bCs w:val="0"/>
          <w:color w:val="auto"/>
          <w:kern w:val="0"/>
          <w:sz w:val="32"/>
          <w:szCs w:val="32"/>
        </w:rPr>
        <w:t>财政全额拨款</w:t>
      </w:r>
      <w:r>
        <w:rPr>
          <w:rFonts w:hint="eastAsia" w:ascii="方正仿宋_GBK" w:hAnsi="方正仿宋_GBK" w:eastAsia="方正仿宋_GBK" w:cs="方正仿宋_GBK"/>
          <w:b w:val="0"/>
          <w:bCs w:val="0"/>
          <w:color w:val="auto"/>
          <w:kern w:val="0"/>
          <w:sz w:val="32"/>
          <w:szCs w:val="32"/>
          <w:shd w:val="clear" w:color="auto" w:fill="FFFFFF"/>
        </w:rPr>
        <w:t>行政</w:t>
      </w:r>
      <w:r>
        <w:rPr>
          <w:rFonts w:hint="eastAsia" w:ascii="方正仿宋_GBK" w:hAnsi="方正仿宋_GBK" w:eastAsia="方正仿宋_GBK" w:cs="方正仿宋_GBK"/>
          <w:b w:val="0"/>
          <w:bCs w:val="0"/>
          <w:color w:val="auto"/>
          <w:kern w:val="0"/>
          <w:sz w:val="32"/>
          <w:szCs w:val="32"/>
          <w:shd w:val="clear" w:color="auto" w:fill="FFFFFF"/>
          <w:lang w:eastAsia="zh-CN"/>
        </w:rPr>
        <w:t>单位</w:t>
      </w:r>
      <w:r>
        <w:rPr>
          <w:rFonts w:hint="eastAsia" w:ascii="方正仿宋_GBK" w:hAnsi="方正仿宋_GBK" w:eastAsia="方正仿宋_GBK" w:cs="方正仿宋_GBK"/>
          <w:b w:val="0"/>
          <w:bCs w:val="0"/>
          <w:color w:val="auto"/>
          <w:kern w:val="0"/>
          <w:sz w:val="32"/>
          <w:szCs w:val="32"/>
          <w:shd w:val="clear" w:color="auto" w:fill="FFFFFF"/>
        </w:rPr>
        <w:t>，在财务工作中执行的是行政单位会计制度</w:t>
      </w:r>
      <w:r>
        <w:rPr>
          <w:rFonts w:hint="eastAsia" w:ascii="方正仿宋_GBK" w:hAnsi="方正仿宋_GBK" w:eastAsia="方正仿宋_GBK" w:cs="方正仿宋_GBK"/>
          <w:b w:val="0"/>
          <w:bCs w:val="0"/>
          <w:color w:val="auto"/>
          <w:kern w:val="0"/>
          <w:sz w:val="32"/>
          <w:szCs w:val="32"/>
          <w:shd w:val="clear" w:color="auto" w:fill="FFFFFF"/>
          <w:lang w:eastAsia="zh-CN"/>
        </w:rPr>
        <w:t>。全局共</w:t>
      </w:r>
      <w:r>
        <w:rPr>
          <w:rFonts w:hint="eastAsia" w:ascii="方正仿宋_GBK" w:hAnsi="方正仿宋_GBK" w:eastAsia="方正仿宋_GBK" w:cs="方正仿宋_GBK"/>
          <w:b w:val="0"/>
          <w:bCs w:val="0"/>
          <w:color w:val="auto"/>
          <w:kern w:val="0"/>
          <w:sz w:val="32"/>
          <w:szCs w:val="32"/>
          <w:shd w:val="clear" w:color="auto" w:fill="FFFFFF"/>
        </w:rPr>
        <w:t>内设</w:t>
      </w:r>
      <w:r>
        <w:rPr>
          <w:rFonts w:hint="eastAsia" w:ascii="方正仿宋_GBK" w:hAnsi="方正仿宋_GBK" w:eastAsia="方正仿宋_GBK" w:cs="方正仿宋_GBK"/>
          <w:b w:val="0"/>
          <w:bCs w:val="0"/>
          <w:color w:val="auto"/>
          <w:kern w:val="0"/>
          <w:sz w:val="32"/>
          <w:szCs w:val="32"/>
          <w:shd w:val="clear" w:color="auto" w:fill="FFFFFF"/>
          <w:lang w:val="en-US" w:eastAsia="zh-CN"/>
        </w:rPr>
        <w:t>7</w:t>
      </w:r>
      <w:r>
        <w:rPr>
          <w:rFonts w:hint="eastAsia" w:ascii="方正仿宋_GBK" w:hAnsi="方正仿宋_GBK" w:eastAsia="方正仿宋_GBK" w:cs="方正仿宋_GBK"/>
          <w:b w:val="0"/>
          <w:bCs w:val="0"/>
          <w:color w:val="auto"/>
          <w:kern w:val="0"/>
          <w:sz w:val="32"/>
          <w:szCs w:val="32"/>
          <w:shd w:val="clear" w:color="auto" w:fill="FFFFFF"/>
        </w:rPr>
        <w:t>个职能科室</w:t>
      </w:r>
      <w:r>
        <w:rPr>
          <w:rFonts w:hint="eastAsia" w:ascii="方正仿宋_GBK" w:hAnsi="方正仿宋_GBK" w:eastAsia="方正仿宋_GBK" w:cs="方正仿宋_GBK"/>
          <w:b w:val="0"/>
          <w:bCs w:val="0"/>
          <w:color w:val="auto"/>
          <w:kern w:val="0"/>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611.80万元。收、支与2023年度相比，增加1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150.50万元，增长4.0%，</w:t>
      </w:r>
      <w:r>
        <w:rPr>
          <w:rFonts w:hint="eastAsia" w:ascii="方正仿宋_GBK" w:hAnsi="方正仿宋_GBK" w:eastAsia="方正仿宋_GBK" w:cs="方正仿宋_GBK"/>
          <w:sz w:val="32"/>
          <w:szCs w:val="32"/>
        </w:rPr>
        <w:t>主要原因是本年困难群众救助专项资金经费拨款增加，本年收</w:t>
      </w:r>
      <w:r>
        <w:rPr>
          <w:rFonts w:hint="eastAsia" w:ascii="方正仿宋_GBK" w:hAnsi="方正仿宋_GBK" w:eastAsia="方正仿宋_GBK" w:cs="方正仿宋_GBK"/>
          <w:sz w:val="32"/>
          <w:szCs w:val="32"/>
          <w:lang w:eastAsia="zh-CN"/>
        </w:rPr>
        <w:t>支</w:t>
      </w:r>
      <w:r>
        <w:rPr>
          <w:rFonts w:hint="eastAsia" w:ascii="方正仿宋_GBK" w:hAnsi="方正仿宋_GBK" w:eastAsia="方正仿宋_GBK" w:cs="方正仿宋_GBK"/>
          <w:sz w:val="32"/>
          <w:szCs w:val="32"/>
        </w:rPr>
        <w:t>较上年增加。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1</w:t>
      </w:r>
      <w:r>
        <w:rPr>
          <w:rStyle w:val="11"/>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611.80万元，与2023年度相比，增加1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150.85万元，增长4.0%，</w:t>
      </w:r>
      <w:r>
        <w:rPr>
          <w:rFonts w:hint="eastAsia" w:ascii="方正仿宋_GBK" w:hAnsi="方正仿宋_GBK" w:eastAsia="方正仿宋_GBK" w:cs="方正仿宋_GBK"/>
          <w:sz w:val="32"/>
          <w:szCs w:val="32"/>
        </w:rPr>
        <w:t>主要原因是本年困难群众救助专项资金经费拨款增加，本年收入较上年增加。</w:t>
      </w:r>
      <w:r>
        <w:rPr>
          <w:rFonts w:hint="eastAsia" w:ascii="方正仿宋_GBK" w:hAnsi="方正仿宋_GBK" w:eastAsia="方正仿宋_GBK" w:cs="方正仿宋_GBK"/>
          <w:sz w:val="32"/>
          <w:szCs w:val="32"/>
          <w:shd w:val="clear" w:color="auto" w:fill="FFFFFF"/>
        </w:rPr>
        <w:t>其中：财政拨款收入29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611.80万元，占100.0%；事业收入0.00万元，占0.0%；经营收入0.00万元，占0.0%；其他收入0.00万元，占0.0%。此外，使用非财政拨款结余（含专用结余）0.00万元，年初结转和结余0.00万元。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lang w:val="en-US" w:eastAsia="zh-CN"/>
        </w:rPr>
        <w:t>2</w:t>
      </w:r>
      <w:r>
        <w:rPr>
          <w:rStyle w:val="11"/>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611.80万元，与2023年度相比，增加1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150.50万元，增长4.0%，</w:t>
      </w:r>
      <w:r>
        <w:rPr>
          <w:rFonts w:hint="eastAsia" w:ascii="方正仿宋_GBK" w:hAnsi="方正仿宋_GBK" w:eastAsia="方正仿宋_GBK" w:cs="方正仿宋_GBK"/>
          <w:sz w:val="32"/>
          <w:szCs w:val="32"/>
        </w:rPr>
        <w:t>主要原因是本年困难群众救助专项资金经费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其中：基本支出583.80万元，占2.0%；项目支出29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028.00万元，占98.0%；经营支出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lang w:val="en-US" w:eastAsia="zh-CN"/>
        </w:rPr>
        <w:t>3</w:t>
      </w:r>
      <w:r>
        <w:rPr>
          <w:rStyle w:val="11"/>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2024年度财政拨款收、支总计均为29</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611.80万元。与2023年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150.50万元，增长4.0%。</w:t>
      </w:r>
      <w:r>
        <w:rPr>
          <w:rFonts w:hint="eastAsia" w:ascii="方正仿宋_GBK" w:hAnsi="方正仿宋_GBK" w:eastAsia="方正仿宋_GBK" w:cs="方正仿宋_GBK"/>
          <w:sz w:val="32"/>
          <w:szCs w:val="32"/>
        </w:rPr>
        <w:t>主要原因是本年困难群众救助专项资金经费拨款增加，本年收入较上年增加。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2024年度一般公共预算财政拨款收入28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795.02万元，与2023年度相比，增加919.22万元，增长3.3%。</w:t>
      </w:r>
      <w:r>
        <w:rPr>
          <w:rFonts w:hint="eastAsia" w:ascii="方正仿宋_GBK" w:hAnsi="方正仿宋_GBK" w:eastAsia="方正仿宋_GBK" w:cs="方正仿宋_GBK"/>
          <w:sz w:val="32"/>
          <w:szCs w:val="32"/>
        </w:rPr>
        <w:t>主要原因是本年困难群众救助专项资金经费拨款增加，本年收入较上年增加。</w:t>
      </w:r>
      <w:r>
        <w:rPr>
          <w:rFonts w:hint="eastAsia" w:ascii="方正仿宋_GBK" w:hAnsi="方正仿宋_GBK" w:eastAsia="方正仿宋_GBK" w:cs="方正仿宋_GBK"/>
          <w:sz w:val="32"/>
          <w:szCs w:val="32"/>
          <w:shd w:val="clear" w:color="auto" w:fill="FFFFFF"/>
        </w:rPr>
        <w:t>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401.30万元，增长9.1%。</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市级福彩公益金用于社会福利事业（第二批）预算（渝财社〔2024〕110号）110.2万元、重庆市财政局关于下达2024年民政相关专项市级补助资金（渝财社〔2024〕50号）303.1万元等。</w:t>
      </w:r>
      <w:r>
        <w:rPr>
          <w:rFonts w:hint="eastAsia" w:ascii="方正仿宋_GBK" w:hAnsi="方正仿宋_GBK" w:eastAsia="方正仿宋_GBK" w:cs="方正仿宋_GBK"/>
          <w:sz w:val="32"/>
          <w:szCs w:val="32"/>
          <w:shd w:val="clear" w:color="auto" w:fill="FFFFFF"/>
        </w:rPr>
        <w:t>此外，年初财政拨款结转和结余0.00万元。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2024年度一般公共预算财政拨款支出28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795.02万元，与2023年度相比，增加918.88万元，增长3.3%。</w:t>
      </w:r>
      <w:r>
        <w:rPr>
          <w:rFonts w:hint="eastAsia" w:ascii="方正仿宋_GBK" w:hAnsi="方正仿宋_GBK" w:eastAsia="方正仿宋_GBK" w:cs="方正仿宋_GBK"/>
          <w:sz w:val="32"/>
          <w:szCs w:val="32"/>
        </w:rPr>
        <w:t>主要原因是本年困难群众救助专项资金经费</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增加，本年</w:t>
      </w:r>
      <w:r>
        <w:rPr>
          <w:rFonts w:hint="eastAsia" w:ascii="方正仿宋_GBK" w:hAnsi="方正仿宋_GBK" w:eastAsia="方正仿宋_GBK" w:cs="方正仿宋_GBK"/>
          <w:sz w:val="32"/>
          <w:szCs w:val="32"/>
          <w:lang w:eastAsia="zh-CN"/>
        </w:rPr>
        <w:t>支出</w:t>
      </w:r>
      <w:r>
        <w:rPr>
          <w:rFonts w:hint="eastAsia" w:ascii="方正仿宋_GBK" w:hAnsi="方正仿宋_GBK" w:eastAsia="方正仿宋_GBK" w:cs="方正仿宋_GBK"/>
          <w:sz w:val="32"/>
          <w:szCs w:val="32"/>
        </w:rPr>
        <w:t>较上年增加。</w:t>
      </w:r>
      <w:r>
        <w:rPr>
          <w:rFonts w:hint="eastAsia" w:ascii="方正仿宋_GBK" w:hAnsi="方正仿宋_GBK" w:eastAsia="方正仿宋_GBK" w:cs="方正仿宋_GBK"/>
          <w:sz w:val="32"/>
          <w:szCs w:val="32"/>
          <w:shd w:val="clear" w:color="auto" w:fill="FFFFFF"/>
        </w:rPr>
        <w:t>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401.30万元，增长9.1%。</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市级福彩公益金用于社会福利事业（第二批）预算（渝财社〔2024〕110号）110.2万元、重庆市财政局关于下达2024年民政相关专项市级补助资金（渝财社〔2024〕50号）303.1万元等。</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就业支出28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736.82万元，占99.8%，较年初预算数增加2</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402.71万元，增长9.1%，</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sz w:val="32"/>
          <w:szCs w:val="32"/>
          <w:shd w:val="clear" w:color="auto" w:fill="FFFFFF"/>
          <w:lang w:eastAsia="zh-CN"/>
        </w:rPr>
        <w:t>我单位积极争取上级补助资金，年中追加上级转移支付。</w:t>
      </w:r>
      <w:r>
        <w:rPr>
          <w:rFonts w:hint="eastAsia" w:ascii="方正仿宋_GBK" w:hAnsi="方正仿宋_GBK" w:eastAsia="方正仿宋_GBK" w:cs="方正仿宋_GBK"/>
          <w:sz w:val="32"/>
          <w:szCs w:val="32"/>
          <w:shd w:val="clear" w:color="auto" w:fill="FFFFFF"/>
          <w:lang w:eastAsia="zh-CN"/>
        </w:rPr>
        <w:t>例如：重庆市财政局关于下达2024年困难群众救助等项目市级补助资金（渝财社〔2024〕58号）</w:t>
      </w:r>
      <w:r>
        <w:rPr>
          <w:rFonts w:hint="eastAsia" w:ascii="方正仿宋_GBK" w:hAnsi="方正仿宋_GBK" w:eastAsia="方正仿宋_GBK" w:cs="方正仿宋_GBK"/>
          <w:sz w:val="32"/>
          <w:szCs w:val="32"/>
          <w:shd w:val="clear" w:color="auto" w:fill="FFFFFF"/>
          <w:lang w:val="en-US" w:eastAsia="zh-CN"/>
        </w:rPr>
        <w:t>1175万元、重庆市财政局关于下达2024年养老服务业发展补助资金（渝财社〔2024〕94号）200万元、重庆市财政局关于下达2024年民政相关专项市级补助资金（渝财社〔2024〕50号）303.1万元等。</w:t>
      </w:r>
    </w:p>
    <w:p>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）卫生健康支出24.59万元，占0.1%，较年初预算数减少3.38万元，下降12.1%，主要原因是</w:t>
      </w:r>
      <w:r>
        <w:rPr>
          <w:rFonts w:hint="eastAsia" w:ascii="方正仿宋_GBK" w:hAnsi="方正仿宋_GBK" w:eastAsia="方正仿宋_GBK" w:cs="方正仿宋_GBK"/>
          <w:sz w:val="32"/>
          <w:szCs w:val="32"/>
          <w:shd w:val="clear" w:color="auto" w:fill="FFFFFF"/>
          <w:lang w:eastAsia="zh-CN"/>
        </w:rPr>
        <w:t>本年按照实际缴纳医疗保险等，实际缴纳费用较年初预算少。</w:t>
      </w:r>
    </w:p>
    <w:p>
      <w:pPr>
        <w:keepNext w:val="0"/>
        <w:keepLines w:val="0"/>
        <w:pageBreakBefore w:val="0"/>
        <w:widowControl/>
        <w:kinsoku/>
        <w:wordWrap/>
        <w:overflowPunct/>
        <w:topLinePunct w:val="0"/>
        <w:autoSpaceDN/>
        <w:bidi w:val="0"/>
        <w:adjustRightInd/>
        <w:spacing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33.60万元，占0.1%，较年初预算数增加1.96万元，增长6.2%，</w:t>
      </w:r>
      <w:r>
        <w:rPr>
          <w:rFonts w:hint="eastAsia" w:ascii="方正仿宋_GBK" w:hAnsi="方正仿宋_GBK" w:eastAsia="方正仿宋_GBK" w:cs="方正仿宋_GBK"/>
          <w:sz w:val="32"/>
          <w:szCs w:val="32"/>
          <w:shd w:val="clear" w:color="auto" w:fill="FFFFFF"/>
          <w:lang w:val="en-US" w:eastAsia="zh-CN" w:bidi="ar-SA"/>
        </w:rPr>
        <w:t>主要原因是正常人员调资，住房公积金支出较年初预算增加。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3" w:firstLineChars="200"/>
        <w:jc w:val="both"/>
        <w:textAlignment w:val="auto"/>
        <w:rPr>
          <w:rFonts w:hint="eastAsia" w:ascii="方正仿宋_GBK" w:hAnsi="方正仿宋_GBK" w:eastAsia="方正仿宋_GBK" w:cs="方正仿宋_GBK"/>
          <w:color w:val="FF0000"/>
          <w:sz w:val="32"/>
          <w:szCs w:val="32"/>
          <w:shd w:val="clear" w:color="auto" w:fill="FFFFFF"/>
        </w:rPr>
      </w:pPr>
      <w:r>
        <w:rPr>
          <w:rStyle w:val="11"/>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2024年度一般公共财政拨款基本支出583.80万元。其中：</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人员经费476.25万元，与2023年度相比，减少4.26万元，下降0.9%，</w:t>
      </w:r>
      <w:r>
        <w:rPr>
          <w:rFonts w:hint="eastAsia" w:ascii="方正仿宋_GBK" w:hAnsi="方正仿宋_GBK" w:eastAsia="方正仿宋_GBK" w:cs="方正仿宋_GBK"/>
          <w:sz w:val="32"/>
          <w:szCs w:val="32"/>
        </w:rPr>
        <w:t>主要原因是本年年中人员减少，本年人员经费较上年减少。</w:t>
      </w:r>
      <w:r>
        <w:rPr>
          <w:rFonts w:hint="eastAsia" w:ascii="方正仿宋_GBK" w:hAnsi="方正仿宋_GBK" w:eastAsia="方正仿宋_GBK" w:cs="方正仿宋_GBK"/>
          <w:b w:val="0"/>
          <w:bCs w:val="0"/>
          <w:color w:val="auto"/>
          <w:sz w:val="32"/>
          <w:szCs w:val="32"/>
          <w:shd w:val="clear" w:color="auto" w:fill="FFFFFF"/>
        </w:rPr>
        <w:t>人员经费用途主要包括</w:t>
      </w:r>
      <w:r>
        <w:rPr>
          <w:rFonts w:hint="eastAsia" w:ascii="方正仿宋_GBK" w:hAnsi="方正仿宋_GBK" w:eastAsia="方正仿宋_GBK" w:cs="方正仿宋_GBK"/>
          <w:b w:val="0"/>
          <w:bCs w:val="0"/>
          <w:color w:val="auto"/>
          <w:sz w:val="32"/>
          <w:szCs w:val="32"/>
        </w:rPr>
        <w:t>基本工资、津贴补贴、奖金、社会保障缴费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公用经费107.55万元，与2023年度相比，增加26.52万元，增长32.7%，</w:t>
      </w:r>
      <w:r>
        <w:rPr>
          <w:rFonts w:hint="eastAsia" w:ascii="方正仿宋_GBK" w:hAnsi="方正仿宋_GBK" w:eastAsia="方正仿宋_GBK" w:cs="方正仿宋_GBK"/>
          <w:sz w:val="32"/>
          <w:szCs w:val="32"/>
        </w:rPr>
        <w:t>主要原因是本年加大低保、救助、养老、殡葬等工作力度，公用经费较上年增加。</w:t>
      </w:r>
      <w:r>
        <w:rPr>
          <w:rFonts w:hint="eastAsia" w:ascii="方正仿宋_GBK" w:hAnsi="方正仿宋_GBK" w:eastAsia="方正仿宋_GBK" w:cs="方正仿宋_GBK"/>
          <w:sz w:val="32"/>
          <w:szCs w:val="32"/>
          <w:shd w:val="clear" w:color="auto" w:fill="FFFFFF"/>
          <w:lang w:val="en-US" w:eastAsia="zh-CN"/>
        </w:rPr>
        <w:t>公用</w:t>
      </w:r>
      <w:r>
        <w:rPr>
          <w:rFonts w:hint="eastAsia" w:ascii="方正仿宋_GBK" w:hAnsi="方正仿宋_GBK" w:eastAsia="方正仿宋_GBK" w:cs="方正仿宋_GBK"/>
          <w:b w:val="0"/>
          <w:bCs w:val="0"/>
          <w:color w:val="auto"/>
          <w:sz w:val="32"/>
          <w:szCs w:val="32"/>
          <w:shd w:val="clear" w:color="auto" w:fill="FFFFFF"/>
        </w:rPr>
        <w:t>经费用途主要包括</w:t>
      </w:r>
      <w:r>
        <w:rPr>
          <w:rFonts w:hint="eastAsia" w:ascii="方正仿宋_GBK" w:hAnsi="方正仿宋_GBK" w:eastAsia="方正仿宋_GBK" w:cs="方正仿宋_GBK"/>
          <w:b w:val="0"/>
          <w:bCs w:val="0"/>
          <w:color w:val="auto"/>
          <w:sz w:val="32"/>
          <w:szCs w:val="32"/>
        </w:rPr>
        <w:t>办公费、印刷费、咨询费、手续费</w:t>
      </w:r>
      <w:r>
        <w:rPr>
          <w:rFonts w:hint="eastAsia" w:ascii="方正仿宋_GBK" w:hAnsi="方正仿宋_GBK" w:eastAsia="方正仿宋_GBK" w:cs="方正仿宋_GBK"/>
          <w:b w:val="0"/>
          <w:bCs w:val="0"/>
          <w:color w:val="auto"/>
          <w:sz w:val="32"/>
          <w:szCs w:val="32"/>
          <w:lang w:eastAsia="zh-CN"/>
        </w:rPr>
        <w:t>等</w:t>
      </w:r>
      <w:r>
        <w:rPr>
          <w:rFonts w:hint="eastAsia" w:ascii="方正仿宋_GBK" w:hAnsi="方正仿宋_GBK" w:eastAsia="方正仿宋_GBK" w:cs="方正仿宋_GBK"/>
          <w:b w:val="0"/>
          <w:bCs w:val="0"/>
          <w:color w:val="auto"/>
          <w:sz w:val="32"/>
          <w:szCs w:val="32"/>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2024年度政府性基金预算财政拨款年初结转结余0.00万元，年末结转结余0.00万元。本年收入816.78万元，与2023年度相比，增加231.62万元，增长39.6%，主要原因是本年民政服务设施经费拨款增加，本年政府性基金预算</w:t>
      </w:r>
      <w:r>
        <w:rPr>
          <w:rFonts w:hint="eastAsia" w:ascii="方正仿宋_GBK" w:hAnsi="方正仿宋_GBK" w:eastAsia="方正仿宋_GBK" w:cs="方正仿宋_GBK"/>
          <w:sz w:val="32"/>
          <w:szCs w:val="32"/>
          <w:shd w:val="clear" w:color="auto" w:fill="FFFFFF"/>
          <w:lang w:eastAsia="zh-CN"/>
        </w:rPr>
        <w:t>收入较上年</w:t>
      </w:r>
      <w:r>
        <w:rPr>
          <w:rFonts w:hint="eastAsia" w:ascii="方正仿宋_GBK" w:hAnsi="方正仿宋_GBK" w:eastAsia="方正仿宋_GBK" w:cs="方正仿宋_GBK"/>
          <w:sz w:val="32"/>
          <w:szCs w:val="32"/>
          <w:shd w:val="clear" w:color="auto" w:fill="FFFFFF"/>
        </w:rPr>
        <w:t>增加。本年支出816.78万元，与2023年度相比，增加231.62万元，增长39.6%，主要原因是本年民政服务设施经费</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增加，本年政府性基金预算</w:t>
      </w:r>
      <w:r>
        <w:rPr>
          <w:rFonts w:hint="eastAsia" w:ascii="方正仿宋_GBK" w:hAnsi="方正仿宋_GBK" w:eastAsia="方正仿宋_GBK" w:cs="方正仿宋_GBK"/>
          <w:sz w:val="32"/>
          <w:szCs w:val="32"/>
          <w:shd w:val="clear" w:color="auto" w:fill="FFFFFF"/>
          <w:lang w:eastAsia="zh-CN"/>
        </w:rPr>
        <w:t>支出较上年</w:t>
      </w:r>
      <w:r>
        <w:rPr>
          <w:rFonts w:hint="eastAsia" w:ascii="方正仿宋_GBK" w:hAnsi="方正仿宋_GBK" w:eastAsia="方正仿宋_GBK" w:cs="方正仿宋_GBK"/>
          <w:sz w:val="32"/>
          <w:szCs w:val="32"/>
          <w:shd w:val="clear" w:color="auto" w:fill="FFFFFF"/>
        </w:rPr>
        <w:t>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sz w:val="32"/>
          <w:szCs w:val="32"/>
          <w:shd w:val="clear" w:color="auto" w:fill="FFFFFF"/>
        </w:rPr>
        <w:t>2024年度“三公”经费支出共计10.73万元，较年初预算数减少3.31万元，下降23.6%，</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一是认真贯彻落实中央八项规定精神，按照只减不增的要求从严控制“三公”经费，全年实际支出较预算和决算均有所下降。二是严格落实公车使用规定，公车运行维护成本</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下降。三是强化公务接待支出管理，严格遵守公务接待开支范围和开支标准，严格控制陪餐人数，对应由接待对象承担的费用一律由接待对象自行支付，公务接待费</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w:t>
      </w:r>
      <w:r>
        <w:rPr>
          <w:rFonts w:hint="eastAsia" w:ascii="方正仿宋_GBK" w:hAnsi="方正仿宋_GBK" w:eastAsia="方正仿宋_GBK" w:cs="方正仿宋_GBK"/>
          <w:sz w:val="32"/>
          <w:szCs w:val="32"/>
          <w:shd w:val="clear" w:color="auto" w:fill="FFFFFF"/>
        </w:rPr>
        <w:t>较上年支出数增加0.27万元，增长2.6%，</w:t>
      </w:r>
      <w:r>
        <w:rPr>
          <w:rFonts w:hint="eastAsia" w:ascii="方正仿宋_GBK" w:hAnsi="方正仿宋_GBK" w:eastAsia="方正仿宋_GBK" w:cs="方正仿宋_GBK"/>
          <w:b w:val="0"/>
          <w:bCs w:val="0"/>
          <w:color w:val="auto"/>
          <w:kern w:val="0"/>
          <w:sz w:val="32"/>
          <w:szCs w:val="32"/>
        </w:rPr>
        <w:t>主要原因是公务用车使用年限增加，车辆维修维护费用增加，公务用车运行维护费增加，三公经费较上年增加。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因公出国（境）费用0.00万元，费用支出较年初预算数无增减，较上年支出数无增减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车运行维护费6.39万元，</w:t>
      </w:r>
      <w:r>
        <w:rPr>
          <w:rFonts w:hint="eastAsia" w:ascii="方正仿宋_GBK" w:hAnsi="方正仿宋_GBK" w:eastAsia="方正仿宋_GBK" w:cs="方正仿宋_GBK"/>
          <w:b w:val="0"/>
          <w:bCs w:val="0"/>
          <w:color w:val="auto"/>
          <w:sz w:val="32"/>
          <w:szCs w:val="32"/>
          <w:shd w:val="clear" w:color="auto" w:fill="FFFFFF"/>
        </w:rPr>
        <w:t>主要用于</w:t>
      </w:r>
      <w:r>
        <w:rPr>
          <w:rFonts w:hint="eastAsia" w:ascii="方正仿宋_GBK" w:hAnsi="方正仿宋_GBK" w:eastAsia="方正仿宋_GBK" w:cs="方正仿宋_GBK"/>
          <w:b w:val="0"/>
          <w:bCs w:val="0"/>
          <w:color w:val="auto"/>
          <w:sz w:val="32"/>
          <w:szCs w:val="32"/>
        </w:rPr>
        <w:t>市内因公出行、</w:t>
      </w:r>
      <w:r>
        <w:rPr>
          <w:rFonts w:hint="eastAsia" w:ascii="方正仿宋_GBK" w:hAnsi="方正仿宋_GBK" w:eastAsia="方正仿宋_GBK" w:cs="方正仿宋_GBK"/>
          <w:b w:val="0"/>
          <w:bCs w:val="0"/>
          <w:color w:val="auto"/>
          <w:kern w:val="0"/>
          <w:sz w:val="32"/>
          <w:szCs w:val="32"/>
        </w:rPr>
        <w:t>救助低保工作检查、财政业务检查</w:t>
      </w:r>
      <w:r>
        <w:rPr>
          <w:rFonts w:hint="eastAsia" w:ascii="方正仿宋_GBK" w:hAnsi="方正仿宋_GBK" w:eastAsia="方正仿宋_GBK" w:cs="方正仿宋_GBK"/>
          <w:b w:val="0"/>
          <w:bCs w:val="0"/>
          <w:color w:val="auto"/>
          <w:sz w:val="32"/>
          <w:szCs w:val="32"/>
        </w:rPr>
        <w:t>等工作所需车辆的燃料费、维修费、过桥过路费、保险费等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费用支出较年初预算数减少0.61万元，下降8.7%，</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严格公务用车管理制度，厉行节约，严格管控支出</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较上年支出数增加0.66万元，增长11.5%，</w:t>
      </w:r>
      <w:r>
        <w:rPr>
          <w:rFonts w:hint="eastAsia" w:ascii="方正仿宋_GBK" w:hAnsi="方正仿宋_GBK" w:eastAsia="方正仿宋_GBK" w:cs="方正仿宋_GBK"/>
          <w:sz w:val="32"/>
          <w:szCs w:val="32"/>
        </w:rPr>
        <w:t>主要原因是公务用车使用年限增加，车辆维修维护费用增加，公务用车运行维护费较上年增加。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公务接待费4.34万元，</w:t>
      </w:r>
      <w:r>
        <w:rPr>
          <w:rFonts w:hint="eastAsia" w:ascii="方正仿宋_GBK" w:hAnsi="方正仿宋_GBK" w:eastAsia="方正仿宋_GBK" w:cs="方正仿宋_GBK"/>
          <w:b w:val="0"/>
          <w:bCs w:val="0"/>
          <w:color w:val="auto"/>
          <w:sz w:val="32"/>
          <w:szCs w:val="32"/>
          <w:shd w:val="clear" w:color="auto" w:fill="FFFFFF"/>
        </w:rPr>
        <w:t>主要用于</w:t>
      </w:r>
      <w:r>
        <w:rPr>
          <w:rFonts w:hint="eastAsia" w:ascii="方正仿宋_GBK" w:hAnsi="方正仿宋_GBK" w:eastAsia="方正仿宋_GBK" w:cs="方正仿宋_GBK"/>
          <w:b w:val="0"/>
          <w:bCs w:val="0"/>
          <w:color w:val="auto"/>
          <w:kern w:val="0"/>
          <w:sz w:val="32"/>
          <w:szCs w:val="32"/>
        </w:rPr>
        <w:t>接待市内各级领导来宾来访、调研我局各项业务工作，接受相关部门检查指导工作发生的接待等</w:t>
      </w:r>
      <w:r>
        <w:rPr>
          <w:rFonts w:hint="eastAsia" w:ascii="方正仿宋_GBK" w:hAnsi="方正仿宋_GBK" w:eastAsia="方正仿宋_GBK" w:cs="方正仿宋_GBK"/>
          <w:b w:val="0"/>
          <w:bCs w:val="0"/>
          <w:color w:val="auto"/>
          <w:kern w:val="0"/>
          <w:sz w:val="32"/>
          <w:szCs w:val="32"/>
          <w:lang w:eastAsia="zh-CN"/>
        </w:rPr>
        <w:t>费用</w:t>
      </w:r>
      <w:r>
        <w:rPr>
          <w:rFonts w:hint="eastAsia" w:ascii="方正仿宋_GBK" w:hAnsi="方正仿宋_GBK" w:eastAsia="方正仿宋_GBK" w:cs="方正仿宋_GBK"/>
          <w:b w:val="0"/>
          <w:bCs w:val="0"/>
          <w:color w:val="auto"/>
          <w:sz w:val="32"/>
          <w:szCs w:val="32"/>
        </w:rPr>
        <w:t>支出</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费用支出较年初预算数减少2.70万元，下降38.4%，</w:t>
      </w:r>
      <w:r>
        <w:rPr>
          <w:rFonts w:hint="eastAsia" w:ascii="方正仿宋_GBK" w:hAnsi="方正仿宋_GBK" w:eastAsia="方正仿宋_GBK" w:cs="方正仿宋_GBK"/>
          <w:b w:val="0"/>
          <w:bCs w:val="0"/>
          <w:color w:val="auto"/>
          <w:sz w:val="32"/>
          <w:szCs w:val="32"/>
          <w:shd w:val="clear" w:color="auto" w:fill="FFFFFF"/>
        </w:rPr>
        <w:t>主要原因是</w:t>
      </w:r>
      <w:r>
        <w:rPr>
          <w:rFonts w:hint="eastAsia" w:ascii="方正仿宋_GBK" w:hAnsi="方正仿宋_GBK" w:eastAsia="方正仿宋_GBK" w:cs="方正仿宋_GBK"/>
          <w:b w:val="0"/>
          <w:bCs w:val="0"/>
          <w:color w:val="auto"/>
          <w:kern w:val="0"/>
          <w:sz w:val="32"/>
          <w:szCs w:val="32"/>
        </w:rPr>
        <w:t>强化公务接待支出管理，严格遵守公务接待开支范围和开支标准，严格控制陪餐人数，对应由接待对象承担的费用一律由接待对象自行支付，公务接待费</w:t>
      </w:r>
      <w:r>
        <w:rPr>
          <w:rFonts w:hint="eastAsia" w:ascii="方正仿宋_GBK" w:hAnsi="方正仿宋_GBK" w:eastAsia="方正仿宋_GBK" w:cs="方正仿宋_GBK"/>
          <w:b w:val="0"/>
          <w:bCs w:val="0"/>
          <w:color w:val="auto"/>
          <w:kern w:val="0"/>
          <w:sz w:val="32"/>
          <w:szCs w:val="32"/>
          <w:lang w:eastAsia="zh-CN"/>
        </w:rPr>
        <w:t>有所</w:t>
      </w:r>
      <w:r>
        <w:rPr>
          <w:rFonts w:hint="eastAsia" w:ascii="方正仿宋_GBK" w:hAnsi="方正仿宋_GBK" w:eastAsia="方正仿宋_GBK" w:cs="方正仿宋_GBK"/>
          <w:b w:val="0"/>
          <w:bCs w:val="0"/>
          <w:color w:val="auto"/>
          <w:kern w:val="0"/>
          <w:sz w:val="32"/>
          <w:szCs w:val="32"/>
        </w:rPr>
        <w:t>下降</w:t>
      </w:r>
      <w:r>
        <w:rPr>
          <w:rFonts w:hint="eastAsia" w:ascii="方正仿宋_GBK" w:hAnsi="方正仿宋_GBK" w:eastAsia="方正仿宋_GBK" w:cs="方正仿宋_GBK"/>
          <w:b w:val="0"/>
          <w:bCs w:val="0"/>
          <w:color w:val="auto"/>
          <w:kern w:val="0"/>
          <w:sz w:val="32"/>
          <w:szCs w:val="32"/>
          <w:lang w:eastAsia="zh-CN"/>
        </w:rPr>
        <w:t>。</w:t>
      </w:r>
      <w:r>
        <w:rPr>
          <w:rFonts w:hint="eastAsia" w:ascii="方正仿宋_GBK" w:hAnsi="方正仿宋_GBK" w:eastAsia="方正仿宋_GBK" w:cs="方正仿宋_GBK"/>
          <w:sz w:val="32"/>
          <w:szCs w:val="32"/>
          <w:shd w:val="clear" w:color="auto" w:fill="FFFFFF"/>
        </w:rPr>
        <w:t>较上年支出数减少0.39万元，下降8.3%，</w:t>
      </w:r>
      <w:r>
        <w:rPr>
          <w:rFonts w:hint="eastAsia" w:ascii="方正仿宋_GBK" w:hAnsi="方正仿宋_GBK" w:eastAsia="方正仿宋_GBK" w:cs="方正仿宋_GBK"/>
          <w:sz w:val="32"/>
          <w:szCs w:val="32"/>
        </w:rPr>
        <w:t>主要原因是本年厉行节约，减少公务接待，公务接待费用较上年减少。</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因公出国（境）共计0个团组，0人；公务用车购置0辆，公务车保有量为2辆；国内公务接待50批次490人，其中：国内外事接待0批次，0人；国（境）外公务接待0批次，0人。2024年本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人均接待费88.54元，车均购置费0万元，车均维护费3.19万元。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本年度会议费支出2.99万元，与2023年度相比，减少0.01万元，下降0.3%，主要原因是</w:t>
      </w:r>
      <w:r>
        <w:rPr>
          <w:rFonts w:hint="eastAsia" w:ascii="方正仿宋_GBK" w:hAnsi="方正仿宋_GBK" w:eastAsia="方正仿宋_GBK" w:cs="方正仿宋_GBK"/>
          <w:sz w:val="32"/>
          <w:szCs w:val="32"/>
          <w:shd w:val="clear" w:color="auto" w:fill="FFFFFF"/>
          <w:lang w:eastAsia="zh-CN"/>
        </w:rPr>
        <w:t>厉行节约，精简会议，会议费减少。</w:t>
      </w:r>
      <w:r>
        <w:rPr>
          <w:rFonts w:hint="eastAsia" w:ascii="方正仿宋_GBK" w:hAnsi="方正仿宋_GBK" w:eastAsia="方正仿宋_GBK" w:cs="方正仿宋_GBK"/>
          <w:sz w:val="32"/>
          <w:szCs w:val="32"/>
          <w:shd w:val="clear" w:color="auto" w:fill="FFFFFF"/>
        </w:rPr>
        <w:t>本年度培训费支出2.84万元，与2023年度相比，减少17.90万元，下降86.3%，</w:t>
      </w:r>
      <w:r>
        <w:rPr>
          <w:rFonts w:hint="eastAsia" w:ascii="方正仿宋_GBK" w:hAnsi="方正仿宋_GBK" w:eastAsia="方正仿宋_GBK" w:cs="方正仿宋_GBK"/>
          <w:sz w:val="32"/>
          <w:szCs w:val="32"/>
        </w:rPr>
        <w:t>主要原因是本年因机构改革，村居干部培训职能划转社工部，培训费较上年减少。</w:t>
      </w:r>
      <w:r>
        <w:rPr>
          <w:rFonts w:hint="eastAsia" w:ascii="方正仿宋_GBK" w:hAnsi="方正仿宋_GBK" w:eastAsia="方正仿宋_GBK" w:cs="方正仿宋_GBK"/>
          <w:sz w:val="32"/>
          <w:szCs w:val="32"/>
          <w:shd w:val="clear" w:color="auto" w:fill="FFFFFF"/>
        </w:rPr>
        <w:t>本年度差旅费支出0.00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机关运行经费支出107.55万元，机关运行经费</w:t>
      </w:r>
      <w:r>
        <w:rPr>
          <w:rFonts w:hint="eastAsia" w:ascii="方正仿宋_GBK" w:hAnsi="方正仿宋_GBK" w:eastAsia="方正仿宋_GBK" w:cs="方正仿宋_GBK"/>
          <w:b w:val="0"/>
          <w:bCs w:val="0"/>
          <w:color w:val="auto"/>
          <w:sz w:val="32"/>
          <w:szCs w:val="32"/>
          <w:shd w:val="clear" w:color="auto" w:fill="FFFFFF"/>
        </w:rPr>
        <w:t>主要用于开支</w:t>
      </w:r>
      <w:r>
        <w:rPr>
          <w:rFonts w:hint="eastAsia" w:ascii="方正仿宋_GBK" w:hAnsi="方正仿宋_GBK" w:eastAsia="方正仿宋_GBK" w:cs="方正仿宋_GBK"/>
          <w:b w:val="0"/>
          <w:bCs w:val="0"/>
          <w:color w:val="auto"/>
          <w:sz w:val="32"/>
          <w:szCs w:val="32"/>
          <w:lang w:val="en-US" w:eastAsia="zh-CN"/>
        </w:rPr>
        <w:t>办公费、公务车运行维护费、公务接待费、会议费、培训费等</w:t>
      </w:r>
      <w:r>
        <w:rPr>
          <w:rFonts w:hint="eastAsia" w:ascii="方正仿宋_GBK" w:hAnsi="方正仿宋_GBK" w:eastAsia="方正仿宋_GBK" w:cs="方正仿宋_GBK"/>
          <w:b w:val="0"/>
          <w:bCs w:val="0"/>
          <w:color w:val="auto"/>
          <w:sz w:val="32"/>
          <w:szCs w:val="32"/>
          <w:shd w:val="clear" w:color="auto" w:fill="FFFFFF"/>
        </w:rPr>
        <w:t>。</w:t>
      </w:r>
      <w:r>
        <w:rPr>
          <w:rFonts w:hint="eastAsia" w:ascii="方正仿宋_GBK" w:hAnsi="方正仿宋_GBK" w:eastAsia="方正仿宋_GBK" w:cs="方正仿宋_GBK"/>
          <w:sz w:val="32"/>
          <w:szCs w:val="32"/>
          <w:shd w:val="clear" w:color="auto" w:fill="FFFFFF"/>
        </w:rPr>
        <w:t>机关运行经费较上年支出数增加26.52万元，增长32.7%，</w:t>
      </w:r>
      <w:r>
        <w:rPr>
          <w:rFonts w:hint="eastAsia" w:ascii="方正仿宋_GBK" w:hAnsi="方正仿宋_GBK" w:eastAsia="方正仿宋_GBK" w:cs="方正仿宋_GBK"/>
          <w:sz w:val="32"/>
          <w:szCs w:val="32"/>
        </w:rPr>
        <w:t>主要原因是本年加大低保、救助、养老、殡葬等工作力度，办公成本增加，公用经费增加，机关运行经费较上年增加。</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共有车辆2辆，其中，副部（省）级及以上领导用车0辆、主要负责人用车0辆、机要通信用车0辆、应急保障用车2辆、执法执勤用车0辆，特种专业技术用车0辆，离退休干部用车0辆。单价100万元（含）以上专用设备0台（套）。</w:t>
      </w:r>
    </w:p>
    <w:p>
      <w:pPr>
        <w:pStyle w:val="14"/>
        <w:keepNext w:val="0"/>
        <w:keepLines w:val="0"/>
        <w:pageBreakBefore w:val="0"/>
        <w:widowControl/>
        <w:kinsoku/>
        <w:wordWrap/>
        <w:overflowPunct/>
        <w:topLinePunct w:val="0"/>
        <w:autoSpaceDE w:val="0"/>
        <w:autoSpaceDN/>
        <w:bidi w:val="0"/>
        <w:adjustRightInd/>
        <w:snapToGrid/>
        <w:spacing w:line="600" w:lineRule="exact"/>
        <w:ind w:left="0" w:leftChars="0" w:right="0" w:righ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color w:val="auto"/>
          <w:sz w:val="32"/>
          <w:szCs w:val="32"/>
          <w:shd w:val="clear" w:color="auto" w:fill="FFFFFF"/>
        </w:rPr>
      </w:pPr>
      <w:r>
        <w:rPr>
          <w:rFonts w:hint="eastAsia"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政府采购支出总额1</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053.21万元，其中：政府采购货物支出3.21万元、政府采购工程支出0.00万元、政府采购服务支出1050.00万元。授予中小企业合同金额993.21</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color="auto" w:fill="FFFFFF"/>
        </w:rPr>
        <w:t>元，占政府采购支出总额的94.3%，其中：授予小微企业合同金额993.21万元，占政府采购支出总额的94.3 %。</w:t>
      </w:r>
      <w:r>
        <w:rPr>
          <w:rFonts w:hint="eastAsia" w:ascii="方正仿宋_GBK" w:hAnsi="方正仿宋_GBK" w:eastAsia="方正仿宋_GBK" w:cs="方正仿宋_GBK"/>
          <w:b w:val="0"/>
          <w:bCs w:val="0"/>
          <w:color w:val="auto"/>
          <w:sz w:val="32"/>
          <w:szCs w:val="32"/>
          <w:shd w:val="clear" w:color="auto" w:fill="FFFFFF"/>
        </w:rPr>
        <w:t>主要用于采购</w:t>
      </w:r>
      <w:r>
        <w:rPr>
          <w:rFonts w:hint="eastAsia" w:ascii="方正仿宋_GBK" w:hAnsi="方正仿宋_GBK" w:eastAsia="方正仿宋_GBK" w:cs="方正仿宋_GBK"/>
          <w:b w:val="0"/>
          <w:bCs w:val="0"/>
          <w:color w:val="auto"/>
          <w:sz w:val="32"/>
          <w:szCs w:val="32"/>
          <w:shd w:val="clear" w:color="auto" w:fill="FFFFFF"/>
          <w:lang w:eastAsia="zh-CN"/>
        </w:rPr>
        <w:t>社会救助购买服务</w:t>
      </w:r>
      <w:r>
        <w:rPr>
          <w:rFonts w:hint="eastAsia" w:ascii="方正仿宋_GBK" w:hAnsi="方正仿宋_GBK" w:eastAsia="方正仿宋_GBK" w:cs="方正仿宋_GBK"/>
          <w:b w:val="0"/>
          <w:bCs w:val="0"/>
          <w:color w:val="auto"/>
          <w:sz w:val="32"/>
          <w:szCs w:val="32"/>
          <w:shd w:val="clear" w:color="auto" w:fill="FFFFFF"/>
        </w:rPr>
        <w:t>。</w:t>
      </w:r>
    </w:p>
    <w:p>
      <w:pPr>
        <w:pStyle w:val="9"/>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right="0" w:rightChars="0" w:firstLine="640" w:firstLineChars="200"/>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五、</w:t>
      </w:r>
      <w:r>
        <w:rPr>
          <w:rStyle w:val="11"/>
          <w:rFonts w:hint="eastAsia" w:ascii="方正黑体_GBK" w:hAnsi="方正黑体_GBK" w:eastAsia="方正黑体_GBK" w:cs="方正黑体_GBK"/>
          <w:b w:val="0"/>
          <w:bCs/>
          <w:sz w:val="32"/>
          <w:szCs w:val="32"/>
          <w:shd w:val="clear" w:color="auto" w:fill="FFFFFF"/>
        </w:rPr>
        <w:t>预算绩效管理情况说明</w:t>
      </w:r>
    </w:p>
    <w:p>
      <w:pPr>
        <w:pStyle w:val="21"/>
        <w:keepNext w:val="0"/>
        <w:keepLines w:val="0"/>
        <w:pageBreakBefore w:val="0"/>
        <w:widowControl/>
        <w:tabs>
          <w:tab w:val="center" w:pos="4153"/>
          <w:tab w:val="left" w:pos="7275"/>
        </w:tabs>
        <w:kinsoku/>
        <w:wordWrap/>
        <w:overflowPunct/>
        <w:topLinePunct w:val="0"/>
        <w:autoSpaceDN/>
        <w:bidi w:val="0"/>
        <w:adjustRightInd/>
        <w:spacing w:line="600" w:lineRule="exact"/>
        <w:ind w:left="0" w:leftChars="0" w:right="0" w:rightChars="0" w:firstLine="640"/>
        <w:textAlignment w:val="auto"/>
        <w:rPr>
          <w:rFonts w:hint="eastAsia" w:ascii="方正楷体_GBK" w:hAnsi="宋体" w:eastAsia="方正楷体_GBK" w:cs="宋体"/>
          <w:kern w:val="0"/>
          <w:sz w:val="32"/>
          <w:szCs w:val="32"/>
        </w:rPr>
      </w:pPr>
      <w:r>
        <w:rPr>
          <w:rFonts w:hint="eastAsia" w:ascii="方正楷体_GBK" w:hAnsi="宋体" w:eastAsia="方正楷体_GBK" w:cs="宋体"/>
          <w:kern w:val="0"/>
          <w:sz w:val="32"/>
          <w:szCs w:val="32"/>
        </w:rPr>
        <w:t>（一）预算绩效管理工作开展情况</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根据预算绩效管理要求，我局对</w:t>
      </w:r>
      <w:r>
        <w:rPr>
          <w:rFonts w:hint="eastAsia" w:ascii="方正仿宋_GBK" w:hAnsi="方正仿宋_GBK" w:eastAsia="方正仿宋_GBK" w:cs="方正仿宋_GBK"/>
          <w:kern w:val="0"/>
          <w:sz w:val="32"/>
          <w:szCs w:val="32"/>
          <w:lang w:val="en-US" w:eastAsia="zh-CN"/>
        </w:rPr>
        <w:t>63</w:t>
      </w:r>
      <w:r>
        <w:rPr>
          <w:rFonts w:hint="eastAsia" w:ascii="方正仿宋_GBK" w:hAnsi="方正仿宋_GBK" w:eastAsia="方正仿宋_GBK" w:cs="方正仿宋_GBK"/>
          <w:kern w:val="0"/>
          <w:sz w:val="32"/>
          <w:szCs w:val="32"/>
        </w:rPr>
        <w:t>个项目开展了绩效自评，其中，以填报绩效自评表形式开展自评</w:t>
      </w:r>
      <w:r>
        <w:rPr>
          <w:rFonts w:hint="eastAsia" w:ascii="方正仿宋_GBK" w:hAnsi="方正仿宋_GBK" w:eastAsia="方正仿宋_GBK" w:cs="方正仿宋_GBK"/>
          <w:kern w:val="0"/>
          <w:sz w:val="32"/>
          <w:szCs w:val="32"/>
          <w:lang w:val="en-US" w:eastAsia="zh-CN"/>
        </w:rPr>
        <w:t>63</w:t>
      </w:r>
      <w:r>
        <w:rPr>
          <w:rFonts w:hint="eastAsia" w:ascii="方正仿宋_GBK" w:hAnsi="方正仿宋_GBK" w:eastAsia="方正仿宋_GBK" w:cs="方正仿宋_GBK"/>
          <w:kern w:val="0"/>
          <w:sz w:val="32"/>
          <w:szCs w:val="32"/>
        </w:rPr>
        <w:t>项，涉及资金</w:t>
      </w:r>
      <w:r>
        <w:rPr>
          <w:rFonts w:hint="eastAsia" w:ascii="方正仿宋_GBK" w:hAnsi="方正仿宋_GBK" w:eastAsia="方正仿宋_GBK" w:cs="方正仿宋_GBK"/>
          <w:kern w:val="0"/>
          <w:sz w:val="32"/>
          <w:szCs w:val="32"/>
          <w:lang w:val="en-US" w:eastAsia="zh-CN"/>
        </w:rPr>
        <w:t>2,9027.99</w:t>
      </w:r>
      <w:r>
        <w:rPr>
          <w:rFonts w:hint="eastAsia" w:ascii="方正仿宋_GBK" w:hAnsi="方正仿宋_GBK" w:eastAsia="方正仿宋_GBK" w:cs="方正仿宋_GBK"/>
          <w:kern w:val="0"/>
          <w:sz w:val="32"/>
          <w:szCs w:val="32"/>
        </w:rPr>
        <w:t>万元。</w:t>
      </w:r>
      <w:r>
        <w:rPr>
          <w:rFonts w:hint="eastAsia" w:ascii="方正仿宋_GBK" w:hAnsi="方正仿宋_GBK" w:eastAsia="方正仿宋_GBK" w:cs="方正仿宋_GBK"/>
          <w:b w:val="0"/>
          <w:bCs w:val="0"/>
          <w:color w:val="auto"/>
          <w:sz w:val="32"/>
          <w:szCs w:val="32"/>
          <w:shd w:val="clear" w:color="auto" w:fill="FFFFFF"/>
        </w:rPr>
        <w:t>从评价情况来看，</w:t>
      </w:r>
      <w:r>
        <w:rPr>
          <w:rFonts w:hint="eastAsia" w:ascii="方正仿宋_GBK" w:hAnsi="方正仿宋_GBK" w:eastAsia="方正仿宋_GBK" w:cs="方正仿宋_GBK"/>
          <w:b w:val="0"/>
          <w:bCs w:val="0"/>
          <w:color w:val="auto"/>
          <w:kern w:val="0"/>
          <w:sz w:val="32"/>
          <w:szCs w:val="32"/>
          <w:shd w:val="clear" w:color="auto" w:fill="FFFFFF"/>
        </w:rPr>
        <w:t>总体上预算执行情况良好</w:t>
      </w:r>
      <w:r>
        <w:rPr>
          <w:rFonts w:hint="eastAsia" w:ascii="方正仿宋_GBK" w:hAnsi="方正仿宋_GBK" w:eastAsia="方正仿宋_GBK" w:cs="方正仿宋_GBK"/>
          <w:b w:val="0"/>
          <w:bCs w:val="0"/>
          <w:color w:val="auto"/>
          <w:kern w:val="0"/>
          <w:sz w:val="32"/>
          <w:szCs w:val="32"/>
          <w:shd w:val="clear" w:color="auto" w:fill="FFFFFF"/>
          <w:lang w:eastAsia="zh-CN"/>
        </w:rPr>
        <w:t>，</w:t>
      </w:r>
      <w:r>
        <w:rPr>
          <w:rFonts w:hint="eastAsia" w:ascii="方正仿宋_GBK" w:hAnsi="方正仿宋_GBK" w:eastAsia="方正仿宋_GBK" w:cs="方正仿宋_GBK"/>
          <w:b w:val="0"/>
          <w:bCs w:val="0"/>
          <w:color w:val="auto"/>
          <w:kern w:val="0"/>
          <w:sz w:val="32"/>
          <w:szCs w:val="32"/>
          <w:shd w:val="clear" w:color="050000" w:fill="FFFFFF"/>
        </w:rPr>
        <w:t>群众满意度较高</w:t>
      </w:r>
      <w:r>
        <w:rPr>
          <w:rFonts w:hint="eastAsia" w:ascii="方正仿宋_GBK" w:hAnsi="方正仿宋_GBK" w:eastAsia="方正仿宋_GBK" w:cs="方正仿宋_GBK"/>
          <w:b w:val="0"/>
          <w:bCs w:val="0"/>
          <w:color w:val="auto"/>
          <w:kern w:val="0"/>
          <w:sz w:val="32"/>
          <w:szCs w:val="32"/>
          <w:shd w:val="clear" w:color="050000" w:fill="FFFFFF"/>
          <w:lang w:eastAsia="zh-CN"/>
        </w:rPr>
        <w:t>。</w:t>
      </w:r>
    </w:p>
    <w:p>
      <w:pPr>
        <w:pStyle w:val="21"/>
        <w:keepNext w:val="0"/>
        <w:keepLines w:val="0"/>
        <w:pageBreakBefore w:val="0"/>
        <w:widowControl/>
        <w:tabs>
          <w:tab w:val="center" w:pos="4153"/>
          <w:tab w:val="left" w:pos="7275"/>
        </w:tabs>
        <w:kinsoku/>
        <w:wordWrap/>
        <w:overflowPunct/>
        <w:topLinePunct w:val="0"/>
        <w:autoSpaceDN/>
        <w:bidi w:val="0"/>
        <w:adjustRightInd/>
        <w:spacing w:line="600" w:lineRule="exact"/>
        <w:ind w:left="0" w:leftChars="0" w:right="0" w:rightChars="0" w:firstLine="640"/>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（二）绩效自评结果</w:t>
      </w:r>
    </w:p>
    <w:p>
      <w:pPr>
        <w:pStyle w:val="21"/>
        <w:keepNext w:val="0"/>
        <w:keepLines w:val="0"/>
        <w:pageBreakBefore w:val="0"/>
        <w:widowControl/>
        <w:tabs>
          <w:tab w:val="center" w:pos="4153"/>
          <w:tab w:val="left" w:pos="7275"/>
        </w:tabs>
        <w:kinsoku/>
        <w:wordWrap/>
        <w:overflowPunct/>
        <w:topLinePunct w:val="0"/>
        <w:autoSpaceDN/>
        <w:bidi w:val="0"/>
        <w:adjustRightInd/>
        <w:spacing w:line="600" w:lineRule="exact"/>
        <w:ind w:left="0" w:leftChars="0" w:right="0" w:rightChars="0" w:firstLine="64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1.绩效目标自评表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sz w:val="32"/>
          <w:szCs w:val="32"/>
          <w:shd w:val="clear" w:color="auto" w:fill="FFFFFF"/>
          <w:lang w:eastAsia="zh-CN"/>
        </w:rPr>
        <w:t>详见公开表。</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lang w:eastAsia="zh-CN"/>
        </w:rPr>
      </w:pPr>
      <w:r>
        <w:rPr>
          <w:rStyle w:val="20"/>
          <w:rFonts w:hint="eastAsia" w:ascii="方正仿宋_GBK" w:hAnsi="方正仿宋_GBK" w:eastAsia="方正仿宋_GBK" w:cs="方正仿宋_GBK"/>
          <w:b w:val="0"/>
          <w:bCs w:val="0"/>
          <w:color w:val="auto"/>
          <w:sz w:val="32"/>
          <w:szCs w:val="32"/>
          <w:shd w:val="clear" w:color="auto" w:fill="FFFFFF"/>
        </w:rPr>
        <w:t>2.绩效自评报告或案例</w:t>
      </w:r>
      <w:r>
        <w:rPr>
          <w:rStyle w:val="20"/>
          <w:rFonts w:hint="eastAsia" w:ascii="方正仿宋_GBK" w:hAnsi="方正仿宋_GBK" w:eastAsia="方正仿宋_GBK" w:cs="方正仿宋_GBK"/>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color w:val="auto"/>
          <w:sz w:val="32"/>
          <w:szCs w:val="32"/>
          <w:shd w:val="clear" w:color="auto" w:fill="FFFFFF"/>
          <w:lang w:eastAsia="zh-CN"/>
        </w:rPr>
      </w:pPr>
      <w:r>
        <w:rPr>
          <w:rStyle w:val="20"/>
          <w:rFonts w:hint="eastAsia" w:ascii="方正仿宋_GBK" w:hAnsi="方正仿宋_GBK" w:eastAsia="方正仿宋_GBK" w:cs="方正仿宋_GBK"/>
          <w:b w:val="0"/>
          <w:bCs w:val="0"/>
          <w:color w:val="auto"/>
          <w:sz w:val="32"/>
          <w:szCs w:val="32"/>
          <w:shd w:val="clear" w:color="auto" w:fill="FFFFFF"/>
          <w:lang w:eastAsia="zh-CN"/>
        </w:rPr>
        <w:t>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仿宋_GBK" w:cs="方正仿宋_GBK"/>
          <w:b w:val="0"/>
          <w:bCs w:val="0"/>
          <w:color w:val="auto"/>
          <w:sz w:val="32"/>
          <w:szCs w:val="32"/>
          <w:lang w:eastAsia="zh-CN"/>
        </w:rPr>
      </w:pPr>
      <w:r>
        <w:rPr>
          <w:rStyle w:val="20"/>
          <w:rFonts w:hint="eastAsia" w:ascii="方正仿宋_GBK" w:hAnsi="方正仿宋_GBK" w:eastAsia="方正仿宋_GBK" w:cs="方正仿宋_GBK"/>
          <w:b w:val="0"/>
          <w:bCs w:val="0"/>
          <w:color w:val="auto"/>
          <w:sz w:val="32"/>
          <w:szCs w:val="32"/>
          <w:shd w:val="clear" w:color="auto" w:fill="FFFFFF"/>
        </w:rPr>
        <w:t>3.关于绩效自评结果的说明</w:t>
      </w:r>
      <w:r>
        <w:rPr>
          <w:rStyle w:val="20"/>
          <w:rFonts w:hint="eastAsia" w:ascii="方正仿宋_GBK" w:hAnsi="方正仿宋_GBK" w:eastAsia="方正仿宋_GBK" w:cs="方正仿宋_GBK"/>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b w:val="0"/>
          <w:bCs w:val="0"/>
          <w:color w:val="auto"/>
          <w:kern w:val="2"/>
          <w:sz w:val="32"/>
          <w:szCs w:val="32"/>
          <w:highlight w:val="none"/>
          <w:lang w:val="en-US" w:eastAsia="zh-CN"/>
        </w:rPr>
      </w:pPr>
      <w:r>
        <w:rPr>
          <w:rFonts w:hint="eastAsia" w:ascii="方正仿宋_GBK" w:hAnsi="方正仿宋_GBK" w:eastAsia="方正仿宋_GBK" w:cs="方正仿宋_GBK"/>
          <w:b w:val="0"/>
          <w:bCs w:val="0"/>
          <w:color w:val="auto"/>
          <w:kern w:val="2"/>
          <w:sz w:val="32"/>
          <w:szCs w:val="32"/>
          <w:highlight w:val="none"/>
          <w:lang w:val="en-US" w:eastAsia="zh-CN"/>
        </w:rPr>
        <w:t>从总体绩效评价情况来看，总体上预算执行情况良好，群众满意度较高。</w:t>
      </w:r>
    </w:p>
    <w:p>
      <w:pPr>
        <w:pStyle w:val="9"/>
        <w:keepNext w:val="0"/>
        <w:keepLines w:val="0"/>
        <w:pageBreakBefore w:val="0"/>
        <w:widowControl/>
        <w:kinsoku/>
        <w:wordWrap/>
        <w:overflowPunct/>
        <w:topLinePunct w:val="0"/>
        <w:autoSpaceDE/>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仿宋_GBK" w:hAnsi="方正仿宋_GBK" w:eastAsia="方正楷体_GBK" w:cs="方正仿宋_GBK"/>
          <w:b w:val="0"/>
          <w:bCs w:val="0"/>
          <w:color w:val="auto"/>
          <w:sz w:val="32"/>
          <w:szCs w:val="32"/>
          <w:lang w:eastAsia="zh-CN"/>
        </w:rPr>
      </w:pPr>
      <w:r>
        <w:rPr>
          <w:rStyle w:val="20"/>
          <w:rFonts w:hint="eastAsia" w:ascii="方正楷体_GBK" w:hAnsi="方正楷体_GBK" w:eastAsia="方正楷体_GBK" w:cs="方正楷体_GBK"/>
          <w:b w:val="0"/>
          <w:bCs w:val="0"/>
          <w:color w:val="auto"/>
          <w:sz w:val="32"/>
          <w:szCs w:val="32"/>
          <w:shd w:val="clear" w:color="auto" w:fill="FFFFFF"/>
        </w:rPr>
        <w:t>（三）重点绩效评价结果</w:t>
      </w:r>
      <w:r>
        <w:rPr>
          <w:rStyle w:val="20"/>
          <w:rFonts w:hint="eastAsia" w:ascii="方正楷体_GBK" w:hAnsi="方正楷体_GBK" w:eastAsia="方正楷体_GBK" w:cs="方正楷体_GBK"/>
          <w:b w:val="0"/>
          <w:bCs w:val="0"/>
          <w:color w:val="auto"/>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0"/>
          <w:rFonts w:hint="eastAsia" w:ascii="方正仿宋_GBK" w:hAnsi="方正仿宋_GBK" w:eastAsia="方正仿宋_GBK" w:cs="方正仿宋_GBK"/>
          <w:b w:val="0"/>
          <w:bCs w:val="0"/>
          <w:sz w:val="32"/>
          <w:szCs w:val="32"/>
          <w:shd w:val="clear" w:color="auto" w:fill="FFFFFF"/>
          <w:lang w:eastAsia="zh-CN"/>
        </w:rPr>
      </w:pPr>
      <w:r>
        <w:rPr>
          <w:rStyle w:val="20"/>
          <w:rFonts w:hint="eastAsia" w:ascii="方正仿宋_GBK" w:hAnsi="方正仿宋_GBK" w:eastAsia="方正仿宋_GBK" w:cs="方正仿宋_GBK"/>
          <w:b w:val="0"/>
          <w:bCs w:val="0"/>
          <w:color w:val="auto"/>
          <w:sz w:val="32"/>
          <w:szCs w:val="32"/>
          <w:shd w:val="clear" w:color="auto" w:fill="FFFFFF"/>
          <w:lang w:eastAsia="zh-CN"/>
        </w:rPr>
        <w:t>无。</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left="0" w:leftChars="0" w:right="0" w:rightChars="0"/>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3" w:firstLineChars="200"/>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023-48669908。</w:t>
      </w:r>
    </w:p>
    <w:p>
      <w:pPr>
        <w:pStyle w:val="15"/>
        <w:keepNext w:val="0"/>
        <w:keepLines w:val="0"/>
        <w:pageBreakBefore w:val="0"/>
        <w:widowControl/>
        <w:kinsoku/>
        <w:wordWrap/>
        <w:overflowPunct/>
        <w:topLinePunct w:val="0"/>
        <w:autoSpaceDN/>
        <w:bidi w:val="0"/>
        <w:adjustRightInd/>
        <w:snapToGrid/>
        <w:spacing w:before="0" w:beforeAutospacing="0" w:after="0" w:afterAutospacing="0" w:line="600" w:lineRule="exact"/>
        <w:ind w:left="0" w:leftChars="0" w:right="0" w:rightChars="0"/>
        <w:textAlignment w:val="auto"/>
        <w:rPr>
          <w:rFonts w:hint="eastAsia" w:ascii="方正仿宋_GBK" w:hAnsi="方正仿宋_GBK" w:eastAsia="方正仿宋_GBK" w:cs="方正仿宋_GBK"/>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lang w:val="en-US" w:eastAsia="zh-CN"/>
        </w:rPr>
      </w:pPr>
    </w:p>
    <w:p>
      <w:pPr>
        <w:spacing w:line="240" w:lineRule="exact"/>
        <w:rPr>
          <w:rFonts w:hint="default" w:cs="宋体"/>
          <w:sz w:val="20"/>
          <w:szCs w:val="20"/>
        </w:rPr>
      </w:pPr>
      <w:r>
        <w:rPr>
          <w:rFonts w:cs="宋体"/>
          <w:sz w:val="20"/>
          <w:szCs w:val="20"/>
        </w:rPr>
        <w:br w:type="textWrapping"/>
      </w:r>
      <w:r>
        <w:rPr>
          <w:rFonts w:cs="宋体"/>
          <w:sz w:val="20"/>
          <w:szCs w:val="20"/>
        </w:rPr>
        <w:br w:type="textWrapping"/>
      </w:r>
    </w:p>
    <w:p>
      <w:pPr>
        <w:ind w:left="600" w:hanging="600" w:hangingChars="300"/>
        <w:rPr>
          <w:rFonts w:hint="default" w:cs="宋体"/>
          <w:sz w:val="20"/>
          <w:szCs w:val="20"/>
        </w:rPr>
      </w:pPr>
      <w:r>
        <w:rPr>
          <w:rFonts w:cs="宋体"/>
          <w:sz w:val="20"/>
          <w:szCs w:val="20"/>
        </w:rPr>
        <w:br w:type="textWrapping"/>
      </w:r>
    </w:p>
    <w:p>
      <w:pPr>
        <w:rPr>
          <w:rFonts w:hint="default" w:cs="宋体"/>
          <w:sz w:val="20"/>
          <w:szCs w:val="20"/>
        </w:rPr>
      </w:pPr>
      <w:r>
        <w:rPr>
          <w:rFonts w:cs="宋体"/>
          <w:sz w:val="20"/>
          <w:szCs w:val="20"/>
        </w:rPr>
        <w:br w:type="textWrapping"/>
      </w:r>
    </w:p>
    <w:p>
      <w:pPr>
        <w:rPr>
          <w:rFonts w:hint="default"/>
          <w:sz w:val="18"/>
          <w:szCs w:val="18"/>
        </w:rPr>
      </w:pPr>
      <w:r>
        <w:rPr>
          <w:rFonts w:cs="宋体"/>
          <w:sz w:val="18"/>
          <w:szCs w:val="18"/>
        </w:rPr>
        <w:br w:type="textWrapping"/>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EDB2A8"/>
    <w:multiLevelType w:val="singleLevel"/>
    <w:tmpl w:val="68EDB2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2EB7"/>
    <w:rsid w:val="001D3BB7"/>
    <w:rsid w:val="002B254B"/>
    <w:rsid w:val="0034050A"/>
    <w:rsid w:val="0044504F"/>
    <w:rsid w:val="00466C9B"/>
    <w:rsid w:val="00486CFC"/>
    <w:rsid w:val="00491DDD"/>
    <w:rsid w:val="00550ABE"/>
    <w:rsid w:val="00623A85"/>
    <w:rsid w:val="00750763"/>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13BE3"/>
    <w:rsid w:val="00DD0539"/>
    <w:rsid w:val="00E07662"/>
    <w:rsid w:val="00E368E9"/>
    <w:rsid w:val="00EE1E33"/>
    <w:rsid w:val="00F73F90"/>
    <w:rsid w:val="00FB4B3B"/>
    <w:rsid w:val="01003231"/>
    <w:rsid w:val="01474EBF"/>
    <w:rsid w:val="014B4684"/>
    <w:rsid w:val="01F3521E"/>
    <w:rsid w:val="01FB6642"/>
    <w:rsid w:val="0218027E"/>
    <w:rsid w:val="03B87EA0"/>
    <w:rsid w:val="03E3214F"/>
    <w:rsid w:val="044C50BA"/>
    <w:rsid w:val="053B09E4"/>
    <w:rsid w:val="05BC6D49"/>
    <w:rsid w:val="06194FF1"/>
    <w:rsid w:val="06A2550B"/>
    <w:rsid w:val="06F80EE2"/>
    <w:rsid w:val="07001CCA"/>
    <w:rsid w:val="07501C58"/>
    <w:rsid w:val="075678DB"/>
    <w:rsid w:val="077B465F"/>
    <w:rsid w:val="079D7CC7"/>
    <w:rsid w:val="08051BCA"/>
    <w:rsid w:val="08601A90"/>
    <w:rsid w:val="086C12F4"/>
    <w:rsid w:val="08705944"/>
    <w:rsid w:val="08BA052C"/>
    <w:rsid w:val="08DB07BA"/>
    <w:rsid w:val="0969353F"/>
    <w:rsid w:val="098305D0"/>
    <w:rsid w:val="09B1218B"/>
    <w:rsid w:val="0A3317EA"/>
    <w:rsid w:val="0A405FC7"/>
    <w:rsid w:val="0A5C4B69"/>
    <w:rsid w:val="0A7248FD"/>
    <w:rsid w:val="0A86124A"/>
    <w:rsid w:val="0AB54CC0"/>
    <w:rsid w:val="0AEB30AF"/>
    <w:rsid w:val="0B501394"/>
    <w:rsid w:val="0B9335CE"/>
    <w:rsid w:val="0BF2311A"/>
    <w:rsid w:val="0BF65309"/>
    <w:rsid w:val="0C7927C4"/>
    <w:rsid w:val="0C9B098C"/>
    <w:rsid w:val="0D2D579B"/>
    <w:rsid w:val="0D673E11"/>
    <w:rsid w:val="0DDA54E4"/>
    <w:rsid w:val="0E3A5F83"/>
    <w:rsid w:val="0F5C2E7E"/>
    <w:rsid w:val="0F836721"/>
    <w:rsid w:val="0FA25D96"/>
    <w:rsid w:val="107B59E5"/>
    <w:rsid w:val="10EC0126"/>
    <w:rsid w:val="10F70B9A"/>
    <w:rsid w:val="111445C7"/>
    <w:rsid w:val="114278C6"/>
    <w:rsid w:val="1158083A"/>
    <w:rsid w:val="11643A4B"/>
    <w:rsid w:val="11ED0F98"/>
    <w:rsid w:val="11F03528"/>
    <w:rsid w:val="123E3ECA"/>
    <w:rsid w:val="12C921C4"/>
    <w:rsid w:val="13871C70"/>
    <w:rsid w:val="13A71CB4"/>
    <w:rsid w:val="13AF1D43"/>
    <w:rsid w:val="13CE1647"/>
    <w:rsid w:val="13FD55AB"/>
    <w:rsid w:val="14200702"/>
    <w:rsid w:val="14370EA1"/>
    <w:rsid w:val="163A6CEE"/>
    <w:rsid w:val="16431236"/>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2320E6"/>
    <w:rsid w:val="1DA52501"/>
    <w:rsid w:val="1DBD6767"/>
    <w:rsid w:val="1DC52125"/>
    <w:rsid w:val="1DD26311"/>
    <w:rsid w:val="1E374ACB"/>
    <w:rsid w:val="1ECF0A66"/>
    <w:rsid w:val="1EEA5E1F"/>
    <w:rsid w:val="1EF67CA4"/>
    <w:rsid w:val="1F020D3A"/>
    <w:rsid w:val="1F2C5189"/>
    <w:rsid w:val="1F4B0B02"/>
    <w:rsid w:val="1FBB35CD"/>
    <w:rsid w:val="1FCD26AF"/>
    <w:rsid w:val="20642787"/>
    <w:rsid w:val="21556F04"/>
    <w:rsid w:val="22403BD3"/>
    <w:rsid w:val="22AD3177"/>
    <w:rsid w:val="235417B6"/>
    <w:rsid w:val="23F90295"/>
    <w:rsid w:val="24B92327"/>
    <w:rsid w:val="24C14514"/>
    <w:rsid w:val="2533755C"/>
    <w:rsid w:val="253F41A9"/>
    <w:rsid w:val="25791755"/>
    <w:rsid w:val="26396DF4"/>
    <w:rsid w:val="27167136"/>
    <w:rsid w:val="271B442C"/>
    <w:rsid w:val="27972D25"/>
    <w:rsid w:val="27B23302"/>
    <w:rsid w:val="29310A5F"/>
    <w:rsid w:val="29C37A35"/>
    <w:rsid w:val="29F47479"/>
    <w:rsid w:val="2A076083"/>
    <w:rsid w:val="2A49271E"/>
    <w:rsid w:val="2A73162E"/>
    <w:rsid w:val="2B167953"/>
    <w:rsid w:val="2B200583"/>
    <w:rsid w:val="2B2729C0"/>
    <w:rsid w:val="2B8209DE"/>
    <w:rsid w:val="2B821C91"/>
    <w:rsid w:val="2BD32510"/>
    <w:rsid w:val="2BF81A22"/>
    <w:rsid w:val="2C512B61"/>
    <w:rsid w:val="2C636760"/>
    <w:rsid w:val="2C6762A3"/>
    <w:rsid w:val="2EF81C22"/>
    <w:rsid w:val="2FCA4B37"/>
    <w:rsid w:val="2FE029D7"/>
    <w:rsid w:val="2FF06E00"/>
    <w:rsid w:val="30586FEC"/>
    <w:rsid w:val="315F0B22"/>
    <w:rsid w:val="31A15828"/>
    <w:rsid w:val="31D84415"/>
    <w:rsid w:val="32285F6F"/>
    <w:rsid w:val="32770556"/>
    <w:rsid w:val="329C0913"/>
    <w:rsid w:val="32AA0460"/>
    <w:rsid w:val="32D67208"/>
    <w:rsid w:val="3337290D"/>
    <w:rsid w:val="33E31118"/>
    <w:rsid w:val="33EF7674"/>
    <w:rsid w:val="34073F3C"/>
    <w:rsid w:val="342D7BC6"/>
    <w:rsid w:val="352930DB"/>
    <w:rsid w:val="35573069"/>
    <w:rsid w:val="355F6038"/>
    <w:rsid w:val="358C217E"/>
    <w:rsid w:val="36132F26"/>
    <w:rsid w:val="36C9128A"/>
    <w:rsid w:val="37841E99"/>
    <w:rsid w:val="37BF1123"/>
    <w:rsid w:val="383C3F15"/>
    <w:rsid w:val="38BE4696"/>
    <w:rsid w:val="3939115E"/>
    <w:rsid w:val="39B82A39"/>
    <w:rsid w:val="39C42CA8"/>
    <w:rsid w:val="39DC4FD6"/>
    <w:rsid w:val="39F003EA"/>
    <w:rsid w:val="39F03D7A"/>
    <w:rsid w:val="39F33306"/>
    <w:rsid w:val="3A2C1C67"/>
    <w:rsid w:val="3A6A77C9"/>
    <w:rsid w:val="3ABA6C8E"/>
    <w:rsid w:val="3ADD7F09"/>
    <w:rsid w:val="3B1705E5"/>
    <w:rsid w:val="3B18334B"/>
    <w:rsid w:val="3B36794F"/>
    <w:rsid w:val="3B6F6EE0"/>
    <w:rsid w:val="3C566AD6"/>
    <w:rsid w:val="3C594871"/>
    <w:rsid w:val="3C6A5B02"/>
    <w:rsid w:val="3C817626"/>
    <w:rsid w:val="3CA62132"/>
    <w:rsid w:val="3D083B3A"/>
    <w:rsid w:val="3D2757A1"/>
    <w:rsid w:val="3D3D4FC4"/>
    <w:rsid w:val="3D981FE5"/>
    <w:rsid w:val="3DA83372"/>
    <w:rsid w:val="3DDF3AB1"/>
    <w:rsid w:val="3E1D0952"/>
    <w:rsid w:val="3E42660A"/>
    <w:rsid w:val="3E7555B1"/>
    <w:rsid w:val="3E787ED9"/>
    <w:rsid w:val="3F032E93"/>
    <w:rsid w:val="3F0527E5"/>
    <w:rsid w:val="3F4C52C6"/>
    <w:rsid w:val="3F54098D"/>
    <w:rsid w:val="3F694D83"/>
    <w:rsid w:val="3F885DCC"/>
    <w:rsid w:val="3FCD675E"/>
    <w:rsid w:val="3FDB7845"/>
    <w:rsid w:val="4004000C"/>
    <w:rsid w:val="40760DD1"/>
    <w:rsid w:val="40BD5482"/>
    <w:rsid w:val="411B6CE5"/>
    <w:rsid w:val="412070D7"/>
    <w:rsid w:val="41314E40"/>
    <w:rsid w:val="41E0734B"/>
    <w:rsid w:val="426C1EA8"/>
    <w:rsid w:val="42736402"/>
    <w:rsid w:val="42E86A87"/>
    <w:rsid w:val="43050755"/>
    <w:rsid w:val="43307B09"/>
    <w:rsid w:val="434342F9"/>
    <w:rsid w:val="43724589"/>
    <w:rsid w:val="439147C0"/>
    <w:rsid w:val="439A3EB9"/>
    <w:rsid w:val="43BB152F"/>
    <w:rsid w:val="44C37687"/>
    <w:rsid w:val="45324B65"/>
    <w:rsid w:val="45CB699A"/>
    <w:rsid w:val="45CC49DA"/>
    <w:rsid w:val="46423C66"/>
    <w:rsid w:val="465B470D"/>
    <w:rsid w:val="469D6AD4"/>
    <w:rsid w:val="471E6C84"/>
    <w:rsid w:val="4748792B"/>
    <w:rsid w:val="475D719D"/>
    <w:rsid w:val="47674801"/>
    <w:rsid w:val="48225EF7"/>
    <w:rsid w:val="488F422B"/>
    <w:rsid w:val="48E36915"/>
    <w:rsid w:val="48EB6572"/>
    <w:rsid w:val="495B4296"/>
    <w:rsid w:val="495C4A24"/>
    <w:rsid w:val="497135DF"/>
    <w:rsid w:val="4A263DF2"/>
    <w:rsid w:val="4A2F278B"/>
    <w:rsid w:val="4A6F6675"/>
    <w:rsid w:val="4B135857"/>
    <w:rsid w:val="4B3C23BC"/>
    <w:rsid w:val="4B7951CB"/>
    <w:rsid w:val="4B7C315C"/>
    <w:rsid w:val="4B896AFD"/>
    <w:rsid w:val="4D1F53CA"/>
    <w:rsid w:val="4DAC4ACA"/>
    <w:rsid w:val="4DBE01D2"/>
    <w:rsid w:val="4DCF3A4C"/>
    <w:rsid w:val="4EFD467F"/>
    <w:rsid w:val="4F0C6BA3"/>
    <w:rsid w:val="4F186D58"/>
    <w:rsid w:val="4FFE7F08"/>
    <w:rsid w:val="50315A6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4F0397"/>
    <w:rsid w:val="54861779"/>
    <w:rsid w:val="55084A4C"/>
    <w:rsid w:val="552256E1"/>
    <w:rsid w:val="554E5773"/>
    <w:rsid w:val="555829E0"/>
    <w:rsid w:val="555A3CBC"/>
    <w:rsid w:val="5582012B"/>
    <w:rsid w:val="558E4E05"/>
    <w:rsid w:val="55BE2E85"/>
    <w:rsid w:val="56530F5D"/>
    <w:rsid w:val="567700D3"/>
    <w:rsid w:val="56FF7E9E"/>
    <w:rsid w:val="578867FC"/>
    <w:rsid w:val="5842572D"/>
    <w:rsid w:val="58D972AD"/>
    <w:rsid w:val="5A3B59D6"/>
    <w:rsid w:val="5AD134D8"/>
    <w:rsid w:val="5BF41F67"/>
    <w:rsid w:val="5C263CE4"/>
    <w:rsid w:val="5C5D2777"/>
    <w:rsid w:val="5CD75451"/>
    <w:rsid w:val="5CF66BF3"/>
    <w:rsid w:val="5D290C69"/>
    <w:rsid w:val="5DA80C2C"/>
    <w:rsid w:val="5DAB3885"/>
    <w:rsid w:val="5F2D4A41"/>
    <w:rsid w:val="5FC80EA6"/>
    <w:rsid w:val="5FCD5CF8"/>
    <w:rsid w:val="60933894"/>
    <w:rsid w:val="60C74F6C"/>
    <w:rsid w:val="61015958"/>
    <w:rsid w:val="61025A59"/>
    <w:rsid w:val="613D5BBC"/>
    <w:rsid w:val="61536C39"/>
    <w:rsid w:val="61C004B7"/>
    <w:rsid w:val="62944DD7"/>
    <w:rsid w:val="6319381F"/>
    <w:rsid w:val="63C25DC5"/>
    <w:rsid w:val="63C62057"/>
    <w:rsid w:val="64571EF5"/>
    <w:rsid w:val="64FB113D"/>
    <w:rsid w:val="656152C6"/>
    <w:rsid w:val="6587477F"/>
    <w:rsid w:val="658C3A08"/>
    <w:rsid w:val="65C031CA"/>
    <w:rsid w:val="65CE6852"/>
    <w:rsid w:val="65F23D72"/>
    <w:rsid w:val="66267C04"/>
    <w:rsid w:val="663F505A"/>
    <w:rsid w:val="666C2D2F"/>
    <w:rsid w:val="66AF5D7C"/>
    <w:rsid w:val="66EE5541"/>
    <w:rsid w:val="67924660"/>
    <w:rsid w:val="67BC2721"/>
    <w:rsid w:val="683035B9"/>
    <w:rsid w:val="68407834"/>
    <w:rsid w:val="6848670A"/>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375743"/>
    <w:rsid w:val="6F471C49"/>
    <w:rsid w:val="6F5A53AC"/>
    <w:rsid w:val="6FAC003D"/>
    <w:rsid w:val="6FC36B87"/>
    <w:rsid w:val="6FD926BF"/>
    <w:rsid w:val="6FE55E12"/>
    <w:rsid w:val="6FFB2E76"/>
    <w:rsid w:val="708F6F7F"/>
    <w:rsid w:val="70D94BD3"/>
    <w:rsid w:val="71043998"/>
    <w:rsid w:val="715048C1"/>
    <w:rsid w:val="71574775"/>
    <w:rsid w:val="71C34D91"/>
    <w:rsid w:val="72DB435C"/>
    <w:rsid w:val="72E2613A"/>
    <w:rsid w:val="72F771F4"/>
    <w:rsid w:val="73560243"/>
    <w:rsid w:val="73934AD2"/>
    <w:rsid w:val="74D327BF"/>
    <w:rsid w:val="750837F0"/>
    <w:rsid w:val="754758CF"/>
    <w:rsid w:val="75595ECD"/>
    <w:rsid w:val="764F62AB"/>
    <w:rsid w:val="765C45EC"/>
    <w:rsid w:val="768A7619"/>
    <w:rsid w:val="76BD23AB"/>
    <w:rsid w:val="772E1EBA"/>
    <w:rsid w:val="781926BC"/>
    <w:rsid w:val="796D60A4"/>
    <w:rsid w:val="79A031D5"/>
    <w:rsid w:val="79B47FDF"/>
    <w:rsid w:val="79E569A9"/>
    <w:rsid w:val="7A1525F7"/>
    <w:rsid w:val="7A6F6AE2"/>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 w:type="paragraph" w:customStyle="1" w:styleId="21">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2025-10-22T02:45:14Z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