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重庆市綦江区科学技术局（本级）</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jc w:val="both"/>
        <w:textAlignment w:val="auto"/>
        <w:rPr>
          <w:rStyle w:val="10"/>
          <w:rFonts w:hint="default" w:ascii="Times New Roman" w:hAnsi="Times New Roman" w:eastAsia="方正黑体_GBK" w:cs="Times New Roman"/>
          <w:sz w:val="32"/>
          <w:szCs w:val="32"/>
          <w:shd w:val="clear" w:color="auto" w:fill="FFFFFF"/>
        </w:rPr>
      </w:pP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黑体_GBK" w:cs="Times New Roman"/>
          <w:sz w:val="32"/>
          <w:szCs w:val="32"/>
        </w:rPr>
      </w:pPr>
      <w:r>
        <w:rPr>
          <w:rStyle w:val="10"/>
          <w:rFonts w:hint="default" w:ascii="Times New Roman" w:hAnsi="Times New Roman" w:eastAsia="方正黑体_GBK" w:cs="Times New Roman"/>
          <w:sz w:val="32"/>
          <w:szCs w:val="32"/>
          <w:shd w:val="clear" w:color="auto" w:fill="FFFFFF"/>
        </w:rPr>
        <w:t>一、单位基本情况</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重庆市綦江区科学技术局贯彻落实市委和区委关于科技创新工作的方针政策和决策部署，在履行职责过程中坚持和加强党对科技创新工作的集中统一领导。主要职责是：</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rPr>
        <w:t>拟订全区创新驱动发展战略方针以及科技发展、引进国外智力规划和政策并组织实施。</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统筹推进全区创新体系建设和科技体制改革，会同有关部门健全技术创新激励机制。优化科研体系建设，指导科研机构建设改革发展，推动企业科技创新能力建设，承担推进科技军民融合发展相关工作，推进全区重大科技决策咨询相关制度建设。</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牵头推进全区科技管理平台建设和科研项目资金协调、评估、监管机制。会同有关部门提出优化配置科技资源的政策措施建议，推动多元化科技投入体系建设和科技金融结合。协调管理区级财政科技计划（专项、基金等）并监督实施。</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拟订科技创新基地建设规划并组织实施，参与编制科技基础设施建设规划和组织实施。牵头组织全区科研机构（研发平台）建设，推动科研条件保障建设、科技资源开放共享。</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负责编制区级科技项目规划并监督实施，统筹协调关键共性技术、现代工程技术研发和创新，牵头组织实施重大技术攻关和成果应用示范。</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组织拟订高新技术发展及产业化、科技促进农业农村和社会发展规划、政策和措施并组织实施。组织开展重点领域技术发展需求分析，提出重大任务并监督实施。</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7</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牵头全区技术转移体系建设，拟订科技成果转移转化和促进产学研结合的相关政策措施并监督实施。指导科技服务业、技术市场和科技中介组织发展。</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8</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统筹区域科技创新体系建设，指导区域创新发展、科技资源合理布局和协同创新能力建设，推动科技园区建设。</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9</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负责科技监督评价体系建设和相关科技评估管理，负责科技评价机制改革，统筹科研诚信建设。组织实施创新调查和科技报告制度，承担全区科技保密工作。</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10</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拟订科技对外交流与创新能力开放合作的规划、政策和措施，组织开展区内外科技合作与科技人才交流。指导相关部门和街镇对外科技合作与科技人才交流工作。</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负责引进国外智力工作。拟订引进国外专家总体规划、计划并组织实施，建立国外科学家、团队吸引集聚机制和重点外国专家联系服务机制。</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会同有关部门拟订科技人才队伍建设规划和政策，建立健全科技人才评价和激励机制，组织实施科技人才计划，推动高端科技创新人才队伍建设。拟订科学普及和科学传播规划、政策并组织实施。</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负责科学技术奖推荐工作。承担引进科技创新资源、科技型企业培育、科技宣传等工作。</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负责机关、直属单位和行业社会组织党建工作。</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15</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完成区委、区政府交办的其他任务。</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16</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职能转变。围绕贯彻实施科教兴区、人才强区、创新驱动发展战略，加强、优化、转变政府科技管理和服务职能，完善科技创新制度和组织体系，加强宏观管理和统筹协调，减少微观管理和具体审批事项，加强事中事后监管和科技诚信建设。从研发管理向创新服务转变，深入推进科技计划管理改革，按照国家要求推进政府部门不直接管理具体科研项目，委托专业机构开展项目受理、评审、立项、过程管理、验收等具体工作。进一步改进科技人才评价机制，建立健全以创新能力、质量、贡献、绩效为导向的科技人才评价体系和激励政策，统筹我区科技人才队伍建设和引进国外智力工作。</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Style w:val="10"/>
          <w:rFonts w:hint="eastAsia" w:ascii="Times New Roman" w:hAnsi="Times New Roman" w:eastAsia="方正楷体_GBK" w:cs="Times New Roman"/>
          <w:sz w:val="32"/>
          <w:szCs w:val="32"/>
          <w:shd w:val="clear" w:color="auto" w:fill="FFFFFF"/>
          <w:lang w:eastAsia="zh-CN"/>
        </w:rPr>
      </w:pPr>
      <w:r>
        <w:rPr>
          <w:rStyle w:val="10"/>
          <w:rFonts w:hint="default" w:ascii="Times New Roman" w:hAnsi="Times New Roman" w:eastAsia="方正楷体_GBK" w:cs="Times New Roman"/>
          <w:sz w:val="32"/>
          <w:szCs w:val="32"/>
          <w:shd w:val="clear" w:color="auto" w:fill="FFFFFF"/>
        </w:rPr>
        <w:t>（二）</w:t>
      </w:r>
      <w:r>
        <w:rPr>
          <w:rStyle w:val="10"/>
          <w:rFonts w:hint="eastAsia" w:ascii="Times New Roman" w:hAnsi="Times New Roman" w:eastAsia="方正楷体_GBK" w:cs="Times New Roman"/>
          <w:sz w:val="32"/>
          <w:szCs w:val="32"/>
          <w:shd w:val="clear" w:color="auto" w:fill="FFFFFF"/>
          <w:lang w:eastAsia="zh-CN"/>
        </w:rPr>
        <w:t>机构设置</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按照《</w:t>
      </w:r>
      <w:r>
        <w:rPr>
          <w:rFonts w:hint="eastAsia" w:ascii="Times New Roman" w:hAnsi="Times New Roman" w:eastAsia="方正仿宋_GBK" w:cs="Times New Roman"/>
          <w:color w:val="000000"/>
          <w:kern w:val="0"/>
          <w:sz w:val="32"/>
          <w:szCs w:val="32"/>
          <w:lang w:val="en-US" w:eastAsia="zh-CN" w:bidi="ar-SA"/>
        </w:rPr>
        <w:t>关于调整区科技局职责机构编制的通知</w:t>
      </w:r>
      <w:r>
        <w:rPr>
          <w:rFonts w:hint="default" w:ascii="Times New Roman" w:hAnsi="Times New Roman" w:eastAsia="方正仿宋_GBK" w:cs="Times New Roman"/>
          <w:color w:val="000000"/>
          <w:kern w:val="0"/>
          <w:sz w:val="32"/>
          <w:szCs w:val="32"/>
          <w:lang w:val="en-US" w:eastAsia="zh-CN" w:bidi="ar-SA"/>
        </w:rPr>
        <w:t>》（綦委</w:t>
      </w:r>
      <w:r>
        <w:rPr>
          <w:rFonts w:hint="eastAsia" w:ascii="Times New Roman" w:hAnsi="Times New Roman" w:eastAsia="方正仿宋_GBK" w:cs="Times New Roman"/>
          <w:color w:val="000000"/>
          <w:kern w:val="0"/>
          <w:sz w:val="32"/>
          <w:szCs w:val="32"/>
          <w:lang w:val="en-US" w:eastAsia="zh-CN" w:bidi="ar-SA"/>
        </w:rPr>
        <w:t>编</w:t>
      </w:r>
      <w:r>
        <w:rPr>
          <w:rFonts w:hint="default" w:ascii="Times New Roman" w:hAnsi="Times New Roman" w:eastAsia="方正仿宋_GBK" w:cs="Times New Roman"/>
          <w:color w:val="000000"/>
          <w:kern w:val="0"/>
          <w:sz w:val="32"/>
          <w:szCs w:val="32"/>
          <w:lang w:val="en-US" w:eastAsia="zh-CN" w:bidi="ar-SA"/>
        </w:rPr>
        <w:t>﹝20</w:t>
      </w:r>
      <w:r>
        <w:rPr>
          <w:rFonts w:hint="eastAsia" w:ascii="Times New Roman" w:hAnsi="Times New Roman" w:eastAsia="方正仿宋_GBK" w:cs="Times New Roman"/>
          <w:color w:val="000000"/>
          <w:kern w:val="0"/>
          <w:sz w:val="32"/>
          <w:szCs w:val="32"/>
          <w:lang w:val="en-US" w:eastAsia="zh-CN" w:bidi="ar-SA"/>
        </w:rPr>
        <w:t>24﹞34号）文件重庆市綦江区科学技术局内设科室3个：综合科、规划发展科、创新服务科。</w:t>
      </w:r>
    </w:p>
    <w:p>
      <w:pPr>
        <w:pStyle w:val="6"/>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Style w:val="10"/>
          <w:rFonts w:hint="eastAsia" w:ascii="Times New Roman" w:hAnsi="Times New Roman" w:eastAsia="方正楷体_GBK" w:cs="Times New Roman"/>
          <w:sz w:val="32"/>
          <w:szCs w:val="32"/>
          <w:shd w:val="clear" w:color="auto" w:fill="FFFFFF"/>
          <w:lang w:eastAsia="zh-CN"/>
        </w:rPr>
      </w:pPr>
      <w:r>
        <w:rPr>
          <w:rStyle w:val="10"/>
          <w:rFonts w:hint="eastAsia" w:ascii="Times New Roman" w:hAnsi="Times New Roman" w:eastAsia="方正楷体_GBK" w:cs="Times New Roman"/>
          <w:sz w:val="32"/>
          <w:szCs w:val="32"/>
          <w:shd w:val="clear" w:color="auto" w:fill="FFFFFF"/>
          <w:lang w:eastAsia="zh-CN"/>
        </w:rPr>
        <w:t>单位构成</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本单位无下级预</w:t>
      </w:r>
      <w:bookmarkStart w:id="0" w:name="_GoBack"/>
      <w:bookmarkEnd w:id="0"/>
      <w:r>
        <w:rPr>
          <w:rFonts w:hint="eastAsia" w:ascii="Times New Roman" w:hAnsi="Times New Roman" w:eastAsia="方正仿宋_GBK" w:cs="Times New Roman"/>
          <w:color w:val="000000"/>
          <w:kern w:val="0"/>
          <w:sz w:val="32"/>
          <w:szCs w:val="32"/>
          <w:lang w:val="en-US" w:eastAsia="zh-CN" w:bidi="ar-SA"/>
        </w:rPr>
        <w:t>算单位。</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二、单位决算情况说明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2023年度收入总计1556.09万元，支出总计</w:t>
      </w:r>
      <w:r>
        <w:rPr>
          <w:rFonts w:hint="default" w:ascii="Times New Roman" w:hAnsi="Times New Roman" w:eastAsia="方正仿宋_GBK" w:cs="Times New Roman"/>
          <w:sz w:val="32"/>
          <w:szCs w:val="32"/>
        </w:rPr>
        <w:t>1556.09</w:t>
      </w:r>
      <w:r>
        <w:rPr>
          <w:rFonts w:hint="default" w:ascii="Times New Roman" w:hAnsi="Times New Roman" w:eastAsia="方正仿宋_GBK" w:cs="Times New Roman"/>
          <w:sz w:val="32"/>
          <w:szCs w:val="32"/>
          <w:shd w:val="clear" w:color="auto" w:fill="FFFFFF"/>
        </w:rPr>
        <w:t>万元。收支较上年决算数增加1031.09万元，增长196.40%，主要原因是</w:t>
      </w:r>
      <w:r>
        <w:rPr>
          <w:rFonts w:hint="default" w:ascii="Times New Roman" w:hAnsi="Times New Roman" w:eastAsia="方正仿宋_GBK" w:cs="Times New Roman"/>
          <w:sz w:val="32"/>
          <w:szCs w:val="32"/>
          <w:shd w:val="clear" w:color="auto" w:fill="FFFFFF"/>
          <w:lang w:eastAsia="zh-CN"/>
        </w:rPr>
        <w:t>厉行节约压减基本支出减少</w:t>
      </w:r>
      <w:r>
        <w:rPr>
          <w:rFonts w:hint="default" w:ascii="Times New Roman" w:hAnsi="Times New Roman" w:eastAsia="方正仿宋_GBK" w:cs="Times New Roman"/>
          <w:sz w:val="32"/>
          <w:szCs w:val="32"/>
          <w:shd w:val="clear" w:color="auto" w:fill="FFFFFF"/>
          <w:lang w:val="en-US" w:eastAsia="zh-CN"/>
        </w:rPr>
        <w:t>0.97万元，</w:t>
      </w:r>
      <w:r>
        <w:rPr>
          <w:rFonts w:hint="default" w:ascii="Times New Roman" w:hAnsi="Times New Roman" w:eastAsia="方正仿宋_GBK" w:cs="Times New Roman"/>
          <w:sz w:val="32"/>
          <w:szCs w:val="32"/>
          <w:shd w:val="clear" w:color="auto" w:fill="FFFFFF"/>
          <w:lang w:eastAsia="zh-CN"/>
        </w:rPr>
        <w:t>增加科技创新扶持专项及科技发展专项支出</w:t>
      </w:r>
      <w:r>
        <w:rPr>
          <w:rFonts w:hint="default" w:ascii="Times New Roman" w:hAnsi="Times New Roman" w:eastAsia="方正仿宋_GBK" w:cs="Times New Roman"/>
          <w:sz w:val="32"/>
          <w:szCs w:val="32"/>
          <w:shd w:val="clear" w:color="auto" w:fill="FFFFFF"/>
          <w:lang w:val="en-US" w:eastAsia="zh-CN"/>
        </w:rPr>
        <w:t>1032.06万元。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2023年度收入合计1356.09万元，较上年决算数增加831.09万元，增长158.30%，主要原因是</w:t>
      </w:r>
      <w:r>
        <w:rPr>
          <w:rFonts w:hint="default" w:ascii="Times New Roman" w:hAnsi="Times New Roman" w:eastAsia="方正仿宋_GBK" w:cs="Times New Roman"/>
          <w:sz w:val="32"/>
          <w:szCs w:val="32"/>
          <w:shd w:val="clear" w:color="auto" w:fill="FFFFFF"/>
          <w:lang w:eastAsia="zh-CN"/>
        </w:rPr>
        <w:t>增加科技创新扶持专项及科技发展专项</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1356.09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此外，年初结转和结余</w:t>
      </w:r>
      <w:r>
        <w:rPr>
          <w:rFonts w:hint="default" w:ascii="Times New Roman" w:hAnsi="Times New Roman" w:eastAsia="方正仿宋_GBK" w:cs="Times New Roman"/>
          <w:sz w:val="32"/>
          <w:szCs w:val="32"/>
        </w:rPr>
        <w:t>200.00</w:t>
      </w:r>
      <w:r>
        <w:rPr>
          <w:rFonts w:hint="default" w:ascii="Times New Roman" w:hAnsi="Times New Roman" w:eastAsia="方正仿宋_GBK" w:cs="Times New Roman"/>
          <w:sz w:val="32"/>
          <w:szCs w:val="32"/>
          <w:shd w:val="clear" w:color="auto" w:fill="FFFFFF"/>
        </w:rPr>
        <w:t>万元。</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1556.09</w:t>
      </w:r>
      <w:r>
        <w:rPr>
          <w:rFonts w:hint="default" w:ascii="Times New Roman" w:hAnsi="Times New Roman" w:eastAsia="方正仿宋_GBK" w:cs="Times New Roman"/>
          <w:sz w:val="32"/>
          <w:szCs w:val="32"/>
          <w:shd w:val="clear" w:color="auto" w:fill="FFFFFF"/>
        </w:rPr>
        <w:t>万元，较上年决算数增加1031.09万元，增长196.40%，主要原因是</w:t>
      </w:r>
      <w:r>
        <w:rPr>
          <w:rFonts w:hint="default" w:ascii="Times New Roman" w:hAnsi="Times New Roman" w:eastAsia="方正仿宋_GBK" w:cs="Times New Roman"/>
          <w:sz w:val="32"/>
          <w:szCs w:val="32"/>
          <w:shd w:val="clear" w:color="auto" w:fill="FFFFFF"/>
          <w:lang w:eastAsia="zh-CN"/>
        </w:rPr>
        <w:t>厉行节约压减基本支出减少</w:t>
      </w:r>
      <w:r>
        <w:rPr>
          <w:rFonts w:hint="default" w:ascii="Times New Roman" w:hAnsi="Times New Roman" w:eastAsia="方正仿宋_GBK" w:cs="Times New Roman"/>
          <w:sz w:val="32"/>
          <w:szCs w:val="32"/>
          <w:shd w:val="clear" w:color="auto" w:fill="FFFFFF"/>
          <w:lang w:val="en-US" w:eastAsia="zh-CN"/>
        </w:rPr>
        <w:t>0.97万元，</w:t>
      </w:r>
      <w:r>
        <w:rPr>
          <w:rFonts w:hint="default" w:ascii="Times New Roman" w:hAnsi="Times New Roman" w:eastAsia="方正仿宋_GBK" w:cs="Times New Roman"/>
          <w:sz w:val="32"/>
          <w:szCs w:val="32"/>
          <w:shd w:val="clear" w:color="auto" w:fill="FFFFFF"/>
          <w:lang w:eastAsia="zh-CN"/>
        </w:rPr>
        <w:t>增加科技创新扶持专项及科技发展专项支出</w:t>
      </w:r>
      <w:r>
        <w:rPr>
          <w:rFonts w:hint="default" w:ascii="Times New Roman" w:hAnsi="Times New Roman" w:eastAsia="方正仿宋_GBK" w:cs="Times New Roman"/>
          <w:sz w:val="32"/>
          <w:szCs w:val="32"/>
          <w:shd w:val="clear" w:color="auto" w:fill="FFFFFF"/>
          <w:lang w:val="en-US" w:eastAsia="zh-CN"/>
        </w:rPr>
        <w:t>1032.06万元。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192.22</w:t>
      </w:r>
      <w:r>
        <w:rPr>
          <w:rFonts w:hint="default" w:ascii="Times New Roman" w:hAnsi="Times New Roman" w:eastAsia="方正仿宋_GBK" w:cs="Times New Roman"/>
          <w:sz w:val="32"/>
          <w:szCs w:val="32"/>
          <w:shd w:val="clear" w:color="auto" w:fill="FFFFFF"/>
        </w:rPr>
        <w:t>万元，占12.35%；项目支出</w:t>
      </w:r>
      <w:r>
        <w:rPr>
          <w:rFonts w:hint="default" w:ascii="Times New Roman" w:hAnsi="Times New Roman" w:eastAsia="方正仿宋_GBK" w:cs="Times New Roman"/>
          <w:sz w:val="32"/>
          <w:szCs w:val="32"/>
        </w:rPr>
        <w:t>1363.87</w:t>
      </w:r>
      <w:r>
        <w:rPr>
          <w:rFonts w:hint="default" w:ascii="Times New Roman" w:hAnsi="Times New Roman" w:eastAsia="方正仿宋_GBK" w:cs="Times New Roman"/>
          <w:sz w:val="32"/>
          <w:szCs w:val="32"/>
          <w:shd w:val="clear" w:color="auto" w:fill="FFFFFF"/>
        </w:rPr>
        <w:t>万元，占87.65%。</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color w:val="000000"/>
          <w:kern w:val="0"/>
          <w:sz w:val="32"/>
          <w:szCs w:val="32"/>
        </w:rPr>
        <w:t>本年无结转结余。</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lang w:val="en-US" w:eastAsia="zh-CN" w:bidi="ar-SA"/>
        </w:rPr>
        <w:t>年度财政拨款收、支总计1556.09万元。与2022年相比，财政拨款收、支总计各增加1031.09万元，增长196.40%。主要原因是厉行节约压减基本支出减少0.97万元，增加科技创新扶持专项及科技发展专项支出1032.06万元。</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1356.09</w:t>
      </w:r>
      <w:r>
        <w:rPr>
          <w:rFonts w:hint="default" w:ascii="Times New Roman" w:hAnsi="Times New Roman" w:eastAsia="方正仿宋_GBK" w:cs="Times New Roman"/>
          <w:sz w:val="32"/>
          <w:szCs w:val="32"/>
          <w:shd w:val="clear" w:color="auto" w:fill="FFFFFF"/>
        </w:rPr>
        <w:t>万元，较上年决算数增加831.09万元，增长158.30%。主要原因是</w:t>
      </w:r>
      <w:r>
        <w:rPr>
          <w:rFonts w:hint="default" w:ascii="Times New Roman" w:hAnsi="Times New Roman" w:eastAsia="方正仿宋_GBK" w:cs="Times New Roman"/>
          <w:sz w:val="32"/>
          <w:szCs w:val="32"/>
          <w:shd w:val="clear" w:color="auto" w:fill="FFFFFF"/>
          <w:lang w:eastAsia="zh-CN"/>
        </w:rPr>
        <w:t>增加科技创新扶持专项及科技发展专项</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较年初预算数减少394.26万元，下降22.52%。</w:t>
      </w:r>
      <w:r>
        <w:rPr>
          <w:rFonts w:hint="default" w:ascii="Times New Roman" w:hAnsi="Times New Roman" w:eastAsia="方正仿宋_GBK" w:cs="Times New Roman"/>
          <w:color w:val="000000"/>
          <w:sz w:val="32"/>
          <w:szCs w:val="32"/>
          <w:shd w:val="clear" w:color="auto" w:fill="FFFFFF"/>
          <w:lang w:eastAsia="zh-CN"/>
        </w:rPr>
        <w:t>主要原因是厉行节约，按完成时间节点支付项目支出</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200.00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000000"/>
          <w:kern w:val="0"/>
          <w:sz w:val="32"/>
          <w:szCs w:val="32"/>
          <w:lang w:eastAsia="zh-CN"/>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1556.09</w:t>
      </w:r>
      <w:r>
        <w:rPr>
          <w:rFonts w:hint="default" w:ascii="Times New Roman" w:hAnsi="Times New Roman" w:eastAsia="方正仿宋_GBK" w:cs="Times New Roman"/>
          <w:sz w:val="32"/>
          <w:szCs w:val="32"/>
          <w:shd w:val="clear" w:color="auto" w:fill="FFFFFF"/>
        </w:rPr>
        <w:t>万元，较上年决算数增加1031.09万元，增长196.40%。主要原因是</w:t>
      </w:r>
      <w:r>
        <w:rPr>
          <w:rFonts w:hint="default" w:ascii="Times New Roman" w:hAnsi="Times New Roman" w:eastAsia="方正仿宋_GBK" w:cs="Times New Roman"/>
          <w:sz w:val="32"/>
          <w:szCs w:val="32"/>
          <w:shd w:val="clear" w:color="auto" w:fill="FFFFFF"/>
          <w:lang w:eastAsia="zh-CN"/>
        </w:rPr>
        <w:t>厉行节约压减基本支出减少</w:t>
      </w:r>
      <w:r>
        <w:rPr>
          <w:rFonts w:hint="default" w:ascii="Times New Roman" w:hAnsi="Times New Roman" w:eastAsia="方正仿宋_GBK" w:cs="Times New Roman"/>
          <w:sz w:val="32"/>
          <w:szCs w:val="32"/>
          <w:shd w:val="clear" w:color="auto" w:fill="FFFFFF"/>
          <w:lang w:val="en-US" w:eastAsia="zh-CN"/>
        </w:rPr>
        <w:t>0.97万元，</w:t>
      </w:r>
      <w:r>
        <w:rPr>
          <w:rFonts w:hint="default" w:ascii="Times New Roman" w:hAnsi="Times New Roman" w:eastAsia="方正仿宋_GBK" w:cs="Times New Roman"/>
          <w:sz w:val="32"/>
          <w:szCs w:val="32"/>
          <w:shd w:val="clear" w:color="auto" w:fill="FFFFFF"/>
          <w:lang w:eastAsia="zh-CN"/>
        </w:rPr>
        <w:t>增加科技创新扶持专项及科技发展专项支出</w:t>
      </w:r>
      <w:r>
        <w:rPr>
          <w:rFonts w:hint="default" w:ascii="Times New Roman" w:hAnsi="Times New Roman" w:eastAsia="方正仿宋_GBK" w:cs="Times New Roman"/>
          <w:sz w:val="32"/>
          <w:szCs w:val="32"/>
          <w:shd w:val="clear" w:color="auto" w:fill="FFFFFF"/>
          <w:lang w:val="en-US" w:eastAsia="zh-CN"/>
        </w:rPr>
        <w:t>1032.06万元。</w:t>
      </w:r>
      <w:r>
        <w:rPr>
          <w:rFonts w:hint="default" w:ascii="Times New Roman" w:hAnsi="Times New Roman" w:eastAsia="方正仿宋_GBK" w:cs="Times New Roman"/>
          <w:sz w:val="32"/>
          <w:szCs w:val="32"/>
          <w:shd w:val="clear" w:color="auto" w:fill="FFFFFF"/>
        </w:rPr>
        <w:t>较年初预算数减少194.26万元，下降11.10%。</w:t>
      </w:r>
      <w:r>
        <w:rPr>
          <w:rFonts w:hint="default" w:ascii="Times New Roman" w:hAnsi="Times New Roman" w:eastAsia="方正仿宋_GBK" w:cs="Times New Roman"/>
          <w:color w:val="000000"/>
          <w:sz w:val="32"/>
          <w:szCs w:val="32"/>
          <w:shd w:val="clear" w:color="auto" w:fill="FFFFFF"/>
          <w:lang w:eastAsia="zh-CN"/>
        </w:rPr>
        <w:t>主要原因是厉行节约，按完成时间节点支付项目支出</w:t>
      </w:r>
      <w:r>
        <w:rPr>
          <w:rFonts w:hint="default" w:ascii="Times New Roman" w:hAnsi="Times New Roman" w:eastAsia="方正仿宋_GBK" w:cs="Times New Roman"/>
          <w:color w:val="000000"/>
          <w:kern w:val="0"/>
          <w:sz w:val="32"/>
          <w:szCs w:val="32"/>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000000"/>
          <w:kern w:val="0"/>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color w:val="000000"/>
          <w:kern w:val="0"/>
          <w:sz w:val="32"/>
          <w:szCs w:val="32"/>
        </w:rPr>
        <w:t>本年无结转结余。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本单位2023年度一般公共预算财政拨款支出主要用于以下几个方面：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）科学技术支出</w:t>
      </w:r>
      <w:r>
        <w:rPr>
          <w:rFonts w:hint="default" w:ascii="Times New Roman" w:hAnsi="Times New Roman" w:eastAsia="方正仿宋_GBK" w:cs="Times New Roman"/>
          <w:sz w:val="32"/>
          <w:szCs w:val="32"/>
        </w:rPr>
        <w:t>1486.95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95.56</w:t>
      </w:r>
      <w:r>
        <w:rPr>
          <w:rFonts w:hint="default" w:ascii="Times New Roman" w:hAnsi="Times New Roman" w:eastAsia="方正仿宋_GBK" w:cs="Times New Roman"/>
          <w:sz w:val="32"/>
          <w:szCs w:val="32"/>
          <w:shd w:val="clear" w:color="auto" w:fill="FFFFFF"/>
        </w:rPr>
        <w:t>%，较年初预算数减少196.04万元，下降11.65%，</w:t>
      </w:r>
      <w:r>
        <w:rPr>
          <w:rFonts w:hint="default" w:ascii="Times New Roman" w:hAnsi="Times New Roman" w:eastAsia="方正仿宋_GBK" w:cs="Times New Roman"/>
          <w:color w:val="000000"/>
          <w:sz w:val="32"/>
          <w:szCs w:val="32"/>
          <w:shd w:val="clear" w:color="auto" w:fill="FFFFFF"/>
          <w:lang w:eastAsia="zh-CN"/>
        </w:rPr>
        <w:t>主要原因是厉行节约，按完成时间节点支付项目支出</w:t>
      </w:r>
      <w:r>
        <w:rPr>
          <w:rFonts w:hint="default" w:ascii="Times New Roman" w:hAnsi="Times New Roman" w:eastAsia="方正仿宋_GBK" w:cs="Times New Roman"/>
          <w:color w:val="000000"/>
          <w:kern w:val="0"/>
          <w:sz w:val="32"/>
          <w:szCs w:val="32"/>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48.26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3.10</w:t>
      </w:r>
      <w:r>
        <w:rPr>
          <w:rFonts w:hint="default" w:ascii="Times New Roman" w:hAnsi="Times New Roman" w:eastAsia="方正仿宋_GBK" w:cs="Times New Roman"/>
          <w:sz w:val="32"/>
          <w:szCs w:val="32"/>
          <w:shd w:val="clear" w:color="auto" w:fill="FFFFFF"/>
        </w:rPr>
        <w:t>%，较年初预算数减少0.65万元，下降1.33%，主要原因是</w:t>
      </w:r>
      <w:r>
        <w:rPr>
          <w:rFonts w:hint="default" w:ascii="Times New Roman" w:hAnsi="Times New Roman" w:eastAsia="方正仿宋_GBK" w:cs="Times New Roman"/>
          <w:sz w:val="32"/>
          <w:szCs w:val="32"/>
          <w:shd w:val="clear" w:color="auto" w:fill="FFFFFF"/>
          <w:lang w:val="en-US" w:eastAsia="zh-CN"/>
        </w:rPr>
        <w:t>2022年12月</w:t>
      </w:r>
      <w:r>
        <w:rPr>
          <w:rFonts w:hint="default" w:ascii="Times New Roman" w:hAnsi="Times New Roman" w:eastAsia="方正仿宋_GBK" w:cs="Times New Roman"/>
          <w:sz w:val="32"/>
          <w:szCs w:val="32"/>
          <w:shd w:val="clear" w:color="auto" w:fill="FFFFFF"/>
          <w:lang w:eastAsia="zh-CN"/>
        </w:rPr>
        <w:t>有</w:t>
      </w:r>
      <w:r>
        <w:rPr>
          <w:rFonts w:hint="default" w:ascii="Times New Roman" w:hAnsi="Times New Roman" w:eastAsia="方正仿宋_GBK" w:cs="Times New Roman"/>
          <w:sz w:val="32"/>
          <w:szCs w:val="32"/>
          <w:shd w:val="clear" w:color="auto" w:fill="FFFFFF"/>
          <w:lang w:val="en-US" w:eastAsia="zh-CN"/>
        </w:rPr>
        <w:t>1名退休人员。</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10.40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0.67</w:t>
      </w:r>
      <w:r>
        <w:rPr>
          <w:rFonts w:hint="default" w:ascii="Times New Roman" w:hAnsi="Times New Roman" w:eastAsia="方正仿宋_GBK" w:cs="Times New Roman"/>
          <w:sz w:val="32"/>
          <w:szCs w:val="32"/>
          <w:shd w:val="clear" w:color="auto" w:fill="FFFFFF"/>
        </w:rPr>
        <w:t>%，较年初预算数增加2.90万元，增长38.67%，</w:t>
      </w:r>
      <w:r>
        <w:rPr>
          <w:rFonts w:hint="default" w:ascii="Times New Roman" w:hAnsi="Times New Roman" w:eastAsia="方正仿宋_GBK" w:cs="Times New Roman"/>
          <w:color w:val="000000"/>
          <w:kern w:val="0"/>
          <w:sz w:val="32"/>
          <w:szCs w:val="32"/>
        </w:rPr>
        <w:t>主要原因是工资调整等导致支出增加。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住房保障支出10.47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0.67</w:t>
      </w:r>
      <w:r>
        <w:rPr>
          <w:rFonts w:hint="default" w:ascii="Times New Roman" w:hAnsi="Times New Roman" w:eastAsia="方正仿宋_GBK" w:cs="Times New Roman"/>
          <w:sz w:val="32"/>
          <w:szCs w:val="32"/>
          <w:shd w:val="clear" w:color="auto" w:fill="FFFFFF"/>
        </w:rPr>
        <w:t>%，较年初预算数减少0.48万元，下降4.38%，主要原因是</w:t>
      </w:r>
      <w:r>
        <w:rPr>
          <w:rFonts w:hint="default" w:ascii="Times New Roman" w:hAnsi="Times New Roman" w:eastAsia="方正仿宋_GBK" w:cs="Times New Roman"/>
          <w:sz w:val="32"/>
          <w:szCs w:val="32"/>
          <w:shd w:val="clear" w:color="auto" w:fill="FFFFFF"/>
          <w:lang w:val="en-US" w:eastAsia="zh-CN"/>
        </w:rPr>
        <w:t>2022年12月</w:t>
      </w:r>
      <w:r>
        <w:rPr>
          <w:rFonts w:hint="default" w:ascii="Times New Roman" w:hAnsi="Times New Roman" w:eastAsia="方正仿宋_GBK" w:cs="Times New Roman"/>
          <w:sz w:val="32"/>
          <w:szCs w:val="32"/>
          <w:shd w:val="clear" w:color="auto" w:fill="FFFFFF"/>
          <w:lang w:eastAsia="zh-CN"/>
        </w:rPr>
        <w:t>有</w:t>
      </w:r>
      <w:r>
        <w:rPr>
          <w:rFonts w:hint="default" w:ascii="Times New Roman" w:hAnsi="Times New Roman" w:eastAsia="方正仿宋_GBK" w:cs="Times New Roman"/>
          <w:sz w:val="32"/>
          <w:szCs w:val="32"/>
          <w:shd w:val="clear" w:color="auto" w:fill="FFFFFF"/>
          <w:lang w:val="en-US" w:eastAsia="zh-CN"/>
        </w:rPr>
        <w:t>1名退休人员。</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2023年度一般公共财政拨款基本支出</w:t>
      </w:r>
      <w:r>
        <w:rPr>
          <w:rFonts w:hint="default" w:ascii="Times New Roman" w:hAnsi="Times New Roman" w:eastAsia="方正仿宋_GBK" w:cs="Times New Roman"/>
          <w:sz w:val="32"/>
          <w:szCs w:val="32"/>
        </w:rPr>
        <w:t>192.22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166.55</w:t>
      </w:r>
      <w:r>
        <w:rPr>
          <w:rFonts w:hint="default" w:ascii="Times New Roman" w:hAnsi="Times New Roman" w:eastAsia="方正仿宋_GBK" w:cs="Times New Roman"/>
          <w:sz w:val="32"/>
          <w:szCs w:val="32"/>
          <w:shd w:val="clear" w:color="auto" w:fill="FFFFFF"/>
        </w:rPr>
        <w:t>万元，较上年决算数减少2.46万元，下降1.46%，主要原因是</w:t>
      </w:r>
      <w:r>
        <w:rPr>
          <w:rFonts w:hint="default" w:ascii="Times New Roman" w:hAnsi="Times New Roman" w:eastAsia="方正仿宋_GBK" w:cs="Times New Roman"/>
          <w:sz w:val="32"/>
          <w:szCs w:val="32"/>
          <w:shd w:val="clear" w:color="auto" w:fill="FFFFFF"/>
          <w:lang w:val="en-US" w:eastAsia="zh-CN"/>
        </w:rPr>
        <w:t>2022年12月</w:t>
      </w:r>
      <w:r>
        <w:rPr>
          <w:rFonts w:hint="default" w:ascii="Times New Roman" w:hAnsi="Times New Roman" w:eastAsia="方正仿宋_GBK" w:cs="Times New Roman"/>
          <w:sz w:val="32"/>
          <w:szCs w:val="32"/>
          <w:shd w:val="clear" w:color="auto" w:fill="FFFFFF"/>
          <w:lang w:eastAsia="zh-CN"/>
        </w:rPr>
        <w:t>有</w:t>
      </w:r>
      <w:r>
        <w:rPr>
          <w:rFonts w:hint="default" w:ascii="Times New Roman" w:hAnsi="Times New Roman" w:eastAsia="方正仿宋_GBK" w:cs="Times New Roman"/>
          <w:sz w:val="32"/>
          <w:szCs w:val="32"/>
          <w:shd w:val="clear" w:color="auto" w:fill="FFFFFF"/>
          <w:lang w:val="en-US" w:eastAsia="zh-CN"/>
        </w:rPr>
        <w:t>1名退休人员</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000000"/>
          <w:kern w:val="0"/>
          <w:sz w:val="32"/>
          <w:szCs w:val="32"/>
        </w:rPr>
        <w:t>人员经费用途主要包括基本工资、津贴补贴、奖金、绩效工资，社保缴费等。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25.67</w:t>
      </w:r>
      <w:r>
        <w:rPr>
          <w:rFonts w:hint="default" w:ascii="Times New Roman" w:hAnsi="Times New Roman" w:eastAsia="方正仿宋_GBK" w:cs="Times New Roman"/>
          <w:sz w:val="32"/>
          <w:szCs w:val="32"/>
          <w:shd w:val="clear" w:color="auto" w:fill="FFFFFF"/>
        </w:rPr>
        <w:t>万元，较上年决算数增加1.49万元，增长6.16%，主要原因是</w:t>
      </w:r>
      <w:r>
        <w:rPr>
          <w:rFonts w:hint="default" w:ascii="Times New Roman" w:hAnsi="Times New Roman" w:eastAsia="方正仿宋_GBK" w:cs="Times New Roman"/>
          <w:color w:val="auto"/>
          <w:sz w:val="32"/>
          <w:szCs w:val="32"/>
          <w:shd w:val="clear" w:color="auto" w:fill="FFFFFF"/>
          <w:lang w:eastAsia="zh-CN"/>
        </w:rPr>
        <w:t>外出招商工作增加。</w:t>
      </w:r>
      <w:r>
        <w:rPr>
          <w:rFonts w:hint="default" w:ascii="Times New Roman" w:hAnsi="Times New Roman" w:eastAsia="方正仿宋_GBK" w:cs="Times New Roman"/>
          <w:color w:val="000000"/>
          <w:kern w:val="0"/>
          <w:sz w:val="32"/>
          <w:szCs w:val="32"/>
        </w:rPr>
        <w:t>公用经费用途主要包括办公费、咨询费、邮电费、差旅费、劳务费、工会经费、福利费、其它交通补贴。</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keepNext w:val="0"/>
        <w:keepLines w:val="0"/>
        <w:pageBreakBefore w:val="0"/>
        <w:widowControl/>
        <w:kinsoku/>
        <w:wordWrap/>
        <w:overflowPunct/>
        <w:topLinePunct w:val="0"/>
        <w:autoSpaceDE w:val="0"/>
        <w:autoSpaceDN/>
        <w:bidi w:val="0"/>
        <w:adjustRightInd/>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color w:val="000000"/>
          <w:kern w:val="0"/>
          <w:sz w:val="32"/>
          <w:szCs w:val="32"/>
          <w:lang w:eastAsia="zh-CN"/>
        </w:rPr>
        <w:t>单位</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color w:val="000000"/>
          <w:kern w:val="0"/>
          <w:sz w:val="32"/>
          <w:szCs w:val="32"/>
          <w:lang w:eastAsia="zh-CN"/>
        </w:rPr>
        <w:t>单位</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年度无国有资本经营预算财政拨款支出。</w:t>
      </w:r>
    </w:p>
    <w:p>
      <w:pPr>
        <w:pStyle w:val="6"/>
        <w:keepNext w:val="0"/>
        <w:keepLines w:val="0"/>
        <w:pageBreakBefore w:val="0"/>
        <w:widowControl/>
        <w:numPr>
          <w:ilvl w:val="0"/>
          <w:numId w:val="2"/>
        </w:numPr>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“三公”经费情况说明</w:t>
      </w:r>
    </w:p>
    <w:p>
      <w:pPr>
        <w:pStyle w:val="6"/>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19.03</w:t>
      </w:r>
      <w:r>
        <w:rPr>
          <w:rFonts w:hint="default" w:ascii="Times New Roman" w:hAnsi="Times New Roman" w:eastAsia="方正仿宋_GBK" w:cs="Times New Roman"/>
          <w:sz w:val="32"/>
          <w:szCs w:val="32"/>
          <w:shd w:val="clear" w:color="auto" w:fill="FFFFFF"/>
        </w:rPr>
        <w:t>万元，较年初预算数增加14.73万元，增长342.56%，</w:t>
      </w:r>
      <w:r>
        <w:rPr>
          <w:rFonts w:hint="default" w:ascii="Times New Roman" w:hAnsi="Times New Roman" w:eastAsia="方正仿宋_GBK" w:cs="Times New Roman"/>
          <w:color w:val="000000"/>
          <w:kern w:val="0"/>
          <w:sz w:val="32"/>
          <w:szCs w:val="32"/>
        </w:rPr>
        <w:t>主要原因是</w:t>
      </w:r>
      <w:r>
        <w:rPr>
          <w:rFonts w:hint="default" w:ascii="Times New Roman" w:hAnsi="Times New Roman" w:eastAsia="方正仿宋_GBK" w:cs="Times New Roman"/>
          <w:color w:val="000000"/>
          <w:kern w:val="0"/>
          <w:sz w:val="32"/>
          <w:szCs w:val="32"/>
          <w:lang w:eastAsia="zh-CN"/>
        </w:rPr>
        <w:t>原公务车老旧达到报废条件，购置新车</w:t>
      </w:r>
      <w:r>
        <w:rPr>
          <w:rFonts w:hint="default" w:ascii="Times New Roman" w:hAnsi="Times New Roman" w:eastAsia="方正仿宋_GBK" w:cs="Times New Roman"/>
          <w:color w:val="000000"/>
          <w:kern w:val="0"/>
          <w:sz w:val="32"/>
          <w:szCs w:val="32"/>
          <w:lang w:val="en-US" w:eastAsia="zh-CN"/>
        </w:rPr>
        <w:t>15.03万元</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shd w:val="clear" w:color="auto" w:fill="FFFFFF"/>
        </w:rPr>
        <w:t>较上年支出数增加16.87万元，增长781.02%，</w:t>
      </w:r>
      <w:r>
        <w:rPr>
          <w:rFonts w:hint="default" w:ascii="Times New Roman" w:hAnsi="Times New Roman" w:eastAsia="方正仿宋_GBK" w:cs="Times New Roman"/>
          <w:color w:val="000000"/>
          <w:kern w:val="0"/>
          <w:sz w:val="32"/>
          <w:szCs w:val="32"/>
        </w:rPr>
        <w:t>主要原因是</w:t>
      </w:r>
      <w:r>
        <w:rPr>
          <w:rFonts w:hint="default" w:ascii="Times New Roman" w:hAnsi="Times New Roman" w:eastAsia="方正仿宋_GBK" w:cs="Times New Roman"/>
          <w:color w:val="000000"/>
          <w:kern w:val="0"/>
          <w:sz w:val="32"/>
          <w:szCs w:val="32"/>
          <w:lang w:eastAsia="zh-CN"/>
        </w:rPr>
        <w:t>原公务车老旧达到报废条件，购置新车</w:t>
      </w:r>
      <w:r>
        <w:rPr>
          <w:rFonts w:hint="default" w:ascii="Times New Roman" w:hAnsi="Times New Roman" w:eastAsia="方正仿宋_GBK" w:cs="Times New Roman"/>
          <w:color w:val="000000"/>
          <w:kern w:val="0"/>
          <w:sz w:val="32"/>
          <w:szCs w:val="32"/>
          <w:lang w:val="en-US" w:eastAsia="zh-CN"/>
        </w:rPr>
        <w:t>15.03万元，原公务车维修较上年增加1.34万元，增加接待费0.5万元。</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年度本部门因公出国（境）费用0.00万元，费用支出较年初预算数增加0.00万元，增长0%，主要原因是本部门202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年度未发生因公出国（境）费用。较上年支出数增加0.00万元，增长0%，与上年持平。</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15.03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000000"/>
          <w:kern w:val="0"/>
          <w:sz w:val="32"/>
          <w:szCs w:val="32"/>
        </w:rPr>
        <w:t>主要用于</w:t>
      </w:r>
      <w:r>
        <w:rPr>
          <w:rFonts w:hint="default" w:ascii="Times New Roman" w:hAnsi="Times New Roman" w:eastAsia="方正仿宋_GBK" w:cs="Times New Roman"/>
          <w:color w:val="000000"/>
          <w:kern w:val="0"/>
          <w:sz w:val="32"/>
          <w:szCs w:val="32"/>
          <w:lang w:eastAsia="zh-CN"/>
        </w:rPr>
        <w:t>公务车购置</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shd w:val="clear" w:color="auto" w:fill="FFFFFF"/>
        </w:rPr>
        <w:t>费用支出较年初预算数增加15.03万元，增长100.00%，</w:t>
      </w:r>
      <w:r>
        <w:rPr>
          <w:rFonts w:hint="default" w:ascii="Times New Roman" w:hAnsi="Times New Roman" w:eastAsia="方正仿宋_GBK" w:cs="Times New Roman"/>
          <w:color w:val="000000"/>
          <w:kern w:val="0"/>
          <w:sz w:val="32"/>
          <w:szCs w:val="32"/>
        </w:rPr>
        <w:t>主要原因是</w:t>
      </w:r>
      <w:r>
        <w:rPr>
          <w:rFonts w:hint="default" w:ascii="Times New Roman" w:hAnsi="Times New Roman" w:eastAsia="方正仿宋_GBK" w:cs="Times New Roman"/>
          <w:color w:val="000000"/>
          <w:kern w:val="0"/>
          <w:sz w:val="32"/>
          <w:szCs w:val="32"/>
          <w:lang w:eastAsia="zh-CN"/>
        </w:rPr>
        <w:t>原公务车老旧达到报废条件，购置新车</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shd w:val="clear" w:color="auto" w:fill="FFFFFF"/>
        </w:rPr>
        <w:t>较上年支出数增加15.03万元，增长100.00%，</w:t>
      </w:r>
      <w:r>
        <w:rPr>
          <w:rFonts w:hint="default" w:ascii="Times New Roman" w:hAnsi="Times New Roman" w:eastAsia="方正仿宋_GBK" w:cs="Times New Roman"/>
          <w:color w:val="000000"/>
          <w:kern w:val="0"/>
          <w:sz w:val="32"/>
          <w:szCs w:val="32"/>
        </w:rPr>
        <w:t>主要原因是</w:t>
      </w:r>
      <w:r>
        <w:rPr>
          <w:rFonts w:hint="default" w:ascii="Times New Roman" w:hAnsi="Times New Roman" w:eastAsia="方正仿宋_GBK" w:cs="Times New Roman"/>
          <w:color w:val="000000"/>
          <w:kern w:val="0"/>
          <w:sz w:val="32"/>
          <w:szCs w:val="32"/>
          <w:lang w:eastAsia="zh-CN"/>
        </w:rPr>
        <w:t>原公务车老旧达到报废条件，购置新车。</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公务车运行维护费3.50万元，主要用于机要文件交换、因公出行等应急事务所需车辆的燃料费、维修费、过桥过路费、停车费、保险费等。费用支出较年初预算数无增减。较上年支出数增加1.34万元，增长62.04%，主要原因是</w:t>
      </w:r>
      <w:r>
        <w:rPr>
          <w:rFonts w:hint="default" w:ascii="Times New Roman" w:hAnsi="Times New Roman" w:eastAsia="方正仿宋_GBK" w:cs="Times New Roman"/>
          <w:color w:val="000000"/>
          <w:kern w:val="0"/>
          <w:sz w:val="32"/>
          <w:szCs w:val="32"/>
          <w:lang w:eastAsia="zh-CN"/>
        </w:rPr>
        <w:t>维修老旧公务车</w:t>
      </w:r>
      <w:r>
        <w:rPr>
          <w:rFonts w:hint="default" w:ascii="Times New Roman" w:hAnsi="Times New Roman" w:eastAsia="方正仿宋_GBK" w:cs="Times New Roman"/>
          <w:color w:val="000000"/>
          <w:kern w:val="0"/>
          <w:sz w:val="32"/>
          <w:szCs w:val="32"/>
        </w:rPr>
        <w:t>。</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公务接待费0.50万元，主要用于</w:t>
      </w:r>
      <w:r>
        <w:rPr>
          <w:rFonts w:hint="default" w:ascii="Times New Roman" w:hAnsi="Times New Roman" w:eastAsia="方正仿宋_GBK" w:cs="Times New Roman"/>
          <w:color w:val="000000"/>
          <w:kern w:val="0"/>
          <w:sz w:val="32"/>
          <w:szCs w:val="32"/>
          <w:lang w:eastAsia="zh-CN"/>
        </w:rPr>
        <w:t>高新区创建、招商等工作接待</w:t>
      </w:r>
      <w:r>
        <w:rPr>
          <w:rFonts w:hint="default" w:ascii="Times New Roman" w:hAnsi="Times New Roman" w:eastAsia="方正仿宋_GBK" w:cs="Times New Roman"/>
          <w:color w:val="000000"/>
          <w:kern w:val="0"/>
          <w:sz w:val="32"/>
          <w:szCs w:val="32"/>
        </w:rPr>
        <w:t>。费用支出较年初预算数减少1.10万元，下降68.75%，主要原因是</w:t>
      </w:r>
      <w:r>
        <w:rPr>
          <w:rFonts w:hint="default" w:ascii="Times New Roman" w:hAnsi="Times New Roman" w:eastAsia="方正仿宋_GBK" w:cs="Times New Roman"/>
          <w:color w:val="000000"/>
          <w:kern w:val="0"/>
          <w:sz w:val="32"/>
          <w:szCs w:val="32"/>
          <w:lang w:eastAsia="zh-CN"/>
        </w:rPr>
        <w:t>厉行节约</w:t>
      </w:r>
      <w:r>
        <w:rPr>
          <w:rFonts w:hint="default" w:ascii="Times New Roman" w:hAnsi="Times New Roman" w:eastAsia="方正仿宋_GBK" w:cs="Times New Roman"/>
          <w:color w:val="000000"/>
          <w:kern w:val="0"/>
          <w:sz w:val="32"/>
          <w:szCs w:val="32"/>
        </w:rPr>
        <w:t>，严格控制公务接待。较上年支出数增加0.50万元，增长100.00%，主要原因是</w:t>
      </w:r>
      <w:r>
        <w:rPr>
          <w:rFonts w:hint="default" w:ascii="Times New Roman" w:hAnsi="Times New Roman" w:eastAsia="方正仿宋_GBK" w:cs="Times New Roman"/>
          <w:color w:val="000000"/>
          <w:kern w:val="0"/>
          <w:sz w:val="32"/>
          <w:szCs w:val="32"/>
          <w:lang w:eastAsia="zh-CN"/>
        </w:rPr>
        <w:t>高新区创建、招商等工作接待</w:t>
      </w:r>
      <w:r>
        <w:rPr>
          <w:rFonts w:hint="default" w:ascii="Times New Roman" w:hAnsi="Times New Roman" w:eastAsia="方正仿宋_GBK" w:cs="Times New Roman"/>
          <w:color w:val="000000"/>
          <w:kern w:val="0"/>
          <w:sz w:val="32"/>
          <w:szCs w:val="32"/>
        </w:rPr>
        <w:t>。</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年度本部门因公出国（境）共计0个团组，0人；公务用车购置</w:t>
      </w: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rPr>
        <w:t>辆，公务车保有量为</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辆；国内公务接待</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批次</w:t>
      </w:r>
      <w:r>
        <w:rPr>
          <w:rFonts w:hint="default" w:ascii="Times New Roman" w:hAnsi="Times New Roman" w:eastAsia="方正仿宋_GBK" w:cs="Times New Roman"/>
          <w:color w:val="000000"/>
          <w:kern w:val="0"/>
          <w:sz w:val="32"/>
          <w:szCs w:val="32"/>
          <w:lang w:val="en-US" w:eastAsia="zh-CN"/>
        </w:rPr>
        <w:t>52</w:t>
      </w:r>
      <w:r>
        <w:rPr>
          <w:rFonts w:hint="default" w:ascii="Times New Roman" w:hAnsi="Times New Roman" w:eastAsia="方正仿宋_GBK" w:cs="Times New Roman"/>
          <w:color w:val="000000"/>
          <w:kern w:val="0"/>
          <w:sz w:val="32"/>
          <w:szCs w:val="32"/>
        </w:rPr>
        <w:t>人，其中：国内外事接待</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批次，</w:t>
      </w:r>
      <w:r>
        <w:rPr>
          <w:rFonts w:hint="default" w:ascii="Times New Roman" w:hAnsi="Times New Roman" w:eastAsia="方正仿宋_GBK" w:cs="Times New Roman"/>
          <w:color w:val="000000"/>
          <w:kern w:val="0"/>
          <w:sz w:val="32"/>
          <w:szCs w:val="32"/>
          <w:lang w:val="en-US" w:eastAsia="zh-CN"/>
        </w:rPr>
        <w:t>52</w:t>
      </w:r>
      <w:r>
        <w:rPr>
          <w:rFonts w:hint="default" w:ascii="Times New Roman" w:hAnsi="Times New Roman" w:eastAsia="方正仿宋_GBK" w:cs="Times New Roman"/>
          <w:color w:val="000000"/>
          <w:kern w:val="0"/>
          <w:sz w:val="32"/>
          <w:szCs w:val="32"/>
        </w:rPr>
        <w:t>人；国（境）外公务接待0批次，0人。202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年本部门人均接待费</w:t>
      </w:r>
      <w:r>
        <w:rPr>
          <w:rFonts w:hint="default" w:ascii="Times New Roman" w:hAnsi="Times New Roman" w:eastAsia="方正仿宋_GBK" w:cs="Times New Roman"/>
          <w:color w:val="000000"/>
          <w:kern w:val="0"/>
          <w:sz w:val="32"/>
          <w:szCs w:val="32"/>
          <w:lang w:val="en-US" w:eastAsia="zh-CN"/>
        </w:rPr>
        <w:t>96.15</w:t>
      </w:r>
      <w:r>
        <w:rPr>
          <w:rFonts w:hint="default" w:ascii="Times New Roman" w:hAnsi="Times New Roman" w:eastAsia="方正仿宋_GBK" w:cs="Times New Roman"/>
          <w:color w:val="000000"/>
          <w:kern w:val="0"/>
          <w:sz w:val="32"/>
          <w:szCs w:val="32"/>
        </w:rPr>
        <w:t>元，车均购置费</w:t>
      </w:r>
      <w:r>
        <w:rPr>
          <w:rFonts w:hint="default" w:ascii="Times New Roman" w:hAnsi="Times New Roman" w:eastAsia="方正仿宋_GBK" w:cs="Times New Roman"/>
          <w:color w:val="000000"/>
          <w:kern w:val="0"/>
          <w:sz w:val="32"/>
          <w:szCs w:val="32"/>
          <w:lang w:val="en-US" w:eastAsia="zh-CN"/>
        </w:rPr>
        <w:t>15.03</w:t>
      </w:r>
      <w:r>
        <w:rPr>
          <w:rFonts w:hint="default" w:ascii="Times New Roman" w:hAnsi="Times New Roman" w:eastAsia="方正仿宋_GBK" w:cs="Times New Roman"/>
          <w:color w:val="000000"/>
          <w:kern w:val="0"/>
          <w:sz w:val="32"/>
          <w:szCs w:val="32"/>
        </w:rPr>
        <w:t>万元，车均维护费</w:t>
      </w:r>
      <w:r>
        <w:rPr>
          <w:rFonts w:hint="default" w:ascii="Times New Roman" w:hAnsi="Times New Roman" w:eastAsia="方正仿宋_GBK" w:cs="Times New Roman"/>
          <w:color w:val="000000"/>
          <w:kern w:val="0"/>
          <w:sz w:val="32"/>
          <w:szCs w:val="32"/>
          <w:lang w:val="en-US" w:eastAsia="zh-CN"/>
        </w:rPr>
        <w:t>1.75</w:t>
      </w:r>
      <w:r>
        <w:rPr>
          <w:rFonts w:hint="default" w:ascii="Times New Roman" w:hAnsi="Times New Roman" w:eastAsia="方正仿宋_GBK" w:cs="Times New Roman"/>
          <w:color w:val="000000"/>
          <w:kern w:val="0"/>
          <w:sz w:val="32"/>
          <w:szCs w:val="32"/>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（一）财政拨款会议费和培训费情况说明</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11.20</w:t>
      </w:r>
      <w:r>
        <w:rPr>
          <w:rFonts w:hint="default" w:ascii="Times New Roman" w:hAnsi="Times New Roman" w:eastAsia="方正仿宋_GBK" w:cs="Times New Roman"/>
          <w:sz w:val="32"/>
          <w:szCs w:val="32"/>
          <w:shd w:val="clear" w:color="auto" w:fill="FFFFFF"/>
        </w:rPr>
        <w:t>万元，较上年决算数增加9.21万元，增长462.81%，</w:t>
      </w:r>
      <w:r>
        <w:rPr>
          <w:rFonts w:hint="default" w:ascii="Times New Roman" w:hAnsi="Times New Roman" w:eastAsia="方正仿宋_GBK" w:cs="Times New Roman"/>
          <w:color w:val="000000"/>
          <w:kern w:val="0"/>
          <w:sz w:val="32"/>
          <w:szCs w:val="32"/>
        </w:rPr>
        <w:t>主要原因是</w:t>
      </w:r>
      <w:r>
        <w:rPr>
          <w:rFonts w:hint="default" w:ascii="Times New Roman" w:hAnsi="Times New Roman" w:eastAsia="方正仿宋_GBK" w:cs="Times New Roman"/>
          <w:color w:val="000000"/>
          <w:kern w:val="0"/>
          <w:sz w:val="32"/>
          <w:szCs w:val="32"/>
          <w:lang w:eastAsia="zh-CN"/>
        </w:rPr>
        <w:t>会议次数增加，</w:t>
      </w:r>
      <w:r>
        <w:rPr>
          <w:rFonts w:hint="default" w:ascii="Times New Roman" w:hAnsi="Times New Roman" w:eastAsia="方正仿宋_GBK" w:cs="Times New Roman"/>
          <w:color w:val="000000"/>
          <w:kern w:val="0"/>
          <w:sz w:val="32"/>
          <w:szCs w:val="32"/>
        </w:rPr>
        <w:t>会议的资料文件印刷增多。</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6.06</w:t>
      </w:r>
      <w:r>
        <w:rPr>
          <w:rFonts w:hint="default" w:ascii="Times New Roman" w:hAnsi="Times New Roman" w:eastAsia="方正仿宋_GBK" w:cs="Times New Roman"/>
          <w:sz w:val="32"/>
          <w:szCs w:val="32"/>
          <w:shd w:val="clear" w:color="auto" w:fill="FFFFFF"/>
        </w:rPr>
        <w:t>万元，较上年决算数增加4.30万元，增长244.32%，</w:t>
      </w:r>
      <w:r>
        <w:rPr>
          <w:rFonts w:hint="default" w:ascii="Times New Roman" w:hAnsi="Times New Roman" w:eastAsia="方正仿宋_GBK" w:cs="Times New Roman"/>
          <w:color w:val="000000"/>
          <w:kern w:val="0"/>
          <w:sz w:val="32"/>
          <w:szCs w:val="32"/>
        </w:rPr>
        <w:t>主要原因是为创建国家高新区，增加高企、科企培训。</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2023年度本单位机关运行经费支出</w:t>
      </w:r>
      <w:r>
        <w:rPr>
          <w:rFonts w:hint="default" w:ascii="Times New Roman" w:hAnsi="Times New Roman" w:eastAsia="方正仿宋_GBK" w:cs="Times New Roman"/>
          <w:sz w:val="32"/>
          <w:szCs w:val="32"/>
        </w:rPr>
        <w:t>25.67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000000"/>
          <w:kern w:val="0"/>
          <w:sz w:val="32"/>
          <w:szCs w:val="32"/>
        </w:rPr>
        <w:t>机关运行经费主要用于开支办公费、水费、电费、邮电费、差旅费等。</w:t>
      </w:r>
      <w:r>
        <w:rPr>
          <w:rFonts w:hint="default" w:ascii="Times New Roman" w:hAnsi="Times New Roman" w:eastAsia="方正仿宋_GBK" w:cs="Times New Roman"/>
          <w:sz w:val="32"/>
          <w:szCs w:val="32"/>
          <w:shd w:val="clear" w:color="auto" w:fill="FFFFFF"/>
        </w:rPr>
        <w:t>机关运行经费较上年支出数增加1.49万元，增长6.16%，</w:t>
      </w:r>
      <w:r>
        <w:rPr>
          <w:rFonts w:hint="default" w:ascii="Times New Roman" w:hAnsi="Times New Roman" w:eastAsia="方正仿宋_GBK" w:cs="Times New Roman"/>
          <w:kern w:val="0"/>
          <w:sz w:val="32"/>
          <w:szCs w:val="32"/>
        </w:rPr>
        <w:t>主要原因是</w:t>
      </w:r>
      <w:r>
        <w:rPr>
          <w:rFonts w:hint="default" w:ascii="Times New Roman" w:hAnsi="Times New Roman" w:eastAsia="方正仿宋_GBK" w:cs="Times New Roman"/>
          <w:kern w:val="0"/>
          <w:sz w:val="32"/>
          <w:szCs w:val="32"/>
          <w:lang w:eastAsia="zh-CN"/>
        </w:rPr>
        <w:t>外出招商工作，增加差旅费</w:t>
      </w:r>
      <w:r>
        <w:rPr>
          <w:rFonts w:hint="default" w:ascii="Times New Roman" w:hAnsi="Times New Roman" w:eastAsia="方正仿宋_GBK" w:cs="Times New Roman"/>
          <w:kern w:val="0"/>
          <w:sz w:val="32"/>
          <w:szCs w:val="32"/>
        </w:rPr>
        <w:t>。</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2023年度本单位政府采购支出总额</w:t>
      </w:r>
      <w:r>
        <w:rPr>
          <w:rFonts w:hint="default" w:ascii="Times New Roman" w:hAnsi="Times New Roman" w:eastAsia="方正仿宋_GBK" w:cs="Times New Roman"/>
          <w:sz w:val="32"/>
          <w:szCs w:val="32"/>
        </w:rPr>
        <w:t>548.67</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15.03</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533.64</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545.07万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99.34</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545.07</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99.34</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lang w:eastAsia="zh-CN"/>
        </w:rPr>
        <w:t>五、</w:t>
      </w:r>
      <w:r>
        <w:rPr>
          <w:rStyle w:val="10"/>
          <w:rFonts w:hint="default" w:ascii="Times New Roman" w:hAnsi="Times New Roman" w:eastAsia="方正黑体_GBK" w:cs="Times New Roman"/>
          <w:b w:val="0"/>
          <w:bCs/>
          <w:sz w:val="32"/>
          <w:szCs w:val="32"/>
          <w:shd w:val="clear" w:color="auto" w:fill="FFFFFF"/>
        </w:rPr>
        <w:t>预算绩效管理情况说明</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（一）预算绩效管理工作开展情况</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根据预算绩效管理要求，我局对部门整体和</w:t>
      </w:r>
      <w:r>
        <w:rPr>
          <w:rFonts w:hint="default" w:ascii="Times New Roman" w:hAnsi="Times New Roman" w:eastAsia="方正仿宋_GBK" w:cs="Times New Roman"/>
          <w:kern w:val="0"/>
          <w:sz w:val="32"/>
          <w:szCs w:val="32"/>
          <w:lang w:val="en-US" w:eastAsia="zh-CN"/>
        </w:rPr>
        <w:t>13</w:t>
      </w:r>
      <w:r>
        <w:rPr>
          <w:rFonts w:hint="default" w:ascii="Times New Roman" w:hAnsi="Times New Roman" w:eastAsia="方正仿宋_GBK" w:cs="Times New Roman"/>
          <w:kern w:val="0"/>
          <w:sz w:val="32"/>
          <w:szCs w:val="32"/>
        </w:rPr>
        <w:t>个项目开展了绩效自评，其中，以填报绩效自评表形式开展自评</w:t>
      </w:r>
      <w:r>
        <w:rPr>
          <w:rFonts w:hint="default" w:ascii="Times New Roman" w:hAnsi="Times New Roman" w:eastAsia="方正仿宋_GBK" w:cs="Times New Roman"/>
          <w:kern w:val="0"/>
          <w:sz w:val="32"/>
          <w:szCs w:val="32"/>
          <w:lang w:val="en-US" w:eastAsia="zh-CN"/>
        </w:rPr>
        <w:t>13</w:t>
      </w:r>
      <w:r>
        <w:rPr>
          <w:rFonts w:hint="default" w:ascii="Times New Roman" w:hAnsi="Times New Roman" w:eastAsia="方正仿宋_GBK" w:cs="Times New Roman"/>
          <w:kern w:val="0"/>
          <w:sz w:val="32"/>
          <w:szCs w:val="32"/>
        </w:rPr>
        <w:t>项，涉及资金</w:t>
      </w:r>
      <w:r>
        <w:rPr>
          <w:rFonts w:hint="default" w:ascii="Times New Roman" w:hAnsi="Times New Roman" w:eastAsia="方正仿宋_GBK" w:cs="Times New Roman"/>
          <w:kern w:val="0"/>
          <w:sz w:val="32"/>
          <w:szCs w:val="32"/>
          <w:lang w:val="en-US" w:eastAsia="zh-CN"/>
        </w:rPr>
        <w:t>1363.52</w:t>
      </w:r>
      <w:r>
        <w:rPr>
          <w:rFonts w:hint="default" w:ascii="Times New Roman" w:hAnsi="Times New Roman" w:eastAsia="方正仿宋_GBK" w:cs="Times New Roman"/>
          <w:kern w:val="0"/>
          <w:sz w:val="32"/>
          <w:szCs w:val="32"/>
        </w:rPr>
        <w:t>万元；以委托第三方出具报告的方式开展绩效评价</w:t>
      </w:r>
      <w:r>
        <w:rPr>
          <w:rFonts w:hint="default"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rPr>
        <w:t>项，涉及资金</w:t>
      </w:r>
      <w:r>
        <w:rPr>
          <w:rFonts w:hint="default"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rPr>
        <w:t>万元。</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（二）绩效自评结果</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1.绩效目标自评表</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jc w:val="both"/>
        <w:textAlignment w:val="auto"/>
        <w:rPr>
          <w:rFonts w:hint="default" w:ascii="Times New Roman" w:hAnsi="Times New Roman" w:eastAsia="方正小标宋_GBK" w:cs="Times New Roman"/>
          <w:color w:val="000000"/>
          <w:kern w:val="0"/>
          <w:sz w:val="36"/>
          <w:szCs w:val="36"/>
        </w:rPr>
      </w:pPr>
      <w:r>
        <w:rPr>
          <w:rFonts w:hint="default" w:ascii="Times New Roman" w:hAnsi="Times New Roman" w:eastAsia="方正仿宋_GBK" w:cs="Times New Roman"/>
          <w:kern w:val="0"/>
          <w:sz w:val="32"/>
          <w:szCs w:val="32"/>
        </w:rPr>
        <w:t>详见</w:t>
      </w:r>
      <w:r>
        <w:rPr>
          <w:rFonts w:hint="default" w:ascii="Times New Roman" w:hAnsi="Times New Roman" w:eastAsia="方正仿宋_GBK" w:cs="Times New Roman"/>
          <w:kern w:val="0"/>
          <w:sz w:val="32"/>
          <w:szCs w:val="32"/>
          <w:lang w:eastAsia="zh-CN"/>
        </w:rPr>
        <w:t>附件</w:t>
      </w:r>
      <w:r>
        <w:rPr>
          <w:rFonts w:hint="default" w:ascii="Times New Roman" w:hAnsi="Times New Roman" w:eastAsia="方正仿宋_GBK" w:cs="Times New Roman"/>
          <w:kern w:val="0"/>
          <w:sz w:val="32"/>
          <w:szCs w:val="32"/>
        </w:rPr>
        <w:t>。</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2.绩效自评报告或案例</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jc w:val="both"/>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本年度本部门未委托第三方开展绩效评价。</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3.关于绩效自评结果的说明</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jc w:val="both"/>
        <w:textAlignment w:val="auto"/>
        <w:rPr>
          <w:rFonts w:hint="default" w:ascii="Times New Roman" w:hAnsi="Times New Roman" w:eastAsia="方正仿宋_GBK" w:cs="Times New Roman"/>
          <w:color w:val="000000"/>
          <w:kern w:val="0"/>
          <w:sz w:val="32"/>
          <w:szCs w:val="32"/>
          <w:shd w:val="clear" w:color="auto" w:fill="FFFFFF"/>
          <w:lang w:eastAsia="zh-CN"/>
        </w:rPr>
      </w:pPr>
      <w:r>
        <w:rPr>
          <w:rFonts w:hint="default" w:ascii="Times New Roman" w:hAnsi="Times New Roman" w:eastAsia="方正仿宋_GBK" w:cs="Times New Roman"/>
          <w:color w:val="000000"/>
          <w:kern w:val="0"/>
          <w:sz w:val="32"/>
          <w:szCs w:val="32"/>
          <w:shd w:val="clear" w:color="auto" w:fill="FFFFFF"/>
          <w:lang w:eastAsia="zh-CN"/>
        </w:rPr>
        <w:t>本</w:t>
      </w:r>
      <w:r>
        <w:rPr>
          <w:rFonts w:hint="default" w:ascii="Times New Roman" w:hAnsi="Times New Roman" w:eastAsia="方正仿宋_GBK" w:cs="Times New Roman"/>
          <w:color w:val="000000"/>
          <w:kern w:val="0"/>
          <w:sz w:val="32"/>
          <w:szCs w:val="32"/>
          <w:shd w:val="clear" w:color="auto" w:fill="FFFFFF"/>
        </w:rPr>
        <w:t>单位对1</w:t>
      </w:r>
      <w:r>
        <w:rPr>
          <w:rFonts w:hint="default" w:ascii="Times New Roman" w:hAnsi="Times New Roman" w:eastAsia="方正仿宋_GBK" w:cs="Times New Roman"/>
          <w:color w:val="000000"/>
          <w:kern w:val="0"/>
          <w:sz w:val="32"/>
          <w:szCs w:val="32"/>
          <w:shd w:val="clear" w:color="auto" w:fill="FFFFFF"/>
          <w:lang w:val="en-US" w:eastAsia="zh-CN"/>
        </w:rPr>
        <w:t>3</w:t>
      </w:r>
      <w:r>
        <w:rPr>
          <w:rFonts w:hint="default" w:ascii="Times New Roman" w:hAnsi="Times New Roman" w:eastAsia="方正仿宋_GBK" w:cs="Times New Roman"/>
          <w:color w:val="000000"/>
          <w:kern w:val="0"/>
          <w:sz w:val="32"/>
          <w:szCs w:val="32"/>
          <w:shd w:val="clear" w:color="auto" w:fill="FFFFFF"/>
        </w:rPr>
        <w:t>个二级项目开展绩效自评，评价等级为优</w:t>
      </w:r>
      <w:r>
        <w:rPr>
          <w:rFonts w:hint="default" w:ascii="Times New Roman" w:hAnsi="Times New Roman" w:eastAsia="方正仿宋_GBK" w:cs="Times New Roman"/>
          <w:color w:val="000000"/>
          <w:kern w:val="0"/>
          <w:sz w:val="32"/>
          <w:szCs w:val="32"/>
          <w:shd w:val="clear" w:color="auto" w:fill="FFFFFF"/>
          <w:lang w:eastAsia="zh-CN"/>
        </w:rPr>
        <w:t>。</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（三）重点绩效评价结果</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shd w:val="clear" w:color="auto" w:fill="FFFFFF"/>
        </w:rPr>
        <w:t>本年度本</w:t>
      </w:r>
      <w:r>
        <w:rPr>
          <w:rFonts w:hint="default" w:ascii="Times New Roman" w:hAnsi="Times New Roman" w:eastAsia="方正仿宋_GBK" w:cs="Times New Roman"/>
          <w:kern w:val="0"/>
          <w:sz w:val="32"/>
          <w:szCs w:val="32"/>
          <w:shd w:val="clear" w:color="auto" w:fill="FFFFFF"/>
          <w:lang w:eastAsia="zh-CN"/>
        </w:rPr>
        <w:t>单位</w:t>
      </w:r>
      <w:r>
        <w:rPr>
          <w:rFonts w:hint="default" w:ascii="Times New Roman" w:hAnsi="Times New Roman" w:eastAsia="方正仿宋_GBK" w:cs="Times New Roman"/>
          <w:kern w:val="0"/>
          <w:sz w:val="32"/>
          <w:szCs w:val="32"/>
          <w:shd w:val="clear" w:color="auto" w:fill="FFFFFF"/>
        </w:rPr>
        <w:t>未开展重点绩效评</w:t>
      </w:r>
      <w:r>
        <w:rPr>
          <w:rFonts w:hint="default" w:ascii="Times New Roman" w:hAnsi="Times New Roman" w:eastAsia="方正仿宋_GBK" w:cs="Times New Roman"/>
          <w:color w:val="000000"/>
          <w:kern w:val="0"/>
          <w:sz w:val="32"/>
          <w:szCs w:val="32"/>
          <w:shd w:val="clear" w:color="auto" w:fill="FFFFFF"/>
        </w:rPr>
        <w:t>价</w:t>
      </w:r>
      <w:r>
        <w:rPr>
          <w:rFonts w:hint="default" w:ascii="Times New Roman" w:hAnsi="Times New Roman" w:eastAsia="方正仿宋_GBK" w:cs="Times New Roman"/>
          <w:color w:val="000000"/>
          <w:kern w:val="0"/>
          <w:sz w:val="24"/>
          <w:szCs w:val="24"/>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六、专业名词解释</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宋体" w:cs="Times New Roman"/>
          <w:kern w:val="0"/>
          <w:sz w:val="24"/>
          <w:szCs w:val="24"/>
        </w:rPr>
      </w:pPr>
      <w:r>
        <w:rPr>
          <w:rStyle w:val="18"/>
          <w:rFonts w:hint="default" w:ascii="Times New Roman" w:hAnsi="Times New Roman" w:eastAsia="方正楷体_GBK" w:cs="Times New Roman"/>
          <w:b w:val="0"/>
          <w:sz w:val="32"/>
          <w:szCs w:val="32"/>
          <w:shd w:val="clear" w:color="auto" w:fill="FFFFFF"/>
        </w:rPr>
        <w:t>（一）财政拨款收入：</w:t>
      </w:r>
      <w:r>
        <w:rPr>
          <w:rFonts w:hint="default" w:ascii="Times New Roman" w:hAnsi="Times New Roman" w:eastAsia="方正仿宋_GBK" w:cs="Times New Roman"/>
          <w:kern w:val="0"/>
          <w:sz w:val="32"/>
          <w:szCs w:val="32"/>
          <w:shd w:val="clear" w:color="auto"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（二）事业收入：</w:t>
      </w:r>
      <w:r>
        <w:rPr>
          <w:rFonts w:hint="default" w:ascii="Times New Roman" w:hAnsi="Times New Roman" w:eastAsia="方正仿宋_GBK" w:cs="Times New Roman"/>
          <w:kern w:val="0"/>
          <w:sz w:val="30"/>
          <w:szCs w:val="30"/>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（三）经营收入：</w:t>
      </w:r>
      <w:r>
        <w:rPr>
          <w:rFonts w:hint="default" w:ascii="Times New Roman" w:hAnsi="Times New Roman" w:eastAsia="方正仿宋_GBK" w:cs="Times New Roman"/>
          <w:kern w:val="0"/>
          <w:sz w:val="30"/>
          <w:szCs w:val="30"/>
          <w:shd w:val="clear" w:color="auto"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（四）其他收入：</w:t>
      </w:r>
      <w:r>
        <w:rPr>
          <w:rFonts w:hint="default" w:ascii="Times New Roman" w:hAnsi="Times New Roman" w:eastAsia="方正仿宋_GBK" w:cs="Times New Roman"/>
          <w:kern w:val="0"/>
          <w:sz w:val="30"/>
          <w:szCs w:val="30"/>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（五）使用非财政拨款结余：</w:t>
      </w:r>
      <w:r>
        <w:rPr>
          <w:rFonts w:hint="default" w:ascii="Times New Roman" w:hAnsi="Times New Roman" w:eastAsia="方正仿宋_GBK" w:cs="Times New Roman"/>
          <w:kern w:val="0"/>
          <w:sz w:val="30"/>
          <w:szCs w:val="30"/>
          <w:shd w:val="clear" w:color="auto"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（六）年初结转和结余：</w:t>
      </w:r>
      <w:r>
        <w:rPr>
          <w:rFonts w:hint="default" w:ascii="Times New Roman" w:hAnsi="Times New Roman" w:eastAsia="方正仿宋_GBK" w:cs="Times New Roman"/>
          <w:kern w:val="0"/>
          <w:sz w:val="30"/>
          <w:szCs w:val="30"/>
          <w:shd w:val="clear" w:color="auto"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（七）结余分配：</w:t>
      </w:r>
      <w:r>
        <w:rPr>
          <w:rFonts w:hint="default" w:ascii="Times New Roman" w:hAnsi="Times New Roman" w:eastAsia="方正仿宋_GBK" w:cs="Times New Roman"/>
          <w:kern w:val="0"/>
          <w:sz w:val="30"/>
          <w:szCs w:val="30"/>
          <w:shd w:val="clear" w:color="auto"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（八）年末结转和结余：</w:t>
      </w:r>
      <w:r>
        <w:rPr>
          <w:rFonts w:hint="default" w:ascii="Times New Roman" w:hAnsi="Times New Roman" w:eastAsia="方正仿宋_GBK" w:cs="Times New Roman"/>
          <w:kern w:val="0"/>
          <w:sz w:val="30"/>
          <w:szCs w:val="30"/>
          <w:shd w:val="clear" w:color="auto" w:fill="FFFFFF"/>
        </w:rPr>
        <w:t>指单位结转下年的基本支出结转、项目支出结转和结余、经营结余。</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（九）基本支出：</w:t>
      </w:r>
      <w:r>
        <w:rPr>
          <w:rFonts w:hint="default" w:ascii="Times New Roman" w:hAnsi="Times New Roman" w:eastAsia="方正仿宋_GBK" w:cs="Times New Roman"/>
          <w:kern w:val="0"/>
          <w:sz w:val="30"/>
          <w:szCs w:val="30"/>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（十）项目支出：</w:t>
      </w:r>
      <w:r>
        <w:rPr>
          <w:rFonts w:hint="default" w:ascii="Times New Roman" w:hAnsi="Times New Roman" w:eastAsia="方正仿宋_GBK" w:cs="Times New Roman"/>
          <w:kern w:val="0"/>
          <w:sz w:val="30"/>
          <w:szCs w:val="30"/>
          <w:shd w:val="clear" w:color="auto" w:fill="FFFFFF"/>
        </w:rPr>
        <w:t>指在基本支出之外为完成特定行政任务和事业发展目标所发生的支出。</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（十一）经营支出：</w:t>
      </w:r>
      <w:r>
        <w:rPr>
          <w:rFonts w:hint="default" w:ascii="Times New Roman" w:hAnsi="Times New Roman" w:eastAsia="方正仿宋_GBK" w:cs="Times New Roman"/>
          <w:kern w:val="0"/>
          <w:sz w:val="30"/>
          <w:szCs w:val="30"/>
          <w:shd w:val="clear" w:color="auto"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（十二）“三公”经费：</w:t>
      </w:r>
      <w:r>
        <w:rPr>
          <w:rFonts w:hint="default" w:ascii="Times New Roman" w:hAnsi="Times New Roman" w:eastAsia="方正仿宋_GBK" w:cs="Times New Roman"/>
          <w:kern w:val="0"/>
          <w:sz w:val="30"/>
          <w:szCs w:val="30"/>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（十三）机关运行经费：</w:t>
      </w:r>
      <w:r>
        <w:rPr>
          <w:rFonts w:hint="default" w:ascii="Times New Roman" w:hAnsi="Times New Roman" w:eastAsia="方正仿宋_GBK" w:cs="Times New Roman"/>
          <w:kern w:val="0"/>
          <w:sz w:val="30"/>
          <w:szCs w:val="30"/>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（十四）工资福利支出（支出经济分类科目类级）：</w:t>
      </w:r>
      <w:r>
        <w:rPr>
          <w:rFonts w:hint="default" w:ascii="Times New Roman" w:hAnsi="Times New Roman" w:eastAsia="方正仿宋_GBK" w:cs="Times New Roman"/>
          <w:kern w:val="0"/>
          <w:sz w:val="30"/>
          <w:szCs w:val="30"/>
          <w:shd w:val="clear" w:color="auto"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0"/>
          <w:sz w:val="30"/>
          <w:szCs w:val="30"/>
          <w:shd w:val="clear" w:color="auto" w:fill="FFFFFF"/>
        </w:rPr>
      </w:pPr>
      <w:r>
        <w:rPr>
          <w:rStyle w:val="18"/>
          <w:rFonts w:hint="default" w:ascii="Times New Roman" w:hAnsi="Times New Roman" w:eastAsia="方正楷体_GBK" w:cs="Times New Roman"/>
          <w:b w:val="0"/>
          <w:sz w:val="32"/>
          <w:szCs w:val="32"/>
          <w:shd w:val="clear" w:color="auto" w:fill="FFFFFF"/>
        </w:rPr>
        <w:t>（十五）商品和服务支出（支出经济分类科目类级）：</w:t>
      </w:r>
      <w:r>
        <w:rPr>
          <w:rFonts w:hint="default" w:ascii="Times New Roman" w:hAnsi="Times New Roman" w:eastAsia="方正仿宋_GBK" w:cs="Times New Roman"/>
          <w:kern w:val="0"/>
          <w:sz w:val="30"/>
          <w:szCs w:val="30"/>
          <w:shd w:val="clear" w:color="auto"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宋体" w:cs="Times New Roman"/>
          <w:kern w:val="0"/>
          <w:sz w:val="24"/>
          <w:szCs w:val="24"/>
        </w:rPr>
      </w:pPr>
      <w:r>
        <w:rPr>
          <w:rStyle w:val="18"/>
          <w:rFonts w:hint="default" w:ascii="Times New Roman" w:hAnsi="Times New Roman" w:eastAsia="方正楷体_GBK" w:cs="Times New Roman"/>
          <w:b w:val="0"/>
          <w:sz w:val="32"/>
          <w:szCs w:val="32"/>
          <w:shd w:val="clear" w:color="auto" w:fill="FFFFFF"/>
        </w:rPr>
        <w:t>（十六）对个人和家庭的补助（支出经济分类科目类级）：</w:t>
      </w:r>
      <w:r>
        <w:rPr>
          <w:rFonts w:hint="default" w:ascii="Times New Roman" w:hAnsi="Times New Roman" w:eastAsia="方正仿宋_GBK" w:cs="Times New Roman"/>
          <w:kern w:val="0"/>
          <w:sz w:val="30"/>
          <w:szCs w:val="30"/>
          <w:shd w:val="clear" w:color="auto" w:fill="FFFFFF"/>
        </w:rPr>
        <w:t>反映用于对个人和家庭的补助支出。</w:t>
      </w:r>
    </w:p>
    <w:p>
      <w:pPr>
        <w:pStyle w:val="1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Style w:val="18"/>
          <w:rFonts w:hint="default" w:ascii="Times New Roman" w:hAnsi="Times New Roman" w:eastAsia="方正楷体_GBK" w:cs="Times New Roman"/>
          <w:b w:val="0"/>
          <w:sz w:val="32"/>
          <w:szCs w:val="32"/>
          <w:shd w:val="clear" w:color="auto" w:fill="FFFFFF"/>
        </w:rPr>
        <w:t>（十七）其他资本性支出（支出经济分类科目类级）：</w:t>
      </w:r>
      <w:r>
        <w:rPr>
          <w:rFonts w:hint="default" w:ascii="Times New Roman" w:hAnsi="Times New Roman" w:eastAsia="方正仿宋_GBK" w:cs="Times New Roman"/>
          <w:kern w:val="0"/>
          <w:sz w:val="30"/>
          <w:szCs w:val="30"/>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七、决算公开联系方式</w:t>
      </w:r>
    </w:p>
    <w:p>
      <w:pPr>
        <w:keepNext w:val="0"/>
        <w:keepLines w:val="0"/>
        <w:pageBreakBefore w:val="0"/>
        <w:widowControl/>
        <w:kinsoku/>
        <w:wordWrap/>
        <w:overflowPunct/>
        <w:topLinePunct w:val="0"/>
        <w:autoSpaceDE w:val="0"/>
        <w:autoSpaceDN/>
        <w:bidi w:val="0"/>
        <w:adjustRightInd/>
        <w:spacing w:beforeAutospacing="0" w:afterAutospacing="0" w:line="560" w:lineRule="exact"/>
        <w:ind w:left="0" w:firstLine="640" w:firstLineChars="200"/>
        <w:jc w:val="both"/>
        <w:textAlignment w:val="auto"/>
        <w:rPr>
          <w:rFonts w:hint="default" w:ascii="Times New Roman" w:hAnsi="Times New Roman" w:eastAsia="宋体" w:cs="Times New Roman"/>
          <w:kern w:val="0"/>
          <w:sz w:val="24"/>
          <w:szCs w:val="24"/>
        </w:rPr>
      </w:pPr>
      <w:r>
        <w:rPr>
          <w:rFonts w:hint="default" w:ascii="Times New Roman" w:hAnsi="Times New Roman" w:eastAsia="方正仿宋_GBK" w:cs="Times New Roman"/>
          <w:color w:val="000000"/>
          <w:kern w:val="0"/>
          <w:sz w:val="32"/>
          <w:szCs w:val="32"/>
        </w:rPr>
        <w:t>本单位决算公开信息反馈和联系方式：023-48662340</w:t>
      </w:r>
    </w:p>
    <w:p>
      <w:pPr>
        <w:rPr>
          <w:rFonts w:hint="default" w:ascii="Times New Roman" w:hAnsi="Times New Roman" w:cs="Times New Roman"/>
          <w:sz w:val="21"/>
          <w:szCs w:val="21"/>
        </w:rPr>
      </w:pPr>
    </w:p>
    <w:sectPr>
      <w:headerReference r:id="rId3" w:type="default"/>
      <w:footerReference r:id="rId4" w:type="default"/>
      <w:pgSz w:w="11907" w:h="16839"/>
      <w:pgMar w:top="2098" w:right="1474" w:bottom="1984" w:left="158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-720090</wp:posOffset>
              </wp:positionV>
              <wp:extent cx="903605" cy="4787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03605" cy="478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56.7pt;height:37.7pt;width:71.15pt;mso-position-horizontal-relative:margin;z-index:251659264;mso-width-relative:page;mso-height-relative:page;" filled="f" stroked="f" coordsize="21600,21600" o:gfxdata="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d/XKK1wAAAAkB&#10;AAAPAAAAAAAAAAEAIAAAACIAAABkcnMvZG93bnJldi54bWxQSwECFAAUAAAACACHTuJAcKB/dhwC&#10;AAATBAAADgAAAAAAAAABACAAAAAmAQAAZHJzL2Uyb0RvYy54bWxQSwUGAAAAAAYABgBZAQAAtAUA&#10;AAAA&#10;">
              <v:fill on="f" focussize="0,0"/>
              <v:stroke on="f" weight="0.5pt"/>
              <v:imagedata o:title=""/>
              <o:lock v:ext="edit" aspectratio="f"/>
              <v:textbox inset="0mm,0mm,0mm,0mm">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C2D11"/>
    <w:multiLevelType w:val="singleLevel"/>
    <w:tmpl w:val="EDFC2D11"/>
    <w:lvl w:ilvl="0" w:tentative="0">
      <w:start w:val="3"/>
      <w:numFmt w:val="chineseCounting"/>
      <w:suff w:val="nothing"/>
      <w:lvlText w:val="（%1）"/>
      <w:lvlJc w:val="left"/>
      <w:rPr>
        <w:rFonts w:hint="eastAsia"/>
      </w:rPr>
    </w:lvl>
  </w:abstractNum>
  <w:abstractNum w:abstractNumId="1">
    <w:nsid w:val="697CD872"/>
    <w:multiLevelType w:val="singleLevel"/>
    <w:tmpl w:val="697CD87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31175F"/>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348F5"/>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6C85F8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B164F9"/>
    <w:rsid w:val="31D84415"/>
    <w:rsid w:val="32285F6F"/>
    <w:rsid w:val="32770556"/>
    <w:rsid w:val="329C0913"/>
    <w:rsid w:val="32AA0460"/>
    <w:rsid w:val="3337290D"/>
    <w:rsid w:val="33E31118"/>
    <w:rsid w:val="33EF7674"/>
    <w:rsid w:val="342D7BC6"/>
    <w:rsid w:val="352930DB"/>
    <w:rsid w:val="354557D5"/>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7E44FC"/>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99D1C68"/>
    <w:rsid w:val="4A263DF2"/>
    <w:rsid w:val="4A6F6675"/>
    <w:rsid w:val="4B135857"/>
    <w:rsid w:val="4B7951CB"/>
    <w:rsid w:val="4B7C315C"/>
    <w:rsid w:val="4DAC4ACA"/>
    <w:rsid w:val="4DBE01D2"/>
    <w:rsid w:val="4F0C6BA3"/>
    <w:rsid w:val="4F186D58"/>
    <w:rsid w:val="4F8379E3"/>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0F05835"/>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D31EEA"/>
    <w:rsid w:val="6C0A5AC5"/>
    <w:rsid w:val="6C560CAE"/>
    <w:rsid w:val="6C576495"/>
    <w:rsid w:val="6D903FF5"/>
    <w:rsid w:val="6DA955B8"/>
    <w:rsid w:val="6DE346AB"/>
    <w:rsid w:val="6DE5391A"/>
    <w:rsid w:val="6E082716"/>
    <w:rsid w:val="6EFD1324"/>
    <w:rsid w:val="6F5A53AC"/>
    <w:rsid w:val="6FAC003D"/>
    <w:rsid w:val="6FE55E12"/>
    <w:rsid w:val="6FFB2E76"/>
    <w:rsid w:val="708F6F7F"/>
    <w:rsid w:val="70D94BD3"/>
    <w:rsid w:val="71C34D91"/>
    <w:rsid w:val="72DB435C"/>
    <w:rsid w:val="72E2613A"/>
    <w:rsid w:val="72F771F4"/>
    <w:rsid w:val="73934AD2"/>
    <w:rsid w:val="750837F0"/>
    <w:rsid w:val="752549FC"/>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D547E704"/>
    <w:rsid w:val="FEEF7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普通(网站) Char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styleId="17">
    <w:name w:val="List Paragraph"/>
    <w:basedOn w:val="1"/>
    <w:qFormat/>
    <w:uiPriority w:val="34"/>
    <w:pPr>
      <w:ind w:firstLine="420" w:firstLineChars="200"/>
    </w:pPr>
  </w:style>
  <w:style w:type="character" w:customStyle="1" w:styleId="18">
    <w:name w:val="26"/>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4001</Words>
  <Characters>22811</Characters>
  <Lines>190</Lines>
  <Paragraphs>53</Paragraphs>
  <TotalTime>1</TotalTime>
  <ScaleCrop>false</ScaleCrop>
  <LinksUpToDate>false</LinksUpToDate>
  <CharactersWithSpaces>26759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2024-11-14T10:36:03Z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BB46EABDBB2749749395447164B066B3_12</vt:lpwstr>
  </property>
</Properties>
</file>