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both"/>
        <w:textAlignment w:val="auto"/>
        <w:rPr>
          <w:rFonts w:hint="default" w:ascii="方正小标宋_GBK" w:hAnsi="方正小标宋_GBK" w:eastAsia="方正小标宋_GBK" w:cs="方正小标宋_GBK"/>
          <w:b w:val="0"/>
          <w:bCs w:val="0"/>
          <w:sz w:val="36"/>
          <w:szCs w:val="36"/>
          <w:lang w:val="en-US" w:eastAsia="zh-CN"/>
        </w:rPr>
      </w:pPr>
    </w:p>
    <w:p>
      <w:pPr>
        <w:pStyle w:val="9"/>
        <w:spacing w:before="0" w:beforeAutospacing="0" w:after="0" w:afterAutospacing="0" w:line="596" w:lineRule="exact"/>
        <w:jc w:val="center"/>
        <w:rPr>
          <w:rFonts w:hint="eastAsia" w:ascii="方正小标宋_GBK" w:hAnsi="方正小标宋_GBK" w:eastAsia="方正小标宋_GBK" w:cs="方正小标宋_GBK"/>
          <w:b w:val="0"/>
          <w:bCs w:val="0"/>
          <w:sz w:val="44"/>
          <w:szCs w:val="44"/>
          <w:lang w:val="en-US" w:eastAsia="zh-CN"/>
        </w:rPr>
      </w:pPr>
      <w:r>
        <w:rPr>
          <w:rFonts w:ascii="方正小标宋_GBK" w:hAnsi="方正小标宋_GBK" w:eastAsia="方正小标宋_GBK" w:cs="方正小标宋_GBK"/>
          <w:b w:val="0"/>
          <w:bCs w:val="0"/>
          <w:sz w:val="44"/>
          <w:szCs w:val="44"/>
        </w:rPr>
        <w:t>重庆市綦江区交通</w:t>
      </w:r>
      <w:r>
        <w:rPr>
          <w:rFonts w:hint="eastAsia" w:ascii="方正小标宋_GBK" w:hAnsi="方正小标宋_GBK" w:eastAsia="方正小标宋_GBK" w:cs="方正小标宋_GBK"/>
          <w:b w:val="0"/>
          <w:bCs w:val="0"/>
          <w:sz w:val="44"/>
          <w:szCs w:val="44"/>
          <w:lang w:eastAsia="zh-CN"/>
        </w:rPr>
        <w:t>运输委员会</w:t>
      </w:r>
    </w:p>
    <w:p>
      <w:pPr>
        <w:pStyle w:val="9"/>
        <w:spacing w:before="0" w:beforeAutospacing="0" w:after="0" w:afterAutospacing="0" w:line="596" w:lineRule="exact"/>
        <w:jc w:val="center"/>
        <w:rPr>
          <w:rFonts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9"/>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9"/>
        <w:rPr>
          <w:rStyle w:val="11"/>
          <w:rFonts w:hint="default" w:ascii="黑体" w:hAnsi="黑体" w:eastAsia="黑体" w:cs="黑体"/>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一、</w:t>
      </w:r>
      <w:r>
        <w:rPr>
          <w:rStyle w:val="11"/>
          <w:rFonts w:hint="eastAsia" w:ascii="方正黑体_GBK" w:hAnsi="方正黑体_GBK" w:eastAsia="方正黑体_GBK" w:cs="方正黑体_GBK"/>
          <w:b w:val="0"/>
          <w:bCs/>
          <w:sz w:val="32"/>
          <w:szCs w:val="32"/>
          <w:shd w:val="clear" w:color="auto" w:fill="FFFFFF"/>
          <w:lang w:eastAsia="zh-CN"/>
        </w:rPr>
        <w:t>部门</w:t>
      </w:r>
      <w:r>
        <w:rPr>
          <w:rStyle w:val="11"/>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420"/>
        <w:textAlignment w:val="auto"/>
        <w:outlineLvl w:val="9"/>
        <w:rPr>
          <w:rStyle w:val="11"/>
          <w:rFonts w:hint="eastAsia" w:ascii="方正楷体_GBK" w:hAnsi="方正楷体_GBK" w:eastAsia="方正楷体_GBK" w:cs="方正楷体_GBK"/>
          <w:b w:val="0"/>
          <w:bCs/>
          <w:color w:val="auto"/>
          <w:sz w:val="32"/>
          <w:szCs w:val="32"/>
          <w:highlight w:val="none"/>
          <w:shd w:val="clear" w:color="auto" w:fill="FFFFFF"/>
        </w:rPr>
      </w:pPr>
      <w:r>
        <w:rPr>
          <w:rStyle w:val="11"/>
          <w:rFonts w:hint="eastAsia" w:ascii="方正楷体_GBK" w:hAnsi="方正楷体_GBK" w:eastAsia="方正楷体_GBK" w:cs="方正楷体_GBK"/>
          <w:b w:val="0"/>
          <w:bCs/>
          <w:color w:val="auto"/>
          <w:sz w:val="32"/>
          <w:szCs w:val="32"/>
          <w:highlight w:val="none"/>
          <w:shd w:val="clear" w:color="auto" w:fill="FFFFFF"/>
        </w:rPr>
        <w:t>（一）职能职责</w:t>
      </w:r>
    </w:p>
    <w:p>
      <w:pPr>
        <w:pStyle w:val="9"/>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76" w:lineRule="exact"/>
        <w:ind w:firstLine="42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ascii="方正仿宋_GBK" w:hAnsi="方正仿宋_GBK" w:eastAsia="方正仿宋_GBK" w:cs="方正仿宋_GBK"/>
          <w:color w:val="auto"/>
          <w:sz w:val="32"/>
          <w:szCs w:val="32"/>
          <w:highlight w:val="none"/>
        </w:rPr>
        <w:t>贯彻执行交通运输法律、法规、规章和方针政策；拟定全区涉及交通运输行业发展的规范性文件、有关实施细则、管理规定和改革方案，并监督执行；负责交通运输经济运行监测，研究交通运输行业发展趋势和重大问题；指导交通运输行业的体制改革。</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eastAsia" w:ascii="方正仿宋_GBK" w:hAnsi="方正仿宋_GBK" w:eastAsia="方正仿宋_GBK" w:cs="方正仿宋_GBK"/>
          <w:color w:val="auto"/>
          <w:sz w:val="32"/>
          <w:szCs w:val="32"/>
          <w:highlight w:val="none"/>
        </w:rPr>
        <w:t>拟订全区综合交通运输发展战略和政策；牵头会同有关部门组织编制综合交通运输体系规划和公路、水路、铁路、民航发展中长期规划，并组织实施；组织编制公路建设、航运发展、港口布局、岸线利用、枢纽站场等专项规划，并组织实施；负责交通重点项目的方案研究，可行性研究报告编制及相关专题论证报告编制；负责综合交通运输统计工作；负责对邮政部门提出的邮政行业发展战略和规划进行衔接平衡。</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3.</w:t>
      </w:r>
      <w:r>
        <w:rPr>
          <w:rFonts w:hint="eastAsia" w:ascii="方正仿宋_GBK" w:hAnsi="方正仿宋_GBK" w:eastAsia="方正仿宋_GBK" w:cs="方正仿宋_GBK"/>
          <w:color w:val="auto"/>
          <w:sz w:val="32"/>
          <w:szCs w:val="32"/>
          <w:highlight w:val="none"/>
        </w:rPr>
        <w:t>负责推进综合交通运输体系建设，统筹规划公路、水路、铁路、民航及邮政行业发展，组织协调公路、水路、铁路、航空和公共客运等多种运输方式和基础设施的配套衔接，优化交通运输结构布局，构建综合交通运输体系，促进各种交通运输方式融合；协调做好高速公路、铁路、民航、邮政、海事、航道、船检、救助、打捞等涉地相关工作。</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single"/>
        </w:rPr>
      </w:pPr>
      <w:r>
        <w:rPr>
          <w:rFonts w:hint="default" w:ascii="Times New Roman" w:hAnsi="Times New Roman" w:eastAsia="方正仿宋_GBK" w:cs="Times New Roman"/>
          <w:color w:val="auto"/>
          <w:sz w:val="32"/>
          <w:szCs w:val="32"/>
          <w:highlight w:val="none"/>
        </w:rPr>
        <w:t>4.</w:t>
      </w:r>
      <w:r>
        <w:rPr>
          <w:rFonts w:hint="eastAsia" w:ascii="方正仿宋_GBK" w:hAnsi="方正仿宋_GBK" w:eastAsia="方正仿宋_GBK" w:cs="方正仿宋_GBK"/>
          <w:color w:val="auto"/>
          <w:sz w:val="32"/>
          <w:szCs w:val="32"/>
          <w:highlight w:val="none"/>
        </w:rPr>
        <w:t>负责全区道路、水路运输市场监管和行业稳定；贯彻执行道路、水路运输行业有关政策、准入制度、技术标准和运营规范，并监督实施；指导水陆客货运输和相关业务（旅客运输、货物运输、客货运输站场经营、机动车驾驶员培训、机动车维修、汽车租赁、营运车船技术、从业人员管理）的管理工作；指导辖区船舶的法定检验。</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5.</w:t>
      </w:r>
      <w:r>
        <w:rPr>
          <w:rFonts w:hint="eastAsia" w:ascii="方正仿宋_GBK" w:hAnsi="方正仿宋_GBK" w:eastAsia="方正仿宋_GBK" w:cs="方正仿宋_GBK"/>
          <w:color w:val="auto"/>
          <w:sz w:val="32"/>
          <w:szCs w:val="32"/>
          <w:highlight w:val="none"/>
        </w:rPr>
        <w:t>负责编制全区交通运输发展专项资金的年度预决算，提出全区公路、水路、铁路、民航等公共基础设施投资规模和方向，根据区政府规定权限审批和核准规划内和年度计划规模内公共基础设施投资项目，并组织实施和监督管理；参与交通建设投融资体制改革和有关政策拟订工作；指导、监督交通运输有关规费政策实施。</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u w:val="single"/>
        </w:rPr>
      </w:pPr>
      <w:r>
        <w:rPr>
          <w:rFonts w:hint="default" w:ascii="Times New Roman" w:hAnsi="Times New Roman" w:eastAsia="方正仿宋_GBK" w:cs="Times New Roman"/>
          <w:color w:val="auto"/>
          <w:sz w:val="32"/>
          <w:szCs w:val="32"/>
          <w:highlight w:val="none"/>
        </w:rPr>
        <w:t>6.</w:t>
      </w:r>
      <w:r>
        <w:rPr>
          <w:rFonts w:hint="eastAsia" w:ascii="方正仿宋_GBK" w:hAnsi="方正仿宋_GBK" w:eastAsia="方正仿宋_GBK" w:cs="方正仿宋_GBK"/>
          <w:color w:val="auto"/>
          <w:sz w:val="32"/>
          <w:szCs w:val="32"/>
          <w:highlight w:val="none"/>
        </w:rPr>
        <w:t>负责统筹协调全区综合交通建设，协调安排项目建设时序；承担全区公路、水运、地方铁路、民航、枢纽站场建设和养护市场监管责任；贯彻执行公路、水运、地方铁路、民航工程建设相关政策、制度和技术标准，并监督实施；指导、协调全区地方公路、水运、地方铁路、民航、枢纽站场交通基础设施建设的工程质量监督管理工作；负责区列养公路的建设、养护、管理工作，指导乡、村道公路的建设、管理、养护工作。</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7.</w:t>
      </w:r>
      <w:r>
        <w:rPr>
          <w:rFonts w:hint="eastAsia" w:ascii="方正仿宋_GBK" w:hAnsi="方正仿宋_GBK" w:eastAsia="方正仿宋_GBK" w:cs="方正仿宋_GBK"/>
          <w:color w:val="auto"/>
          <w:sz w:val="32"/>
          <w:szCs w:val="32"/>
          <w:highlight w:val="none"/>
        </w:rPr>
        <w:t>承担道路运政、水路运政、航道行政、港口行政、地方海事行政、交通工程监督管理、区列养公路路政等行政许可、行政决策职能，指导街镇做好乡村公路行政许可工作；承担交通运输行业深化行政许可制度改革工作；负责监督管理交通运输综合行政执法队伍，负责执法人员培训考核工作；监督指导交通运输综合行政执法工作及重大执法决定的法制审核；组织协调超限超载治理工作；负责交通运输信用体系建设。</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8.</w:t>
      </w:r>
      <w:r>
        <w:rPr>
          <w:rFonts w:hint="eastAsia" w:ascii="方正仿宋_GBK" w:hAnsi="方正仿宋_GBK" w:eastAsia="方正仿宋_GBK" w:cs="方正仿宋_GBK"/>
          <w:color w:val="auto"/>
          <w:sz w:val="32"/>
          <w:szCs w:val="32"/>
          <w:highlight w:val="none"/>
        </w:rPr>
        <w:t>负责交通运输行业安全生产综合监督和应急管理工作；按规定协调全区交通运输领域重大突发公共事件的应急管理和处置；依法组织或参与事故调查处理工作；组织重点、特种、战备、抢险救灾物资，紧急客货运输和重点时段重大交通运输工作；指导交通运输行业应急预案编制与应急体制、机制建设；指导交通运输行业安全教育培训工作；承担区国防动员委员会交通战备办公室工作；指导交通运输行业职业病防治工作；负责职责范围内的平安建设工作。</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9.</w:t>
      </w:r>
      <w:r>
        <w:rPr>
          <w:rFonts w:hint="eastAsia" w:ascii="方正仿宋_GBK" w:hAnsi="方正仿宋_GBK" w:eastAsia="方正仿宋_GBK" w:cs="方正仿宋_GBK"/>
          <w:color w:val="auto"/>
          <w:sz w:val="32"/>
          <w:szCs w:val="32"/>
          <w:highlight w:val="none"/>
        </w:rPr>
        <w:t>负责组织、指导、管理交通运输行业信息化建设，并发布有关信息；统筹指导交通运输行业环境保护和节能减排工作；会同有关部门推进智能交通系统建设，推进交通运输行业科技进步，推广新技术、新工艺和新材料在交通运输行业的应用。</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10.</w:t>
      </w:r>
      <w:r>
        <w:rPr>
          <w:rFonts w:hint="eastAsia" w:ascii="方正仿宋_GBK" w:hAnsi="方正仿宋_GBK" w:eastAsia="方正仿宋_GBK" w:cs="方正仿宋_GBK"/>
          <w:color w:val="auto"/>
          <w:sz w:val="32"/>
          <w:szCs w:val="32"/>
          <w:highlight w:val="none"/>
        </w:rPr>
        <w:t>负责交通运输行业的合作交流工作；指导交通运输行业职业技能培训工作；指导交通运输行业相关协会的工作。</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11.</w:t>
      </w:r>
      <w:r>
        <w:rPr>
          <w:rFonts w:hint="eastAsia" w:ascii="方正仿宋_GBK" w:hAnsi="方正仿宋_GBK" w:eastAsia="方正仿宋_GBK" w:cs="方正仿宋_GBK"/>
          <w:color w:val="auto"/>
          <w:sz w:val="32"/>
          <w:szCs w:val="32"/>
          <w:highlight w:val="none"/>
        </w:rPr>
        <w:t>负责组织指导交通运输行业的招商引资工作。</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12.</w:t>
      </w:r>
      <w:r>
        <w:rPr>
          <w:rFonts w:hint="eastAsia" w:ascii="方正仿宋_GBK" w:hAnsi="方正仿宋_GBK" w:eastAsia="方正仿宋_GBK" w:cs="方正仿宋_GBK"/>
          <w:color w:val="auto"/>
          <w:sz w:val="32"/>
          <w:szCs w:val="32"/>
          <w:highlight w:val="none"/>
        </w:rPr>
        <w:t>负责本系统人才队伍建设。</w:t>
      </w:r>
    </w:p>
    <w:p>
      <w:pPr>
        <w:pStyle w:val="8"/>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lang w:val="en-US" w:eastAsia="zh-CN" w:bidi="ar-SA"/>
        </w:rPr>
      </w:pPr>
      <w:r>
        <w:rPr>
          <w:rFonts w:hint="default" w:ascii="Times New Roman" w:hAnsi="Times New Roman" w:eastAsia="方正仿宋_GBK" w:cs="Times New Roman"/>
          <w:color w:val="auto"/>
          <w:sz w:val="32"/>
          <w:szCs w:val="32"/>
          <w:highlight w:val="none"/>
          <w:lang w:val="en-US" w:eastAsia="zh-CN" w:bidi="ar-SA"/>
        </w:rPr>
        <w:t>13.</w:t>
      </w:r>
      <w:r>
        <w:rPr>
          <w:rFonts w:hint="eastAsia" w:ascii="方正仿宋_GBK" w:hAnsi="方正仿宋_GBK" w:eastAsia="方正仿宋_GBK" w:cs="方正仿宋_GBK"/>
          <w:color w:val="auto"/>
          <w:sz w:val="32"/>
          <w:szCs w:val="32"/>
          <w:highlight w:val="none"/>
          <w:lang w:val="en-US" w:eastAsia="zh-CN" w:bidi="ar-SA"/>
        </w:rPr>
        <w:t>加强交通运输行业发展统筹管理。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76" w:lineRule="exact"/>
        <w:ind w:firstLine="320" w:firstLineChars="100"/>
        <w:jc w:val="both"/>
        <w:textAlignment w:val="auto"/>
        <w:outlineLvl w:val="9"/>
        <w:rPr>
          <w:rFonts w:hint="eastAsia" w:ascii="方正仿宋_GBK" w:hAnsi="方正仿宋_GBK" w:eastAsia="方正仿宋_GBK" w:cs="方正仿宋_GBK"/>
          <w:color w:val="auto"/>
          <w:sz w:val="32"/>
          <w:szCs w:val="32"/>
          <w:highlight w:val="none"/>
          <w:lang w:val="en-US" w:eastAsia="zh-CN" w:bidi="ar-SA"/>
        </w:rPr>
      </w:pPr>
      <w:r>
        <w:rPr>
          <w:rFonts w:hint="eastAsia" w:ascii="方正仿宋_GBK" w:hAnsi="方正仿宋_GBK" w:eastAsia="方正仿宋_GBK" w:cs="方正仿宋_GBK"/>
          <w:color w:val="auto"/>
          <w:sz w:val="32"/>
          <w:szCs w:val="32"/>
          <w:highlight w:val="none"/>
          <w:lang w:val="en-US" w:eastAsia="zh-CN" w:bidi="ar-SA"/>
        </w:rPr>
        <w:t xml:space="preserve">  </w:t>
      </w:r>
      <w:r>
        <w:rPr>
          <w:rFonts w:hint="default" w:ascii="Times New Roman" w:hAnsi="Times New Roman" w:eastAsia="方正仿宋_GBK" w:cs="Times New Roman"/>
          <w:color w:val="auto"/>
          <w:sz w:val="32"/>
          <w:szCs w:val="32"/>
          <w:highlight w:val="none"/>
          <w:lang w:val="en-US" w:eastAsia="zh-CN" w:bidi="ar-SA"/>
        </w:rPr>
        <w:t>14.</w:t>
      </w:r>
      <w:r>
        <w:rPr>
          <w:rFonts w:hint="eastAsia" w:ascii="方正仿宋_GBK" w:hAnsi="方正仿宋_GBK" w:eastAsia="方正仿宋_GBK" w:cs="方正仿宋_GBK"/>
          <w:color w:val="auto"/>
          <w:sz w:val="32"/>
          <w:szCs w:val="32"/>
          <w:highlight w:val="none"/>
          <w:lang w:val="en-US" w:eastAsia="zh-CN" w:bidi="ar-SA"/>
        </w:rPr>
        <w:t>负责指导推动道路运输领域网约车司机、货车司机群体党建工作。</w:t>
      </w:r>
    </w:p>
    <w:p>
      <w:pPr>
        <w:keepNext w:val="0"/>
        <w:keepLines w:val="0"/>
        <w:pageBreakBefore w:val="0"/>
        <w:widowControl/>
        <w:suppressLineNumbers w:val="0"/>
        <w:kinsoku/>
        <w:wordWrap/>
        <w:overflowPunct/>
        <w:topLinePunct w:val="0"/>
        <w:autoSpaceDN/>
        <w:bidi w:val="0"/>
        <w:adjustRightInd/>
        <w:spacing w:beforeAutospacing="0" w:afterAutospacing="0" w:line="576" w:lineRule="exact"/>
        <w:ind w:firstLine="640" w:firstLineChars="200"/>
        <w:jc w:val="both"/>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default" w:ascii="Times New Roman" w:hAnsi="Times New Roman" w:eastAsia="方正仿宋_GBK" w:cs="Times New Roman"/>
          <w:color w:val="auto"/>
          <w:sz w:val="32"/>
          <w:szCs w:val="32"/>
          <w:highlight w:val="none"/>
          <w:lang w:val="en-US" w:eastAsia="zh-CN"/>
        </w:rPr>
        <w:t>5</w:t>
      </w:r>
      <w:r>
        <w:rPr>
          <w:rFonts w:hint="default" w:ascii="Times New Roman" w:hAnsi="Times New Roman" w:eastAsia="方正仿宋_GBK" w:cs="Times New Roman"/>
          <w:color w:val="auto"/>
          <w:sz w:val="32"/>
          <w:szCs w:val="32"/>
          <w:highlight w:val="none"/>
        </w:rPr>
        <w:t>.</w:t>
      </w:r>
      <w:r>
        <w:rPr>
          <w:rFonts w:hint="eastAsia" w:ascii="方正仿宋_GBK" w:hAnsi="方正仿宋_GBK" w:eastAsia="方正仿宋_GBK" w:cs="方正仿宋_GBK"/>
          <w:color w:val="auto"/>
          <w:sz w:val="32"/>
          <w:szCs w:val="32"/>
          <w:highlight w:val="none"/>
        </w:rPr>
        <w:t>完成区委、区政府交办的其他任务。</w:t>
      </w:r>
    </w:p>
    <w:p>
      <w:pPr>
        <w:pStyle w:val="9"/>
        <w:keepNext w:val="0"/>
        <w:keepLines w:val="0"/>
        <w:pageBreakBefore w:val="0"/>
        <w:widowControl/>
        <w:shd w:val="clear" w:color="auto" w:fill="FFFFFF"/>
        <w:kinsoku/>
        <w:wordWrap/>
        <w:overflowPunct/>
        <w:topLinePunct w:val="0"/>
        <w:autoSpaceDN/>
        <w:bidi w:val="0"/>
        <w:adjustRightInd/>
        <w:spacing w:beforeAutospacing="0" w:afterAutospacing="0" w:line="576" w:lineRule="exact"/>
        <w:ind w:firstLine="420"/>
        <w:textAlignment w:val="auto"/>
        <w:outlineLvl w:val="9"/>
        <w:rPr>
          <w:rStyle w:val="11"/>
          <w:rFonts w:hint="eastAsia" w:ascii="方正楷体_GBK" w:hAnsi="方正楷体_GBK" w:eastAsia="方正楷体_GBK" w:cs="方正楷体_GBK"/>
          <w:color w:val="auto"/>
          <w:sz w:val="32"/>
          <w:szCs w:val="32"/>
          <w:highlight w:val="none"/>
          <w:shd w:val="clear" w:color="auto" w:fill="FFFFFF"/>
        </w:rPr>
      </w:pPr>
      <w:r>
        <w:rPr>
          <w:rStyle w:val="11"/>
          <w:rFonts w:hint="eastAsia" w:ascii="方正楷体_GBK" w:hAnsi="方正楷体_GBK" w:eastAsia="方正楷体_GBK" w:cs="方正楷体_GBK"/>
          <w:b w:val="0"/>
          <w:bCs/>
          <w:color w:val="auto"/>
          <w:sz w:val="32"/>
          <w:szCs w:val="32"/>
          <w:highlight w:val="none"/>
          <w:shd w:val="clear" w:color="auto" w:fill="FFFFFF"/>
        </w:rPr>
        <w:t>（二）机构设置</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重庆市綦江区交通</w:t>
      </w:r>
      <w:r>
        <w:rPr>
          <w:rFonts w:hint="eastAsia" w:ascii="方正仿宋_GBK" w:hAnsi="方正仿宋_GBK" w:eastAsia="方正仿宋_GBK" w:cs="方正仿宋_GBK"/>
          <w:color w:val="auto"/>
          <w:sz w:val="32"/>
          <w:szCs w:val="32"/>
          <w:highlight w:val="none"/>
          <w:lang w:eastAsia="zh-CN"/>
        </w:rPr>
        <w:t>运输委员会，</w:t>
      </w:r>
      <w:r>
        <w:rPr>
          <w:rFonts w:hint="eastAsia" w:ascii="方正仿宋_GBK" w:hAnsi="方正仿宋_GBK" w:eastAsia="方正仿宋_GBK" w:cs="方正仿宋_GBK"/>
          <w:color w:val="auto"/>
          <w:sz w:val="32"/>
          <w:szCs w:val="32"/>
          <w:highlight w:val="none"/>
        </w:rPr>
        <w:t>下</w:t>
      </w:r>
      <w:r>
        <w:rPr>
          <w:rFonts w:hint="eastAsia" w:ascii="方正仿宋_GBK" w:hAnsi="方正仿宋_GBK" w:eastAsia="方正仿宋_GBK" w:cs="方正仿宋_GBK"/>
          <w:color w:val="auto"/>
          <w:sz w:val="32"/>
          <w:szCs w:val="32"/>
          <w:highlight w:val="none"/>
          <w:lang w:eastAsia="zh-CN"/>
        </w:rPr>
        <w:t>设</w:t>
      </w:r>
      <w:r>
        <w:rPr>
          <w:rFonts w:hint="eastAsia" w:ascii="方正仿宋_GBK" w:hAnsi="方正仿宋_GBK" w:eastAsia="方正仿宋_GBK" w:cs="方正仿宋_GBK"/>
          <w:color w:val="auto"/>
          <w:sz w:val="32"/>
          <w:szCs w:val="32"/>
          <w:highlight w:val="none"/>
        </w:rPr>
        <w:t>5个二级预算单位，分别是：</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1.</w:t>
      </w:r>
      <w:r>
        <w:rPr>
          <w:rFonts w:hint="eastAsia" w:ascii="方正仿宋_GBK" w:hAnsi="方正仿宋_GBK" w:eastAsia="方正仿宋_GBK" w:cs="方正仿宋_GBK"/>
          <w:color w:val="auto"/>
          <w:sz w:val="32"/>
          <w:szCs w:val="32"/>
          <w:highlight w:val="none"/>
        </w:rPr>
        <w:t>区交通运输综合行政执法支队：以区交通</w:t>
      </w:r>
      <w:r>
        <w:rPr>
          <w:rFonts w:hint="eastAsia" w:ascii="方正仿宋_GBK" w:hAnsi="方正仿宋_GBK" w:eastAsia="方正仿宋_GBK" w:cs="方正仿宋_GBK"/>
          <w:color w:val="auto"/>
          <w:sz w:val="32"/>
          <w:szCs w:val="32"/>
          <w:highlight w:val="none"/>
          <w:lang w:eastAsia="zh-CN"/>
        </w:rPr>
        <w:t>运输委员会</w:t>
      </w:r>
      <w:r>
        <w:rPr>
          <w:rFonts w:hint="eastAsia" w:ascii="方正仿宋_GBK" w:hAnsi="方正仿宋_GBK" w:eastAsia="方正仿宋_GBK" w:cs="方正仿宋_GBK"/>
          <w:color w:val="auto"/>
          <w:sz w:val="32"/>
          <w:szCs w:val="32"/>
          <w:highlight w:val="none"/>
        </w:rPr>
        <w:t>的名义，统一行使交通运输领域行政处罚权及与之相关的行政检查、行政强制权等执法职能。</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2.</w:t>
      </w:r>
      <w:r>
        <w:rPr>
          <w:rFonts w:hint="eastAsia" w:ascii="方正仿宋_GBK" w:hAnsi="方正仿宋_GBK" w:eastAsia="方正仿宋_GBK" w:cs="方正仿宋_GBK"/>
          <w:color w:val="auto"/>
          <w:sz w:val="32"/>
          <w:szCs w:val="32"/>
          <w:highlight w:val="none"/>
        </w:rPr>
        <w:t>区道路运输事务中心：承担道路运输管理相关辅助性、事务性、技术性等具体工作。</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3.</w:t>
      </w:r>
      <w:r>
        <w:rPr>
          <w:rFonts w:hint="eastAsia" w:ascii="方正仿宋_GBK" w:hAnsi="方正仿宋_GBK" w:eastAsia="方正仿宋_GBK" w:cs="方正仿宋_GBK"/>
          <w:color w:val="auto"/>
          <w:sz w:val="32"/>
          <w:szCs w:val="32"/>
          <w:highlight w:val="none"/>
        </w:rPr>
        <w:t>区公路事务中心：承担公路管理相关辅助性、事务性、技术性等具体工作，不再承担村道的建设、养护、管理职能职责。</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rPr>
      </w:pPr>
      <w:r>
        <w:rPr>
          <w:rFonts w:hint="default" w:ascii="Times New Roman" w:hAnsi="Times New Roman" w:eastAsia="方正仿宋_GBK" w:cs="Times New Roman"/>
          <w:color w:val="auto"/>
          <w:sz w:val="32"/>
          <w:szCs w:val="32"/>
          <w:highlight w:val="none"/>
        </w:rPr>
        <w:t>4.</w:t>
      </w:r>
      <w:r>
        <w:rPr>
          <w:rFonts w:hint="eastAsia" w:ascii="方正仿宋_GBK" w:hAnsi="方正仿宋_GBK" w:eastAsia="方正仿宋_GBK" w:cs="方正仿宋_GBK"/>
          <w:color w:val="auto"/>
          <w:sz w:val="32"/>
          <w:szCs w:val="32"/>
          <w:highlight w:val="none"/>
        </w:rPr>
        <w:t>区港航海事事务中心：承担港口、航道、水路运输、地方海事等管理相关辅助性、事务性、技术性等具体工作。</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default" w:ascii="Times New Roman" w:hAnsi="Times New Roman" w:eastAsia="方正仿宋_GBK" w:cs="Times New Roman"/>
          <w:color w:val="auto"/>
          <w:sz w:val="32"/>
          <w:szCs w:val="32"/>
          <w:highlight w:val="none"/>
        </w:rPr>
        <w:t>5.</w:t>
      </w:r>
      <w:r>
        <w:rPr>
          <w:rFonts w:hint="eastAsia" w:ascii="方正仿宋_GBK" w:hAnsi="方正仿宋_GBK" w:eastAsia="方正仿宋_GBK" w:cs="方正仿宋_GBK"/>
          <w:color w:val="000000" w:themeColor="text1"/>
          <w:sz w:val="32"/>
          <w:szCs w:val="32"/>
          <w:shd w:val="clear" w:color="auto" w:fill="FFFFFF"/>
          <w:lang w:eastAsia="zh-CN"/>
        </w:rPr>
        <w:t>区交通运输工程建设管理中心：承担全区交通运输工程项目管理的相关辅助性、事务性、技术性等具体工作。</w:t>
      </w:r>
    </w:p>
    <w:p>
      <w:pPr>
        <w:pStyle w:val="2"/>
        <w:keepNext w:val="0"/>
        <w:keepLines w:val="0"/>
        <w:pageBreakBefore w:val="0"/>
        <w:widowControl/>
        <w:kinsoku/>
        <w:wordWrap/>
        <w:overflowPunct/>
        <w:topLinePunct w:val="0"/>
        <w:autoSpaceDN/>
        <w:bidi w:val="0"/>
        <w:adjustRightInd/>
        <w:spacing w:beforeAutospacing="0" w:afterAutospacing="0" w:line="576" w:lineRule="exact"/>
        <w:textAlignment w:val="auto"/>
        <w:outlineLvl w:val="9"/>
        <w:rPr>
          <w:rFonts w:hint="eastAsia" w:ascii="方正仿宋_GBK" w:hAnsi="方正仿宋_GBK" w:eastAsia="方正仿宋_GBK" w:cs="方正仿宋_GBK"/>
          <w:sz w:val="32"/>
          <w:szCs w:val="32"/>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9"/>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二、</w:t>
      </w:r>
      <w:r>
        <w:rPr>
          <w:rStyle w:val="11"/>
          <w:rFonts w:hint="eastAsia" w:ascii="方正黑体_GBK" w:hAnsi="方正黑体_GBK" w:eastAsia="方正黑体_GBK" w:cs="方正黑体_GBK"/>
          <w:b w:val="0"/>
          <w:bCs/>
          <w:sz w:val="32"/>
          <w:szCs w:val="32"/>
          <w:shd w:val="clear" w:color="auto" w:fill="FFFFFF"/>
          <w:lang w:eastAsia="zh-CN"/>
        </w:rPr>
        <w:t>部门</w:t>
      </w:r>
      <w:r>
        <w:rPr>
          <w:rStyle w:val="11"/>
          <w:rFonts w:hint="eastAsia" w:ascii="方正黑体_GBK" w:hAnsi="方正黑体_GBK" w:eastAsia="方正黑体_GBK" w:cs="方正黑体_GBK"/>
          <w:b w:val="0"/>
          <w:bCs/>
          <w:sz w:val="32"/>
          <w:szCs w:val="32"/>
          <w:shd w:val="clear" w:color="auto" w:fill="FFFFFF"/>
        </w:rPr>
        <w:t>决算</w:t>
      </w:r>
      <w:r>
        <w:rPr>
          <w:rStyle w:val="11"/>
          <w:rFonts w:hint="eastAsia" w:ascii="方正黑体_GBK" w:hAnsi="方正黑体_GBK" w:eastAsia="方正黑体_GBK" w:cs="方正黑体_GBK"/>
          <w:b w:val="0"/>
          <w:bCs/>
          <w:sz w:val="32"/>
          <w:szCs w:val="32"/>
          <w:shd w:val="clear" w:color="auto" w:fill="FFFFFF"/>
          <w:lang w:eastAsia="zh-CN"/>
        </w:rPr>
        <w:t>收支</w:t>
      </w:r>
      <w:r>
        <w:rPr>
          <w:rStyle w:val="11"/>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54230.86万元。收、支与2023年度相比，增加5319.47万元，增长10.9%，主要原因是区财政本年度安排了隐债化解资金</w:t>
      </w:r>
      <w:r>
        <w:rPr>
          <w:rFonts w:hint="eastAsia" w:ascii="方正仿宋_GBK" w:hAnsi="方正仿宋_GBK" w:eastAsia="方正仿宋_GBK" w:cs="方正仿宋_GBK"/>
          <w:sz w:val="32"/>
          <w:szCs w:val="32"/>
          <w:shd w:val="clear" w:color="auto" w:fill="FFFFFF"/>
          <w:lang w:eastAsia="zh-CN"/>
        </w:rPr>
        <w:t>及增加了护栏材料采购安装项目，</w:t>
      </w:r>
      <w:r>
        <w:rPr>
          <w:rFonts w:hint="eastAsia" w:ascii="方正仿宋_GBK" w:hAnsi="方正仿宋_GBK" w:eastAsia="方正仿宋_GBK" w:cs="方正仿宋_GBK"/>
          <w:sz w:val="32"/>
          <w:szCs w:val="32"/>
          <w:shd w:val="clear" w:color="auto" w:fill="FFFFFF"/>
        </w:rPr>
        <w:t>造成今年的建设投入有所增加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11"/>
          <w:rFonts w:hint="default" w:ascii="Times New Roman" w:hAnsi="Times New Roman" w:eastAsia="方正仿宋_GBK" w:cs="Times New Roman"/>
          <w:b w:val="0"/>
          <w:bCs/>
          <w:sz w:val="32"/>
          <w:szCs w:val="32"/>
          <w:shd w:val="clear" w:color="auto" w:fill="FFFFFF"/>
          <w:lang w:val="en-US" w:eastAsia="zh-CN"/>
        </w:rPr>
        <w:t>1</w:t>
      </w:r>
      <w:r>
        <w:rPr>
          <w:rStyle w:val="11"/>
          <w:rFonts w:hint="default" w:ascii="Times New Roman" w:hAnsi="Times New Roman" w:eastAsia="方正仿宋_GBK" w:cs="Times New Roman"/>
          <w:b w:val="0"/>
          <w:bCs/>
          <w:sz w:val="32"/>
          <w:szCs w:val="32"/>
          <w:shd w:val="clear" w:color="auto" w:fill="FFFFFF"/>
        </w:rPr>
        <w:t>.</w:t>
      </w:r>
      <w:r>
        <w:rPr>
          <w:rStyle w:val="11"/>
          <w:rFonts w:hint="eastAsia" w:ascii="方正仿宋_GBK" w:hAnsi="方正仿宋_GBK" w:eastAsia="方正仿宋_GBK" w:cs="方正仿宋_GBK"/>
          <w:b w:val="0"/>
          <w:bCs/>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2024年度收入合计49550.10万元，与2023年度相比，增加687.04万元，增长1.4%，主要原因是</w:t>
      </w:r>
      <w:r>
        <w:rPr>
          <w:rFonts w:hint="eastAsia" w:ascii="方正仿宋_GBK" w:hAnsi="方正仿宋_GBK" w:eastAsia="方正仿宋_GBK" w:cs="方正仿宋_GBK"/>
          <w:sz w:val="32"/>
          <w:szCs w:val="32"/>
          <w:shd w:val="clear" w:color="auto" w:fill="FFFFFF"/>
          <w:lang w:eastAsia="zh-CN"/>
        </w:rPr>
        <w:t>区公路事务中心增加了护栏材料采购及安装项目。</w:t>
      </w:r>
      <w:r>
        <w:rPr>
          <w:rFonts w:hint="eastAsia" w:ascii="方正仿宋_GBK" w:hAnsi="方正仿宋_GBK" w:eastAsia="方正仿宋_GBK" w:cs="方正仿宋_GBK"/>
          <w:sz w:val="32"/>
          <w:szCs w:val="32"/>
          <w:shd w:val="clear" w:color="auto" w:fill="FFFFFF"/>
        </w:rPr>
        <w:t>其中：财政拨款收入49550.10万元，占100.0%；事业收入0.00万元，占0.0%；经营收入0.00万元，占0.0%；其他收入0.00万元，占0.0%。此外，使用非财政拨款结余（含专用结余）0.00万元，年初结转和结余4680.76万元。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仿宋_GB2312" w:hAnsi="仿宋_GB2312" w:eastAsia="仿宋_GB2312" w:cs="仿宋_GB2312"/>
          <w:sz w:val="32"/>
          <w:szCs w:val="32"/>
          <w:shd w:val="clear" w:color="auto" w:fill="FFFFFF"/>
        </w:rPr>
      </w:pPr>
      <w:r>
        <w:rPr>
          <w:rStyle w:val="11"/>
          <w:rFonts w:hint="default" w:ascii="Times New Roman" w:hAnsi="Times New Roman" w:eastAsia="方正仿宋_GBK" w:cs="Times New Roman"/>
          <w:b w:val="0"/>
          <w:bCs/>
          <w:sz w:val="32"/>
          <w:szCs w:val="32"/>
          <w:shd w:val="clear" w:color="auto" w:fill="FFFFFF"/>
          <w:lang w:val="en-US" w:eastAsia="zh-CN"/>
        </w:rPr>
        <w:t>2</w:t>
      </w:r>
      <w:r>
        <w:rPr>
          <w:rStyle w:val="11"/>
          <w:rFonts w:hint="default" w:ascii="Times New Roman" w:hAnsi="Times New Roman" w:eastAsia="方正仿宋_GBK" w:cs="Times New Roman"/>
          <w:b w:val="0"/>
          <w:bCs/>
          <w:sz w:val="32"/>
          <w:szCs w:val="32"/>
          <w:shd w:val="clear" w:color="auto" w:fill="FFFFFF"/>
        </w:rPr>
        <w:t>.</w:t>
      </w:r>
      <w:r>
        <w:rPr>
          <w:rStyle w:val="11"/>
          <w:rFonts w:hint="eastAsia" w:ascii="方正仿宋_GBK" w:hAnsi="方正仿宋_GBK" w:eastAsia="方正仿宋_GBK" w:cs="方正仿宋_GBK"/>
          <w:b w:val="0"/>
          <w:bCs/>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2024年度支出合计54230.86万元，与2023年度相比，增加5319.47万元，增长10.9%，主要原因是区财政本年度安排了隐债化解资金</w:t>
      </w:r>
      <w:r>
        <w:rPr>
          <w:rFonts w:hint="eastAsia" w:ascii="方正仿宋_GBK" w:hAnsi="方正仿宋_GBK" w:eastAsia="方正仿宋_GBK" w:cs="方正仿宋_GBK"/>
          <w:sz w:val="32"/>
          <w:szCs w:val="32"/>
          <w:shd w:val="clear" w:color="auto" w:fill="FFFFFF"/>
          <w:lang w:eastAsia="zh-CN"/>
        </w:rPr>
        <w:t>及增加了护栏材料采购安装项目，</w:t>
      </w:r>
      <w:r>
        <w:rPr>
          <w:rFonts w:hint="eastAsia" w:ascii="方正仿宋_GBK" w:hAnsi="方正仿宋_GBK" w:eastAsia="方正仿宋_GBK" w:cs="方正仿宋_GBK"/>
          <w:sz w:val="32"/>
          <w:szCs w:val="32"/>
          <w:shd w:val="clear" w:color="auto" w:fill="FFFFFF"/>
        </w:rPr>
        <w:t>造成今年的建设投入有所增加。其中：基本支出8241.20万元，占15.2%；项目支出45989.66万元，占84.8%；经营支出</w:t>
      </w:r>
      <w:r>
        <w:rPr>
          <w:rFonts w:hint="eastAsia" w:ascii="方正仿宋_GBK" w:hAnsi="方正仿宋_GBK" w:eastAsia="方正仿宋_GBK" w:cs="方正仿宋_GBK"/>
          <w:sz w:val="32"/>
          <w:szCs w:val="32"/>
        </w:rPr>
        <w:t>0.00</w:t>
      </w:r>
      <w:r>
        <w:rPr>
          <w:rFonts w:hint="eastAsia" w:ascii="方正仿宋_GBK" w:hAnsi="方正仿宋_GBK" w:eastAsia="方正仿宋_GBK" w:cs="方正仿宋_GBK"/>
          <w:sz w:val="32"/>
          <w:szCs w:val="32"/>
          <w:shd w:val="clear" w:color="auto" w:fill="FFFFFF"/>
        </w:rPr>
        <w:t>万元，占0.0%。此外，结余分配0.00万元。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lang w:val="en-US" w:eastAsia="zh-CN"/>
        </w:rPr>
      </w:pPr>
      <w:r>
        <w:rPr>
          <w:rStyle w:val="11"/>
          <w:rFonts w:hint="default" w:ascii="Times New Roman" w:hAnsi="Times New Roman" w:eastAsia="方正仿宋_GBK" w:cs="Times New Roman"/>
          <w:b w:val="0"/>
          <w:bCs/>
          <w:sz w:val="32"/>
          <w:szCs w:val="32"/>
          <w:shd w:val="clear" w:color="auto" w:fill="FFFFFF"/>
          <w:lang w:val="en-US" w:eastAsia="zh-CN"/>
        </w:rPr>
        <w:t>3</w:t>
      </w:r>
      <w:r>
        <w:rPr>
          <w:rStyle w:val="11"/>
          <w:rFonts w:hint="default" w:ascii="Times New Roman" w:hAnsi="Times New Roman" w:eastAsia="方正仿宋_GBK" w:cs="Times New Roman"/>
          <w:b w:val="0"/>
          <w:bCs/>
          <w:sz w:val="32"/>
          <w:szCs w:val="32"/>
          <w:shd w:val="clear" w:color="auto" w:fill="FFFFFF"/>
        </w:rPr>
        <w:t>.</w:t>
      </w:r>
      <w:r>
        <w:rPr>
          <w:rStyle w:val="11"/>
          <w:rFonts w:hint="eastAsia" w:ascii="方正仿宋_GBK" w:hAnsi="方正仿宋_GBK" w:eastAsia="方正仿宋_GBK" w:cs="方正仿宋_GBK"/>
          <w:b w:val="0"/>
          <w:bCs/>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2024年度年末结转和结余0.00万元，与2023年度相比，无增减，主要原因是</w:t>
      </w:r>
      <w:r>
        <w:rPr>
          <w:rFonts w:hint="eastAsia" w:ascii="方正仿宋_GBK" w:hAnsi="方正仿宋_GBK" w:eastAsia="方正仿宋_GBK" w:cs="方正仿宋_GBK"/>
          <w:sz w:val="32"/>
          <w:szCs w:val="32"/>
          <w:shd w:val="clear" w:color="auto" w:fill="FFFFFF"/>
          <w:lang w:eastAsia="zh-CN"/>
        </w:rPr>
        <w:t>财政年末对结转结余指标进行收回。</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keepNext w:val="0"/>
        <w:keepLines w:val="0"/>
        <w:pageBreakBefore w:val="0"/>
        <w:widowControl/>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2024年度财政拨款收、支总计均为54230.86万元。与2023年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相比，财政拨款收、支总计各增加5319.47万元，增长10.9%。主要原因是区财政本年度安排了隐债化解资金</w:t>
      </w:r>
      <w:r>
        <w:rPr>
          <w:rFonts w:hint="eastAsia" w:ascii="方正仿宋_GBK" w:hAnsi="方正仿宋_GBK" w:eastAsia="方正仿宋_GBK" w:cs="方正仿宋_GBK"/>
          <w:sz w:val="32"/>
          <w:szCs w:val="32"/>
          <w:shd w:val="clear" w:color="auto" w:fill="FFFFFF"/>
          <w:lang w:eastAsia="zh-CN"/>
        </w:rPr>
        <w:t>及增加了护栏材料采购安装项目，</w:t>
      </w:r>
      <w:r>
        <w:rPr>
          <w:rFonts w:hint="eastAsia" w:ascii="方正仿宋_GBK" w:hAnsi="方正仿宋_GBK" w:eastAsia="方正仿宋_GBK" w:cs="方正仿宋_GBK"/>
          <w:sz w:val="32"/>
          <w:szCs w:val="32"/>
          <w:shd w:val="clear" w:color="auto" w:fill="FFFFFF"/>
        </w:rPr>
        <w:t>造成今年的建设投入有所增加</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left="0" w:leftChars="0"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rPr>
      </w:pPr>
      <w:r>
        <w:rPr>
          <w:rStyle w:val="11"/>
          <w:rFonts w:hint="default" w:ascii="Times New Roman" w:hAnsi="Times New Roman" w:eastAsia="方正仿宋_GBK" w:cs="Times New Roman"/>
          <w:b w:val="0"/>
          <w:bCs/>
          <w:sz w:val="32"/>
          <w:szCs w:val="32"/>
          <w:shd w:val="clear" w:color="auto" w:fill="FFFFFF"/>
        </w:rPr>
        <w:t>1.</w:t>
      </w:r>
      <w:r>
        <w:rPr>
          <w:rStyle w:val="11"/>
          <w:rFonts w:hint="eastAsia" w:ascii="方正仿宋_GBK" w:hAnsi="方正仿宋_GBK" w:eastAsia="方正仿宋_GBK" w:cs="方正仿宋_GBK"/>
          <w:b w:val="0"/>
          <w:bCs/>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2024年度一般公共预算财政拨款收入31219.89万元，与2023年度相比，减少9818.76万元，下降23.9%。</w:t>
      </w:r>
      <w:r>
        <w:rPr>
          <w:rFonts w:hint="eastAsia" w:ascii="方正仿宋_GBK" w:hAnsi="方正仿宋_GBK" w:eastAsia="方正仿宋_GBK" w:cs="方正仿宋_GBK"/>
          <w:color w:val="auto"/>
          <w:sz w:val="32"/>
          <w:szCs w:val="32"/>
          <w:shd w:val="clear" w:color="auto" w:fill="FFFFFF"/>
        </w:rPr>
        <w:t>主要原因是2023</w:t>
      </w:r>
      <w:r>
        <w:rPr>
          <w:rFonts w:hint="eastAsia" w:ascii="方正仿宋_GBK" w:hAnsi="方正仿宋_GBK" w:eastAsia="方正仿宋_GBK" w:cs="方正仿宋_GBK"/>
          <w:color w:val="auto"/>
          <w:sz w:val="32"/>
          <w:szCs w:val="32"/>
          <w:shd w:val="clear" w:color="auto" w:fill="FFFFFF"/>
          <w:lang w:eastAsia="zh-CN"/>
        </w:rPr>
        <w:t>年下达的车购税资金增加，</w:t>
      </w:r>
      <w:r>
        <w:rPr>
          <w:rFonts w:hint="eastAsia" w:ascii="方正仿宋_GBK" w:hAnsi="方正仿宋_GBK" w:eastAsia="方正仿宋_GBK" w:cs="方正仿宋_GBK"/>
          <w:color w:val="auto"/>
          <w:sz w:val="32"/>
          <w:szCs w:val="32"/>
          <w:shd w:val="clear" w:color="auto" w:fill="FFFFFF"/>
        </w:rPr>
        <w:t>因此2024年</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较2023年减少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较年初预算数减少4513.34万元，下降12.6%。主要原因是</w:t>
      </w:r>
      <w:r>
        <w:rPr>
          <w:rFonts w:hint="eastAsia" w:ascii="方正仿宋_GBK" w:hAnsi="方正仿宋_GBK" w:eastAsia="方正仿宋_GBK" w:cs="方正仿宋_GBK"/>
          <w:sz w:val="32"/>
          <w:szCs w:val="32"/>
          <w:shd w:val="clear" w:color="auto" w:fill="FFFFFF"/>
          <w:lang w:eastAsia="zh-CN"/>
        </w:rPr>
        <w:t>部分项目未完工结算。</w:t>
      </w:r>
      <w:r>
        <w:rPr>
          <w:rFonts w:hint="eastAsia" w:ascii="方正仿宋_GBK" w:hAnsi="方正仿宋_GBK" w:eastAsia="方正仿宋_GBK" w:cs="方正仿宋_GBK"/>
          <w:sz w:val="32"/>
          <w:szCs w:val="32"/>
          <w:shd w:val="clear" w:color="auto" w:fill="FFFFFF"/>
        </w:rPr>
        <w:t>此外，年初财政拨款结转和结余130.62万元。</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rPr>
      </w:pPr>
      <w:r>
        <w:rPr>
          <w:rStyle w:val="11"/>
          <w:rFonts w:hint="default" w:ascii="Times New Roman" w:hAnsi="Times New Roman" w:eastAsia="方正仿宋_GBK" w:cs="Times New Roman"/>
          <w:b w:val="0"/>
          <w:bCs/>
          <w:sz w:val="32"/>
          <w:szCs w:val="32"/>
          <w:shd w:val="clear" w:color="auto" w:fill="FFFFFF"/>
        </w:rPr>
        <w:t>2.</w:t>
      </w:r>
      <w:r>
        <w:rPr>
          <w:rStyle w:val="11"/>
          <w:rFonts w:hint="eastAsia" w:ascii="方正仿宋_GBK" w:hAnsi="方正仿宋_GBK" w:eastAsia="方正仿宋_GBK" w:cs="方正仿宋_GBK"/>
          <w:b w:val="0"/>
          <w:bCs/>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2024年度一般公共预算财政拨款支出31350.51万元，与2023年度相比，减少9736.46万元，下降23.7%。</w:t>
      </w:r>
      <w:r>
        <w:rPr>
          <w:rFonts w:hint="eastAsia" w:ascii="方正仿宋_GBK" w:hAnsi="方正仿宋_GBK" w:eastAsia="方正仿宋_GBK" w:cs="方正仿宋_GBK"/>
          <w:color w:val="auto"/>
          <w:sz w:val="32"/>
          <w:szCs w:val="32"/>
          <w:shd w:val="clear" w:color="auto" w:fill="FFFFFF"/>
        </w:rPr>
        <w:t>主要原因是2023</w:t>
      </w:r>
      <w:r>
        <w:rPr>
          <w:rFonts w:hint="eastAsia" w:ascii="方正仿宋_GBK" w:hAnsi="方正仿宋_GBK" w:eastAsia="方正仿宋_GBK" w:cs="方正仿宋_GBK"/>
          <w:color w:val="auto"/>
          <w:sz w:val="32"/>
          <w:szCs w:val="32"/>
          <w:shd w:val="clear" w:color="auto" w:fill="FFFFFF"/>
          <w:lang w:eastAsia="zh-CN"/>
        </w:rPr>
        <w:t>年下达的车购税资金增加，</w:t>
      </w:r>
      <w:r>
        <w:rPr>
          <w:rFonts w:hint="eastAsia" w:ascii="方正仿宋_GBK" w:hAnsi="方正仿宋_GBK" w:eastAsia="方正仿宋_GBK" w:cs="方正仿宋_GBK"/>
          <w:color w:val="auto"/>
          <w:sz w:val="32"/>
          <w:szCs w:val="32"/>
          <w:shd w:val="clear" w:color="auto" w:fill="FFFFFF"/>
        </w:rPr>
        <w:t>因此2024年</w:t>
      </w:r>
      <w:r>
        <w:rPr>
          <w:rFonts w:hint="eastAsia" w:ascii="方正仿宋_GBK" w:hAnsi="方正仿宋_GBK" w:eastAsia="方正仿宋_GBK" w:cs="方正仿宋_GBK"/>
          <w:color w:val="auto"/>
          <w:sz w:val="32"/>
          <w:szCs w:val="32"/>
          <w:shd w:val="clear" w:color="auto" w:fill="FFFFFF"/>
          <w:lang w:eastAsia="zh-CN"/>
        </w:rPr>
        <w:t>支出</w:t>
      </w:r>
      <w:r>
        <w:rPr>
          <w:rFonts w:hint="eastAsia" w:ascii="方正仿宋_GBK" w:hAnsi="方正仿宋_GBK" w:eastAsia="方正仿宋_GBK" w:cs="方正仿宋_GBK"/>
          <w:color w:val="auto"/>
          <w:sz w:val="32"/>
          <w:szCs w:val="32"/>
          <w:shd w:val="clear" w:color="auto" w:fill="FFFFFF"/>
        </w:rPr>
        <w:t>较2023年减少</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较年初预算数减少4382.72万元，下降12.3%。主要原因是</w:t>
      </w:r>
      <w:r>
        <w:rPr>
          <w:rFonts w:hint="eastAsia" w:ascii="方正仿宋_GBK" w:hAnsi="方正仿宋_GBK" w:eastAsia="方正仿宋_GBK" w:cs="方正仿宋_GBK"/>
          <w:sz w:val="32"/>
          <w:szCs w:val="32"/>
          <w:shd w:val="clear" w:color="auto" w:fill="FFFFFF"/>
          <w:lang w:eastAsia="zh-CN"/>
        </w:rPr>
        <w:t>部分项目未完工结算。</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就业支出2243.54万元，占7.2%，较年初预算数增加316.35万元，增长16.4%，主要原因是</w:t>
      </w:r>
      <w:r>
        <w:rPr>
          <w:rFonts w:hint="eastAsia" w:ascii="方正仿宋_GBK" w:hAnsi="方正仿宋_GBK" w:eastAsia="方正仿宋_GBK" w:cs="方正仿宋_GBK"/>
          <w:sz w:val="32"/>
          <w:szCs w:val="32"/>
          <w:shd w:val="clear" w:color="auto" w:fill="FFFFFF"/>
          <w:lang w:eastAsia="zh-CN"/>
        </w:rPr>
        <w:t>区交通运输委本级及</w:t>
      </w:r>
      <w:r>
        <w:rPr>
          <w:rFonts w:hint="eastAsia" w:ascii="方正仿宋_GBK" w:hAnsi="方正仿宋_GBK" w:eastAsia="方正仿宋_GBK" w:cs="方正仿宋_GBK"/>
          <w:sz w:val="32"/>
          <w:szCs w:val="32"/>
          <w:shd w:val="clear" w:color="auto" w:fill="FFFFFF"/>
          <w:lang w:val="en-US" w:eastAsia="zh-CN"/>
        </w:rPr>
        <w:t>5个下属单位人员变动较大，导致社会保障和就业支出较年初预算数增加。</w:t>
      </w:r>
    </w:p>
    <w:p>
      <w:pPr>
        <w:pStyle w:val="9"/>
        <w:keepNext w:val="0"/>
        <w:keepLines w:val="0"/>
        <w:pageBreakBefore w:val="0"/>
        <w:widowControl/>
        <w:numPr>
          <w:ilvl w:val="0"/>
          <w:numId w:val="1"/>
        </w:numPr>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卫生健康支出352.92万元，占1.1%，较年初预算数减少13.40万元，下降3.7%，</w:t>
      </w:r>
      <w:r>
        <w:rPr>
          <w:rFonts w:hint="eastAsia" w:ascii="方正仿宋_GBK" w:hAnsi="方正仿宋_GBK" w:eastAsia="方正仿宋_GBK" w:cs="方正仿宋_GBK"/>
          <w:sz w:val="32"/>
          <w:szCs w:val="32"/>
          <w:shd w:val="clear" w:color="auto" w:fill="FFFFFF"/>
          <w:lang w:eastAsia="zh-CN"/>
        </w:rPr>
        <w:t>与年初预算数增减幅度不大，基本持平。</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）节能环保支出90.62万元，占0.3%，较年初预算数增加90.62万元，增长100.0%，主要原因是</w:t>
      </w:r>
      <w:r>
        <w:rPr>
          <w:rFonts w:hint="eastAsia" w:ascii="方正仿宋_GBK" w:hAnsi="方正仿宋_GBK" w:eastAsia="方正仿宋_GBK" w:cs="方正仿宋_GBK"/>
          <w:sz w:val="32"/>
          <w:szCs w:val="32"/>
          <w:shd w:val="clear" w:color="auto" w:fill="FFFFFF"/>
          <w:lang w:eastAsia="zh-CN"/>
        </w:rPr>
        <w:t>区港航海事事务中心增加了航道保通保畅项目支出</w:t>
      </w:r>
      <w:r>
        <w:rPr>
          <w:rFonts w:hint="eastAsia" w:ascii="方正仿宋_GBK" w:hAnsi="方正仿宋_GBK" w:eastAsia="方正仿宋_GBK" w:cs="方正仿宋_GBK"/>
          <w:color w:val="auto"/>
          <w:sz w:val="32"/>
          <w:szCs w:val="32"/>
          <w:shd w:val="clear" w:color="auto" w:fill="FFFFFF"/>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）城乡社区支出824.00万元，占2.6%，较年初预算数无增减</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hint="eastAsia" w:ascii="方正仿宋_GBK" w:hAnsi="方正仿宋_GBK" w:eastAsia="方正仿宋_GBK" w:cs="方正仿宋_GBK"/>
          <w:sz w:val="32"/>
          <w:szCs w:val="32"/>
          <w:shd w:val="clear" w:color="auto" w:fill="FFFFFF"/>
        </w:rPr>
        <w:t>）交通运输支出27470.23万元，占87.6%，较年初预算数减少4766.89万元，下降14.8%，主要原因是</w:t>
      </w:r>
      <w:r>
        <w:rPr>
          <w:rFonts w:hint="eastAsia" w:ascii="方正仿宋_GBK" w:hAnsi="方正仿宋_GBK" w:eastAsia="方正仿宋_GBK" w:cs="方正仿宋_GBK"/>
          <w:sz w:val="32"/>
          <w:szCs w:val="32"/>
          <w:shd w:val="clear" w:color="auto" w:fill="FFFFFF"/>
          <w:lang w:eastAsia="zh-CN"/>
        </w:rPr>
        <w:t>部分项目未完工结算。</w:t>
      </w:r>
    </w:p>
    <w:p>
      <w:pPr>
        <w:keepNext w:val="0"/>
        <w:keepLines w:val="0"/>
        <w:pageBreakBefore w:val="0"/>
        <w:widowControl/>
        <w:kinsoku/>
        <w:wordWrap/>
        <w:overflowPunct/>
        <w:topLinePunct w:val="0"/>
        <w:autoSpaceDN/>
        <w:bidi w:val="0"/>
        <w:adjustRightInd/>
        <w:spacing w:beforeAutospacing="0" w:afterAutospacing="0" w:line="576"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369.20万元，占1.2%，较年初预算数减少9.40万元，下降2.5%</w:t>
      </w:r>
      <w:r>
        <w:rPr>
          <w:rFonts w:hint="eastAsia" w:ascii="方正仿宋_GBK" w:hAnsi="方正仿宋_GBK" w:eastAsia="方正仿宋_GBK" w:cs="方正仿宋_GBK"/>
          <w:sz w:val="32"/>
          <w:szCs w:val="32"/>
          <w:shd w:val="clear" w:color="auto" w:fill="FFFFFF"/>
          <w:lang w:eastAsia="zh-CN"/>
        </w:rPr>
        <w:t>，增减幅度不大。</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eastAsia="zh-CN"/>
        </w:rPr>
      </w:pPr>
      <w:r>
        <w:rPr>
          <w:rStyle w:val="11"/>
          <w:rFonts w:hint="default" w:ascii="Times New Roman" w:hAnsi="Times New Roman" w:eastAsia="方正仿宋_GBK" w:cs="Times New Roman"/>
          <w:b w:val="0"/>
          <w:bCs/>
          <w:sz w:val="32"/>
          <w:szCs w:val="32"/>
          <w:shd w:val="clear" w:color="auto" w:fill="FFFFFF"/>
        </w:rPr>
        <w:t>3.</w:t>
      </w:r>
      <w:r>
        <w:rPr>
          <w:rStyle w:val="11"/>
          <w:rFonts w:hint="eastAsia" w:ascii="方正仿宋_GBK" w:hAnsi="方正仿宋_GBK" w:eastAsia="方正仿宋_GBK" w:cs="方正仿宋_GBK"/>
          <w:b w:val="0"/>
          <w:bCs/>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2024年度年末一般公共预算财政拨款结转和结余0.00万元，与2023年度相比，无增减，主要原因是</w:t>
      </w:r>
      <w:r>
        <w:rPr>
          <w:rFonts w:hint="eastAsia" w:ascii="方正仿宋_GBK" w:hAnsi="方正仿宋_GBK" w:eastAsia="方正仿宋_GBK" w:cs="方正仿宋_GBK"/>
          <w:sz w:val="32"/>
          <w:szCs w:val="32"/>
          <w:shd w:val="clear" w:color="auto" w:fill="FFFFFF"/>
          <w:lang w:eastAsia="zh-CN"/>
        </w:rPr>
        <w:t>财政年末对结转结余指标进行收回。</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2024年度一般公共财政拨款基本支出8241.20万元。其中：人员经费7072.23万元，与2023年度相比，增加743.67万元，增长11.8%，主要原因是</w:t>
      </w:r>
      <w:r>
        <w:rPr>
          <w:rFonts w:hint="eastAsia" w:ascii="方正仿宋_GBK" w:hAnsi="方正仿宋_GBK" w:eastAsia="方正仿宋_GBK" w:cs="方正仿宋_GBK"/>
          <w:sz w:val="32"/>
          <w:szCs w:val="32"/>
          <w:shd w:val="clear" w:color="auto" w:fill="FFFFFF"/>
          <w:lang w:eastAsia="zh-CN"/>
        </w:rPr>
        <w:t>政策性工资变动及人员变动。</w:t>
      </w:r>
      <w:r>
        <w:rPr>
          <w:rFonts w:hint="eastAsia"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lang w:eastAsia="zh-CN"/>
        </w:rPr>
        <w:t>基本工资、津补贴、保险、住房公积金等。</w:t>
      </w:r>
      <w:r>
        <w:rPr>
          <w:rFonts w:hint="eastAsia" w:ascii="方正仿宋_GBK" w:hAnsi="方正仿宋_GBK" w:eastAsia="方正仿宋_GBK" w:cs="方正仿宋_GBK"/>
          <w:sz w:val="32"/>
          <w:szCs w:val="32"/>
          <w:shd w:val="clear" w:color="auto" w:fill="FFFFFF"/>
        </w:rPr>
        <w:t>公用经费1168.97万元，与2023年度相比，增加35.13万元，增长3.1%，</w:t>
      </w:r>
      <w:r>
        <w:rPr>
          <w:rFonts w:hint="eastAsia" w:ascii="方正仿宋_GBK" w:hAnsi="方正仿宋_GBK" w:eastAsia="方正仿宋_GBK" w:cs="方正仿宋_GBK"/>
          <w:sz w:val="32"/>
          <w:szCs w:val="32"/>
          <w:shd w:val="clear" w:color="auto" w:fill="FFFFFF"/>
          <w:lang w:eastAsia="zh-CN"/>
        </w:rPr>
        <w:t>变动幅度不大，与上年基本持平。</w:t>
      </w:r>
      <w:r>
        <w:rPr>
          <w:rFonts w:hint="eastAsia"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办公费、水电费、维修费、三公经费等。</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（五）政府性基金预算收支决算情况说明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年度政府性基金预算财政拨款年初结转结余4550.14万元，年末结转结余0.00万元。本年收入18330.21万元，与2023年度相比，增加10505.80万元，增长134.3%，主要原因是本年度区财政安排了隐债化解资金1.09亿元，导致基金预算增加。本年支出22880.35万元，与2023年度相比，增加15055.94万元，增长192.4%，主要原因是本年度区财政安排了隐债化解资金1.09亿元，导致基金预算</w:t>
      </w:r>
      <w:r>
        <w:rPr>
          <w:rFonts w:hint="eastAsia" w:ascii="方正仿宋_GBK" w:hAnsi="方正仿宋_GBK" w:eastAsia="方正仿宋_GBK" w:cs="方正仿宋_GBK"/>
          <w:sz w:val="32"/>
          <w:szCs w:val="32"/>
          <w:shd w:val="clear" w:color="auto" w:fill="FFFFFF"/>
          <w:lang w:eastAsia="zh-CN"/>
        </w:rPr>
        <w:t>支出</w:t>
      </w:r>
      <w:r>
        <w:rPr>
          <w:rFonts w:hint="eastAsia" w:ascii="方正仿宋_GBK" w:hAnsi="方正仿宋_GBK" w:eastAsia="方正仿宋_GBK" w:cs="方正仿宋_GBK"/>
          <w:sz w:val="32"/>
          <w:szCs w:val="32"/>
          <w:shd w:val="clear" w:color="auto" w:fill="FFFFFF"/>
        </w:rPr>
        <w:t>增加。</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9"/>
        <w:rPr>
          <w:rFonts w:hint="eastAsia" w:ascii="仿宋_GB2312" w:hAnsi="仿宋_GB2312" w:eastAsia="仿宋_GB2312" w:cs="仿宋_GB2312"/>
          <w:sz w:val="32"/>
          <w:szCs w:val="32"/>
          <w:shd w:val="clear" w:color="auto" w:fill="FFFFFF"/>
        </w:rPr>
      </w:pPr>
      <w:r>
        <w:rPr>
          <w:rFonts w:hint="eastAsia" w:ascii="方正仿宋_GBK" w:hAnsi="方正仿宋_GBK" w:eastAsia="方正仿宋_GBK" w:cs="方正仿宋_GBK"/>
          <w:sz w:val="32"/>
          <w:szCs w:val="32"/>
          <w:shd w:val="clear" w:color="auto" w:fill="FFFFFF"/>
        </w:rPr>
        <w:t>本部门2024年度无国有资本经营预算财政拨款支出。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9"/>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三、</w:t>
      </w:r>
      <w:r>
        <w:rPr>
          <w:rStyle w:val="11"/>
          <w:rFonts w:hint="eastAsia" w:ascii="方正黑体_GBK" w:hAnsi="方正黑体_GBK" w:eastAsia="方正黑体_GBK" w:cs="方正黑体_GBK"/>
          <w:b w:val="0"/>
          <w:bCs/>
          <w:sz w:val="32"/>
          <w:szCs w:val="32"/>
          <w:shd w:val="clear" w:color="auto" w:fill="FFFFFF"/>
          <w:lang w:eastAsia="zh-CN"/>
        </w:rPr>
        <w:t>财政拨款</w:t>
      </w:r>
      <w:r>
        <w:rPr>
          <w:rStyle w:val="11"/>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（一）“三公”经费支出总体情况说明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2024年度“三公”经费支出共计76.67万元，较年初预算数减少19.33万元，下降20.1%，主要原因是</w:t>
      </w:r>
      <w:r>
        <w:rPr>
          <w:rFonts w:hint="eastAsia" w:ascii="方正仿宋_GBK" w:hAnsi="方正仿宋_GBK" w:eastAsia="方正仿宋_GBK" w:cs="方正仿宋_GBK"/>
          <w:sz w:val="32"/>
          <w:szCs w:val="32"/>
          <w:shd w:val="clear" w:color="auto" w:fill="FFFFFF"/>
          <w:lang w:eastAsia="zh-CN"/>
        </w:rPr>
        <w:t>本级及下属单位严控三公经费支出，</w:t>
      </w:r>
      <w:r>
        <w:rPr>
          <w:rFonts w:hint="eastAsia" w:ascii="方正仿宋_GBK" w:hAnsi="方正仿宋_GBK" w:eastAsia="方正仿宋_GBK" w:cs="方正仿宋_GBK"/>
          <w:sz w:val="32"/>
          <w:szCs w:val="32"/>
          <w:shd w:val="clear" w:color="auto" w:fill="FFFFFF"/>
        </w:rPr>
        <w:t>较上年支出数减少8.41万元，下降9.9%，主要原因</w:t>
      </w:r>
      <w:r>
        <w:rPr>
          <w:rFonts w:hint="eastAsia" w:ascii="方正仿宋_GBK" w:hAnsi="方正仿宋_GBK" w:eastAsia="方正仿宋_GBK" w:cs="方正仿宋_GBK"/>
          <w:sz w:val="32"/>
          <w:szCs w:val="32"/>
          <w:shd w:val="clear" w:color="auto" w:fill="FFFFFF"/>
          <w:lang w:eastAsia="zh-CN"/>
        </w:rPr>
        <w:t>是厉行节约，严控支出。</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（二）“三公”经费分项支出情况</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2024年度本部门因公出国（境）费用0.00万元</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车购置费0.00万元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车运行维护费73.52万元，主要用于</w:t>
      </w:r>
      <w:r>
        <w:rPr>
          <w:rFonts w:hint="eastAsia" w:ascii="方正仿宋_GBK" w:hAnsi="方正仿宋_GBK" w:eastAsia="方正仿宋_GBK" w:cs="方正仿宋_GBK"/>
          <w:sz w:val="32"/>
          <w:szCs w:val="32"/>
          <w:shd w:val="clear" w:color="auto" w:fill="FFFFFF"/>
          <w:lang w:eastAsia="zh-CN"/>
        </w:rPr>
        <w:t>公务车油费、过路费等，</w:t>
      </w:r>
      <w:r>
        <w:rPr>
          <w:rFonts w:hint="eastAsia" w:ascii="方正仿宋_GBK" w:hAnsi="方正仿宋_GBK" w:eastAsia="方正仿宋_GBK" w:cs="方正仿宋_GBK"/>
          <w:sz w:val="32"/>
          <w:szCs w:val="32"/>
          <w:shd w:val="clear" w:color="auto" w:fill="FFFFFF"/>
        </w:rPr>
        <w:t>费用支出较年初预算数减少12.98万元，下降15.0%，主要原因是</w:t>
      </w:r>
      <w:r>
        <w:rPr>
          <w:rFonts w:hint="eastAsia" w:ascii="方正仿宋_GBK" w:hAnsi="方正仿宋_GBK" w:eastAsia="方正仿宋_GBK" w:cs="方正仿宋_GBK"/>
          <w:sz w:val="32"/>
          <w:szCs w:val="32"/>
          <w:shd w:val="clear" w:color="auto" w:fill="FFFFFF"/>
          <w:lang w:eastAsia="zh-CN"/>
        </w:rPr>
        <w:t>厉行节约，严控支出。</w:t>
      </w:r>
      <w:r>
        <w:rPr>
          <w:rFonts w:hint="eastAsia" w:ascii="方正仿宋_GBK" w:hAnsi="方正仿宋_GBK" w:eastAsia="方正仿宋_GBK" w:cs="方正仿宋_GBK"/>
          <w:sz w:val="32"/>
          <w:szCs w:val="32"/>
          <w:shd w:val="clear" w:color="auto" w:fill="FFFFFF"/>
        </w:rPr>
        <w:t>较上年支出数减少9.47万元，下降11.4%，主要原因是</w:t>
      </w:r>
      <w:r>
        <w:rPr>
          <w:rFonts w:hint="eastAsia" w:ascii="方正仿宋_GBK" w:hAnsi="方正仿宋_GBK" w:eastAsia="方正仿宋_GBK" w:cs="方正仿宋_GBK"/>
          <w:sz w:val="32"/>
          <w:szCs w:val="32"/>
          <w:shd w:val="clear" w:color="auto" w:fill="FFFFFF"/>
          <w:lang w:eastAsia="zh-CN"/>
        </w:rPr>
        <w:t>优化出车方案，节约出行成本。</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公务接待费3.14万元，主要用于接待</w:t>
      </w:r>
      <w:r>
        <w:rPr>
          <w:rFonts w:hint="eastAsia" w:ascii="方正仿宋_GBK" w:hAnsi="方正仿宋_GBK" w:eastAsia="方正仿宋_GBK" w:cs="方正仿宋_GBK"/>
          <w:sz w:val="32"/>
          <w:szCs w:val="32"/>
          <w:shd w:val="clear" w:color="auto" w:fill="FFFFFF"/>
          <w:lang w:eastAsia="zh-CN"/>
        </w:rPr>
        <w:t>各种业务检查、招商引资活动等，</w:t>
      </w:r>
      <w:r>
        <w:rPr>
          <w:rFonts w:hint="eastAsia" w:ascii="方正仿宋_GBK" w:hAnsi="方正仿宋_GBK" w:eastAsia="方正仿宋_GBK" w:cs="方正仿宋_GBK"/>
          <w:sz w:val="32"/>
          <w:szCs w:val="32"/>
          <w:shd w:val="clear" w:color="auto" w:fill="FFFFFF"/>
        </w:rPr>
        <w:t>费用支出较年初预算数减少6.36万元，下降67.0%，主要原因是</w:t>
      </w:r>
      <w:r>
        <w:rPr>
          <w:rFonts w:hint="eastAsia" w:ascii="方正仿宋_GBK" w:hAnsi="方正仿宋_GBK" w:eastAsia="方正仿宋_GBK" w:cs="方正仿宋_GBK"/>
          <w:sz w:val="32"/>
          <w:szCs w:val="32"/>
          <w:shd w:val="clear" w:color="auto" w:fill="FFFFFF"/>
          <w:lang w:eastAsia="zh-CN"/>
        </w:rPr>
        <w:t>厉行节约，严控支出。</w:t>
      </w:r>
      <w:r>
        <w:rPr>
          <w:rFonts w:hint="eastAsia" w:ascii="方正仿宋_GBK" w:hAnsi="方正仿宋_GBK" w:eastAsia="方正仿宋_GBK" w:cs="方正仿宋_GBK"/>
          <w:sz w:val="32"/>
          <w:szCs w:val="32"/>
          <w:shd w:val="clear" w:color="auto" w:fill="FFFFFF"/>
        </w:rPr>
        <w:t>较上年支出数增加1.05万元，增长50.2%，主要原因是2024年由于我</w:t>
      </w:r>
      <w:r>
        <w:rPr>
          <w:rFonts w:hint="eastAsia" w:ascii="方正仿宋_GBK" w:hAnsi="方正仿宋_GBK" w:eastAsia="方正仿宋_GBK" w:cs="方正仿宋_GBK"/>
          <w:sz w:val="32"/>
          <w:szCs w:val="32"/>
          <w:shd w:val="clear" w:color="auto" w:fill="FFFFFF"/>
          <w:lang w:eastAsia="zh-CN"/>
        </w:rPr>
        <w:t>部门</w:t>
      </w:r>
      <w:r>
        <w:rPr>
          <w:rFonts w:hint="eastAsia" w:ascii="方正仿宋_GBK" w:hAnsi="方正仿宋_GBK" w:eastAsia="方正仿宋_GBK" w:cs="方正仿宋_GBK"/>
          <w:sz w:val="32"/>
          <w:szCs w:val="32"/>
          <w:shd w:val="clear" w:color="auto" w:fill="FFFFFF"/>
        </w:rPr>
        <w:t>招商引资、农村公路养护检查、各类市级安全检查等较多，导致接待费有所增加。</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年度本部门因公出国（境）共计0个团组，0人；公务用车购置0辆，公务车保有量为28辆；国内公务接待19批次337人，其中：国内外事接待0批次，0人；国（境）外公务接待0批次，0人。2024年本部门人均接待费93.27元，车均购置费0万元，车均维护费2.63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9"/>
        <w:rPr>
          <w:rStyle w:val="11"/>
          <w:rFonts w:hint="eastAsia" w:ascii="方正黑体_GBK" w:hAnsi="方正黑体_GBK" w:eastAsia="方正黑体_GBK" w:cs="方正黑体_GBK"/>
          <w:b w:val="0"/>
          <w:bCs/>
          <w:sz w:val="32"/>
          <w:szCs w:val="32"/>
          <w:shd w:val="clear" w:color="auto" w:fill="FFFFFF"/>
        </w:rPr>
      </w:pPr>
      <w:r>
        <w:rPr>
          <w:rStyle w:val="11"/>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color w:val="FF0000"/>
          <w:sz w:val="32"/>
          <w:szCs w:val="32"/>
          <w:lang w:eastAsia="zh-CN"/>
        </w:rPr>
      </w:pPr>
      <w:r>
        <w:rPr>
          <w:rFonts w:hint="eastAsia" w:ascii="方正仿宋_GBK" w:hAnsi="方正仿宋_GBK" w:eastAsia="方正仿宋_GBK" w:cs="方正仿宋_GBK"/>
          <w:sz w:val="32"/>
          <w:szCs w:val="32"/>
          <w:shd w:val="clear" w:color="auto" w:fill="FFFFFF"/>
        </w:rPr>
        <w:t>本年度会议费支出4.89万元，与2023年度相比，减少0.20万元，下降3.9%，主要原因是</w:t>
      </w:r>
      <w:r>
        <w:rPr>
          <w:rFonts w:hint="eastAsia" w:ascii="方正仿宋_GBK" w:hAnsi="方正仿宋_GBK" w:eastAsia="方正仿宋_GBK" w:cs="方正仿宋_GBK"/>
          <w:sz w:val="32"/>
          <w:szCs w:val="32"/>
          <w:shd w:val="clear" w:color="auto" w:fill="FFFFFF"/>
          <w:lang w:eastAsia="zh-CN"/>
        </w:rPr>
        <w:t>精简会议，节约成本。</w:t>
      </w:r>
      <w:r>
        <w:rPr>
          <w:rFonts w:hint="eastAsia" w:ascii="方正仿宋_GBK" w:hAnsi="方正仿宋_GBK" w:eastAsia="方正仿宋_GBK" w:cs="方正仿宋_GBK"/>
          <w:sz w:val="32"/>
          <w:szCs w:val="32"/>
          <w:shd w:val="clear" w:color="auto" w:fill="FFFFFF"/>
        </w:rPr>
        <w:t>本年度培训费支出27.29万元，与2023年度相比，减少1.13万元，下降4.0%，主要原因是</w:t>
      </w:r>
      <w:r>
        <w:rPr>
          <w:rFonts w:hint="eastAsia" w:ascii="方正仿宋_GBK" w:hAnsi="方正仿宋_GBK" w:eastAsia="方正仿宋_GBK" w:cs="方正仿宋_GBK"/>
          <w:sz w:val="32"/>
          <w:szCs w:val="32"/>
          <w:shd w:val="clear" w:color="auto" w:fill="FFFFFF"/>
          <w:lang w:eastAsia="zh-CN"/>
        </w:rPr>
        <w:t>本年培训次数减少。</w:t>
      </w:r>
      <w:r>
        <w:rPr>
          <w:rFonts w:hint="eastAsia" w:ascii="方正仿宋_GBK" w:hAnsi="方正仿宋_GBK" w:eastAsia="方正仿宋_GBK" w:cs="方正仿宋_GBK"/>
          <w:sz w:val="32"/>
          <w:szCs w:val="32"/>
          <w:shd w:val="clear" w:color="auto" w:fill="FFFFFF"/>
        </w:rPr>
        <w:t>本年度差旅费支出0.84</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与2023年度相比，减少3.44万元，下降80.4%，主要原因是</w:t>
      </w:r>
      <w:r>
        <w:rPr>
          <w:rFonts w:hint="eastAsia" w:ascii="方正仿宋_GBK" w:hAnsi="方正仿宋_GBK" w:eastAsia="方正仿宋_GBK" w:cs="方正仿宋_GBK"/>
          <w:sz w:val="32"/>
          <w:szCs w:val="32"/>
          <w:shd w:val="clear" w:color="auto" w:fill="FFFFFF"/>
          <w:lang w:eastAsia="zh-CN"/>
        </w:rPr>
        <w:t>出差次数减少。</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（二）机关运行经费情况说明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shd w:val="clear" w:color="auto" w:fill="FFFFFF"/>
        </w:rPr>
        <w:t>2024年度本部门机关运行经费支出608.27万元，机关运行经费主要用于开支</w:t>
      </w:r>
      <w:r>
        <w:rPr>
          <w:rFonts w:hint="eastAsia" w:ascii="方正仿宋_GBK" w:hAnsi="方正仿宋_GBK" w:eastAsia="方正仿宋_GBK" w:cs="方正仿宋_GBK"/>
          <w:color w:val="auto"/>
          <w:sz w:val="32"/>
          <w:szCs w:val="32"/>
          <w:highlight w:val="none"/>
          <w:shd w:val="clear" w:color="auto" w:fill="FFFFFF"/>
        </w:rPr>
        <w:t>开支</w:t>
      </w:r>
      <w:r>
        <w:rPr>
          <w:rFonts w:hint="eastAsia" w:ascii="方正仿宋_GBK" w:hAnsi="方正仿宋_GBK" w:eastAsia="方正仿宋_GBK" w:cs="方正仿宋_GBK"/>
          <w:color w:val="auto"/>
          <w:sz w:val="32"/>
          <w:szCs w:val="32"/>
          <w:highlight w:val="none"/>
          <w:shd w:val="clear" w:color="auto" w:fill="FFFFFF"/>
          <w:lang w:eastAsia="zh-CN"/>
        </w:rPr>
        <w:t>办公费、水电费、手续费、公务车运行费等。</w:t>
      </w:r>
      <w:r>
        <w:rPr>
          <w:rFonts w:hint="eastAsia" w:ascii="方正仿宋_GBK" w:hAnsi="方正仿宋_GBK" w:eastAsia="方正仿宋_GBK" w:cs="方正仿宋_GBK"/>
          <w:sz w:val="32"/>
          <w:szCs w:val="32"/>
          <w:shd w:val="clear" w:color="auto" w:fill="FFFFFF"/>
        </w:rPr>
        <w:t>机关运行经费较上年支出数增加43.72万元，增长7.7%，主要原因是</w:t>
      </w:r>
      <w:r>
        <w:rPr>
          <w:rFonts w:hint="eastAsia" w:ascii="方正仿宋_GBK" w:hAnsi="方正仿宋_GBK" w:eastAsia="方正仿宋_GBK" w:cs="方正仿宋_GBK"/>
          <w:sz w:val="32"/>
          <w:szCs w:val="32"/>
          <w:shd w:val="clear" w:color="auto" w:fill="FFFFFF"/>
          <w:lang w:eastAsia="zh-CN"/>
        </w:rPr>
        <w:t>人员变动较大，运转成本增加。</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（三）国有资产占用情况说明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2024年12月31日，本部门共有车辆28辆，其中，副部（省）级及以上领导用车0辆、主要负责人用车0辆、机要通信用车0辆、应急保障用车25辆、执法执勤用车0辆，特种专业技术用车3辆，离退休干部用车0辆。单价100万元（含）以上专用设备6台（套）。</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76" w:lineRule="exact"/>
        <w:ind w:firstLine="640" w:firstLineChars="200"/>
        <w:textAlignment w:val="auto"/>
        <w:outlineLvl w:val="9"/>
        <w:rPr>
          <w:rFonts w:hint="eastAsia" w:ascii="方正楷体_GBK" w:hAnsi="方正楷体_GBK" w:eastAsia="方正楷体_GBK" w:cs="方正楷体_GBK"/>
          <w:b w:val="0"/>
          <w:bCs/>
          <w:sz w:val="32"/>
          <w:szCs w:val="32"/>
          <w:shd w:val="clear" w:color="auto" w:fill="FFFFFF"/>
        </w:rPr>
      </w:pPr>
      <w:r>
        <w:rPr>
          <w:rFonts w:hint="eastAsia" w:ascii="方正楷体_GBK" w:hAnsi="方正楷体_GBK" w:eastAsia="方正楷体_GBK" w:cs="方正楷体_GBK"/>
          <w:b w:val="0"/>
          <w:bCs/>
          <w:sz w:val="32"/>
          <w:szCs w:val="32"/>
          <w:shd w:val="clear" w:color="auto" w:fill="FFFFFF"/>
        </w:rPr>
        <w:t>（四）政府采购支出情况说明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576" w:lineRule="exact"/>
        <w:ind w:firstLine="640" w:firstLineChars="200"/>
        <w:jc w:val="both"/>
        <w:textAlignment w:val="auto"/>
        <w:outlineLvl w:val="9"/>
        <w:rPr>
          <w:rFonts w:hint="eastAsia" w:ascii="方正仿宋_GBK" w:hAnsi="方正仿宋_GBK" w:eastAsia="方正仿宋_GBK" w:cs="方正仿宋_GBK"/>
          <w:color w:val="FF0000"/>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2024年度本部门政府采购支出总额17741.13万元，其中：政府采购货物支出6445.32万元、政府采购工程支出7779.08万元、政府采购服务支出3516.73万元。授予中小企业合同金额15078.04</w:t>
      </w:r>
      <w:r>
        <w:rPr>
          <w:rFonts w:hint="eastAsia" w:ascii="方正仿宋_GBK" w:hAnsi="方正仿宋_GBK" w:eastAsia="方正仿宋_GBK" w:cs="方正仿宋_GBK"/>
          <w:sz w:val="32"/>
          <w:szCs w:val="32"/>
        </w:rPr>
        <w:t>万</w:t>
      </w:r>
      <w:r>
        <w:rPr>
          <w:rFonts w:hint="eastAsia" w:ascii="方正仿宋_GBK" w:hAnsi="方正仿宋_GBK" w:eastAsia="方正仿宋_GBK" w:cs="方正仿宋_GBK"/>
          <w:sz w:val="32"/>
          <w:szCs w:val="32"/>
          <w:shd w:val="clear" w:color="auto" w:fill="FFFFFF"/>
        </w:rPr>
        <w:t>元，占政府采购支出总额的85.0%，其中：授予小微企业合同金额10323.49万元，占政府采购支出总额的58.2 %。主要用于采购</w:t>
      </w:r>
      <w:r>
        <w:rPr>
          <w:rFonts w:hint="eastAsia" w:ascii="方正仿宋_GBK" w:hAnsi="方正仿宋_GBK" w:eastAsia="方正仿宋_GBK" w:cs="方正仿宋_GBK"/>
          <w:sz w:val="32"/>
          <w:szCs w:val="32"/>
          <w:shd w:val="clear" w:color="auto" w:fill="FFFFFF"/>
          <w:lang w:eastAsia="zh-CN"/>
        </w:rPr>
        <w:t>护栏材料。</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firstLine="640" w:firstLineChars="200"/>
        <w:textAlignment w:val="auto"/>
        <w:outlineLvl w:val="9"/>
        <w:rPr>
          <w:rStyle w:val="11"/>
          <w:rFonts w:hint="eastAsia" w:ascii="方正黑体_GBK" w:hAnsi="方正黑体_GBK" w:eastAsia="方正黑体_GBK" w:cs="方正黑体_GBK"/>
          <w:b w:val="0"/>
          <w:bCs/>
          <w:sz w:val="32"/>
          <w:szCs w:val="32"/>
          <w:shd w:val="clear" w:color="auto" w:fill="FFFFFF"/>
          <w:lang w:val="en-US" w:eastAsia="zh-CN" w:bidi="ar-SA"/>
        </w:rPr>
      </w:pPr>
      <w:r>
        <w:rPr>
          <w:rStyle w:val="11"/>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outlineLvl w:val="9"/>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outlineLvl w:val="9"/>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rPr>
        <w:t>根据预算绩效管理要求，我部门对部门整体和</w:t>
      </w:r>
      <w:r>
        <w:rPr>
          <w:rFonts w:hint="eastAsia" w:ascii="方正仿宋_GBK" w:hAnsi="方正仿宋_GBK" w:eastAsia="方正仿宋_GBK" w:cs="方正仿宋_GBK"/>
          <w:kern w:val="0"/>
          <w:sz w:val="32"/>
          <w:szCs w:val="32"/>
          <w:shd w:val="clear" w:fill="FFFFFF"/>
          <w:lang w:val="en-US" w:eastAsia="zh-CN"/>
        </w:rPr>
        <w:t>108</w:t>
      </w:r>
      <w:r>
        <w:rPr>
          <w:rFonts w:hint="eastAsia" w:ascii="方正仿宋_GBK" w:hAnsi="方正仿宋_GBK" w:eastAsia="方正仿宋_GBK" w:cs="方正仿宋_GBK"/>
          <w:kern w:val="0"/>
          <w:sz w:val="32"/>
          <w:szCs w:val="32"/>
          <w:shd w:val="clear" w:fill="FFFFFF"/>
        </w:rPr>
        <w:t>个二级项目开展了绩效自评，涉及财政拨款项目支出资金</w:t>
      </w:r>
      <w:r>
        <w:rPr>
          <w:rFonts w:hint="eastAsia" w:ascii="方正仿宋_GBK" w:hAnsi="方正仿宋_GBK" w:eastAsia="方正仿宋_GBK" w:cs="方正仿宋_GBK"/>
          <w:kern w:val="0"/>
          <w:sz w:val="32"/>
          <w:szCs w:val="32"/>
          <w:shd w:val="clear" w:fill="FFFFFF"/>
          <w:lang w:val="en-US" w:eastAsia="zh-CN"/>
        </w:rPr>
        <w:t>63429.32</w:t>
      </w:r>
      <w:r>
        <w:rPr>
          <w:rFonts w:hint="eastAsia" w:ascii="方正仿宋_GBK" w:hAnsi="方正仿宋_GBK" w:eastAsia="方正仿宋_GBK" w:cs="方正仿宋_GBK"/>
          <w:kern w:val="0"/>
          <w:sz w:val="32"/>
          <w:szCs w:val="32"/>
          <w:shd w:val="clear" w:fill="FFFFFF"/>
        </w:rPr>
        <w:t>万元</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jc w:val="left"/>
        <w:textAlignment w:val="auto"/>
        <w:outlineLvl w:val="9"/>
        <w:rPr>
          <w:rFonts w:hint="eastAsia" w:ascii="方正仿宋_GBK" w:hAnsi="方正仿宋_GBK" w:eastAsia="方正仿宋_GBK" w:cs="方正仿宋_GBK"/>
          <w:b w:val="0"/>
          <w:bCs/>
          <w:kern w:val="0"/>
          <w:sz w:val="32"/>
          <w:szCs w:val="32"/>
          <w:shd w:val="clear" w:fill="FFFFFF"/>
          <w:lang w:eastAsia="zh-CN"/>
        </w:rPr>
      </w:pPr>
      <w:r>
        <w:rPr>
          <w:rFonts w:hint="eastAsia" w:ascii="方正仿宋_GBK" w:hAnsi="方正仿宋_GBK" w:eastAsia="方正仿宋_GBK" w:cs="方正仿宋_GBK"/>
          <w:b w:val="0"/>
          <w:bCs/>
          <w:kern w:val="0"/>
          <w:sz w:val="32"/>
          <w:szCs w:val="32"/>
          <w:shd w:val="clear" w:fill="FFFFFF"/>
        </w:rPr>
        <w:t>部门整体绩效自评</w:t>
      </w:r>
      <w:r>
        <w:rPr>
          <w:rFonts w:hint="eastAsia" w:ascii="方正仿宋_GBK" w:hAnsi="方正仿宋_GBK" w:eastAsia="方正仿宋_GBK" w:cs="方正仿宋_GBK"/>
          <w:b w:val="0"/>
          <w:bCs/>
          <w:kern w:val="0"/>
          <w:sz w:val="32"/>
          <w:szCs w:val="32"/>
          <w:shd w:val="clear" w:fill="FFFFFF"/>
          <w:lang w:eastAsia="zh-CN"/>
        </w:rPr>
        <w:t>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outlineLvl w:val="9"/>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详见附件1：重庆市綦江区交通运输委员会部门整体绩效自评表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left="638" w:leftChars="266" w:firstLine="0" w:firstLineChars="0"/>
        <w:jc w:val="left"/>
        <w:textAlignment w:val="auto"/>
        <w:outlineLvl w:val="9"/>
        <w:rPr>
          <w:rFonts w:hint="eastAsia" w:ascii="方正仿宋_GBK" w:hAnsi="方正仿宋_GBK" w:eastAsia="方正仿宋_GBK" w:cs="方正仿宋_GBK"/>
          <w:b w:val="0"/>
          <w:bCs/>
          <w:kern w:val="0"/>
          <w:sz w:val="32"/>
          <w:szCs w:val="32"/>
          <w:shd w:val="clear" w:fill="FFFFFF"/>
          <w:lang w:val="en-US" w:eastAsia="zh-CN"/>
        </w:rPr>
      </w:pPr>
      <w:r>
        <w:rPr>
          <w:rFonts w:hint="eastAsia" w:ascii="方正仿宋_GBK" w:hAnsi="方正仿宋_GBK" w:eastAsia="方正仿宋_GBK" w:cs="方正仿宋_GBK"/>
          <w:b w:val="0"/>
          <w:bCs/>
          <w:kern w:val="0"/>
          <w:sz w:val="32"/>
          <w:szCs w:val="32"/>
          <w:shd w:val="clear" w:fill="FFFFFF"/>
          <w:lang w:val="en-US" w:eastAsia="zh-CN"/>
        </w:rPr>
        <w:t>二级项目绩效自评表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outlineLvl w:val="9"/>
        <w:rPr>
          <w:rFonts w:hint="eastAsia"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val="en-US" w:eastAsia="zh-CN"/>
        </w:rPr>
        <w:t>详见附件2：重庆市綦江区交通运输委员会二级项目绩效自评表</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76" w:lineRule="exact"/>
        <w:ind w:firstLine="640" w:firstLineChars="200"/>
        <w:jc w:val="left"/>
        <w:textAlignment w:val="auto"/>
        <w:outlineLvl w:val="9"/>
        <w:rPr>
          <w:rFonts w:hint="eastAsia" w:ascii="方正楷体_GBK" w:hAnsi="方正楷体_GBK" w:eastAsia="方正楷体_GBK" w:cs="方正楷体_GBK"/>
          <w:b w:val="0"/>
          <w:bCs/>
          <w:kern w:val="0"/>
          <w:sz w:val="32"/>
          <w:szCs w:val="32"/>
          <w:shd w:val="clear" w:fill="FFFFFF"/>
        </w:rPr>
      </w:pPr>
      <w:r>
        <w:rPr>
          <w:rFonts w:hint="eastAsia" w:ascii="方正楷体_GBK" w:hAnsi="方正楷体_GBK" w:eastAsia="方正楷体_GBK" w:cs="方正楷体_GBK"/>
          <w:b w:val="0"/>
          <w:bCs/>
          <w:kern w:val="0"/>
          <w:sz w:val="32"/>
          <w:szCs w:val="32"/>
          <w:shd w:val="clear" w:fill="FFFFFF"/>
        </w:rPr>
        <w:t>（二）部门绩效评价情况</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color w:val="auto"/>
          <w:sz w:val="32"/>
          <w:szCs w:val="32"/>
          <w:highlight w:val="none"/>
          <w:shd w:val="clear" w:color="auto" w:fill="FFFFFF"/>
          <w:lang w:val="en-US" w:eastAsia="zh-CN" w:bidi="ar-SA"/>
        </w:rPr>
      </w:pPr>
      <w:r>
        <w:rPr>
          <w:rFonts w:hint="eastAsia" w:ascii="方正仿宋_GBK" w:hAnsi="方正仿宋_GBK" w:eastAsia="方正仿宋_GBK" w:cs="方正仿宋_GBK"/>
          <w:color w:val="auto"/>
          <w:sz w:val="32"/>
          <w:szCs w:val="32"/>
          <w:highlight w:val="none"/>
          <w:shd w:val="clear" w:color="auto" w:fill="FFFFFF"/>
          <w:lang w:val="en-US" w:eastAsia="zh-CN" w:bidi="ar-SA"/>
        </w:rPr>
        <w:t>我部门未组织开展绩效评价。</w:t>
      </w:r>
    </w:p>
    <w:p>
      <w:pPr>
        <w:pStyle w:val="19"/>
        <w:keepNext w:val="0"/>
        <w:keepLines w:val="0"/>
        <w:pageBreakBefore w:val="0"/>
        <w:widowControl/>
        <w:numPr>
          <w:ilvl w:val="0"/>
          <w:numId w:val="2"/>
        </w:numPr>
        <w:kinsoku/>
        <w:wordWrap/>
        <w:overflowPunct/>
        <w:topLinePunct w:val="0"/>
        <w:autoSpaceDE w:val="0"/>
        <w:autoSpaceDN/>
        <w:bidi w:val="0"/>
        <w:adjustRightInd/>
        <w:snapToGrid/>
        <w:spacing w:beforeAutospacing="0" w:after="0" w:afterAutospacing="0" w:line="576" w:lineRule="exact"/>
        <w:ind w:left="0" w:firstLine="640" w:firstLineChars="200"/>
        <w:textAlignment w:val="auto"/>
        <w:outlineLvl w:val="9"/>
        <w:rPr>
          <w:rFonts w:hint="eastAsia" w:ascii="方正楷体_GBK" w:hAnsi="方正楷体_GBK" w:eastAsia="方正楷体_GBK" w:cs="方正楷体_GBK"/>
          <w:b w:val="0"/>
          <w:bCs/>
          <w:kern w:val="0"/>
          <w:sz w:val="32"/>
          <w:szCs w:val="32"/>
          <w:shd w:val="clear" w:fill="FFFFFF"/>
          <w:lang w:val="en-US" w:eastAsia="zh-CN" w:bidi="ar"/>
        </w:rPr>
      </w:pPr>
      <w:r>
        <w:rPr>
          <w:rFonts w:hint="eastAsia" w:ascii="方正楷体_GBK" w:hAnsi="方正楷体_GBK" w:eastAsia="方正楷体_GBK" w:cs="方正楷体_GBK"/>
          <w:b w:val="0"/>
          <w:bCs/>
          <w:kern w:val="0"/>
          <w:sz w:val="32"/>
          <w:szCs w:val="32"/>
          <w:shd w:val="clear" w:fill="FFFFFF"/>
          <w:lang w:val="en-US" w:eastAsia="zh-CN" w:bidi="ar"/>
        </w:rPr>
        <w:t>财政绩效评价情况</w:t>
      </w:r>
    </w:p>
    <w:p>
      <w:pPr>
        <w:pStyle w:val="19"/>
        <w:keepNext w:val="0"/>
        <w:keepLines w:val="0"/>
        <w:pageBreakBefore w:val="0"/>
        <w:widowControl/>
        <w:numPr>
          <w:ilvl w:val="0"/>
          <w:numId w:val="0"/>
        </w:numPr>
        <w:kinsoku/>
        <w:wordWrap/>
        <w:overflowPunct/>
        <w:topLinePunct w:val="0"/>
        <w:autoSpaceDE w:val="0"/>
        <w:autoSpaceDN/>
        <w:bidi w:val="0"/>
        <w:adjustRightInd/>
        <w:snapToGrid/>
        <w:spacing w:beforeAutospacing="0" w:after="0" w:afterAutospacing="0" w:line="576" w:lineRule="exact"/>
        <w:ind w:right="0" w:rightChars="0"/>
        <w:textAlignment w:val="auto"/>
        <w:outlineLvl w:val="9"/>
        <w:rPr>
          <w:rFonts w:hint="eastAsia" w:ascii="方正仿宋_GBK" w:hAnsi="方正仿宋_GBK" w:eastAsia="方正仿宋_GBK" w:cs="方正仿宋_GBK"/>
          <w:color w:val="auto"/>
          <w:kern w:val="0"/>
          <w:sz w:val="32"/>
          <w:szCs w:val="32"/>
          <w:highlight w:val="none"/>
          <w:shd w:val="clear" w:color="auto" w:fill="FFFFFF"/>
          <w:lang w:val="en-US" w:eastAsia="zh-CN" w:bidi="ar-SA"/>
        </w:rPr>
      </w:pPr>
      <w:r>
        <w:rPr>
          <w:rFonts w:hint="eastAsia" w:ascii="楷体" w:hAnsi="楷体" w:eastAsia="楷体" w:cs="楷体"/>
          <w:b/>
          <w:bCs/>
          <w:kern w:val="0"/>
          <w:sz w:val="32"/>
          <w:szCs w:val="32"/>
          <w:shd w:val="clear" w:fill="FFFFFF"/>
          <w:lang w:val="en-US" w:eastAsia="zh-CN" w:bidi="ar"/>
        </w:rPr>
        <w:t xml:space="preserve">   </w:t>
      </w:r>
      <w:r>
        <w:rPr>
          <w:rFonts w:hint="eastAsia" w:ascii="仿宋_GB2312" w:hAnsi="仿宋_GB2312" w:eastAsia="仿宋_GB2312" w:cs="仿宋_GB2312"/>
          <w:color w:val="auto"/>
          <w:kern w:val="0"/>
          <w:sz w:val="32"/>
          <w:szCs w:val="32"/>
          <w:highlight w:val="none"/>
          <w:shd w:val="clear" w:color="auto" w:fill="FFFFFF"/>
          <w:lang w:val="en-US" w:eastAsia="zh-CN" w:bidi="ar-SA"/>
        </w:rPr>
        <w:t xml:space="preserve"> </w:t>
      </w:r>
      <w:r>
        <w:rPr>
          <w:rFonts w:hint="eastAsia" w:ascii="方正仿宋_GBK" w:hAnsi="方正仿宋_GBK" w:eastAsia="方正仿宋_GBK" w:cs="方正仿宋_GBK"/>
          <w:color w:val="auto"/>
          <w:kern w:val="0"/>
          <w:sz w:val="32"/>
          <w:szCs w:val="32"/>
          <w:highlight w:val="none"/>
          <w:shd w:val="clear" w:color="auto" w:fill="FFFFFF"/>
          <w:lang w:val="en-US" w:eastAsia="zh-CN" w:bidi="ar-SA"/>
        </w:rPr>
        <w:t>区财政未对我部门开展绩效评价。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76" w:lineRule="exact"/>
        <w:textAlignment w:val="auto"/>
        <w:outlineLvl w:val="9"/>
        <w:rPr>
          <w:rFonts w:hint="eastAsia" w:ascii="方正黑体_GBK" w:hAnsi="方正黑体_GBK" w:eastAsia="方正黑体_GBK" w:cs="方正黑体_GBK"/>
          <w:b w:val="0"/>
          <w:bCs/>
          <w:kern w:val="0"/>
          <w:sz w:val="32"/>
          <w:szCs w:val="32"/>
        </w:rPr>
      </w:pPr>
      <w:r>
        <w:rPr>
          <w:rStyle w:val="16"/>
          <w:rFonts w:hint="eastAsia" w:ascii="方正仿宋_GBK" w:hAnsi="方正仿宋_GBK" w:eastAsia="方正仿宋_GBK" w:cs="方正仿宋_GBK"/>
          <w:b/>
          <w:bCs/>
          <w:sz w:val="32"/>
          <w:szCs w:val="32"/>
          <w:shd w:val="clear" w:fill="FFFFFF"/>
        </w:rPr>
        <w:t xml:space="preserve"> </w:t>
      </w:r>
      <w:r>
        <w:rPr>
          <w:rStyle w:val="16"/>
          <w:rFonts w:hint="eastAsia" w:ascii="方正仿宋_GBK" w:hAnsi="方正仿宋_GBK" w:eastAsia="方正仿宋_GBK" w:cs="方正仿宋_GBK"/>
          <w:b/>
          <w:bCs/>
          <w:sz w:val="32"/>
          <w:szCs w:val="32"/>
          <w:shd w:val="clear" w:fill="FFFFFF"/>
          <w:lang w:val="en-US" w:eastAsia="zh-CN"/>
        </w:rPr>
        <w:t xml:space="preserve"> </w:t>
      </w:r>
      <w:r>
        <w:rPr>
          <w:rStyle w:val="16"/>
          <w:rFonts w:hint="eastAsia" w:ascii="方正仿宋_GBK" w:hAnsi="方正仿宋_GBK" w:eastAsia="方正仿宋_GBK" w:cs="方正仿宋_GBK"/>
          <w:b w:val="0"/>
          <w:bCs/>
          <w:sz w:val="32"/>
          <w:szCs w:val="32"/>
          <w:shd w:val="clear" w:fill="FFFFFF"/>
          <w:lang w:val="en-US" w:eastAsia="zh-CN"/>
        </w:rPr>
        <w:t xml:space="preserve"> </w:t>
      </w:r>
      <w:r>
        <w:rPr>
          <w:rStyle w:val="11"/>
          <w:rFonts w:hint="eastAsia" w:ascii="黑体" w:hAnsi="黑体" w:eastAsia="黑体" w:cs="黑体"/>
          <w:b w:val="0"/>
          <w:bCs/>
          <w:sz w:val="32"/>
          <w:szCs w:val="32"/>
          <w:shd w:val="clear" w:color="auto" w:fill="FFFFFF"/>
          <w:lang w:val="en-US" w:eastAsia="zh-CN" w:bidi="ar-SA"/>
        </w:rPr>
        <w:t xml:space="preserve"> </w:t>
      </w:r>
      <w:r>
        <w:rPr>
          <w:rStyle w:val="11"/>
          <w:rFonts w:hint="eastAsia" w:ascii="方正黑体_GBK" w:hAnsi="方正黑体_GBK" w:eastAsia="方正黑体_GBK" w:cs="方正黑体_GBK"/>
          <w:b w:val="0"/>
          <w:bCs/>
          <w:sz w:val="32"/>
          <w:szCs w:val="32"/>
          <w:shd w:val="clear" w:color="auto" w:fill="FFFFFF"/>
          <w:lang w:val="en-US" w:eastAsia="zh-CN" w:bidi="ar-SA"/>
        </w:rPr>
        <w:t>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仿宋_GB2312" w:hAnsi="仿宋_GB2312" w:eastAsia="仿宋_GB2312" w:cs="仿宋_GB2312"/>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仿宋_GBK" w:hAnsi="方正仿宋_GBK" w:eastAsia="方正仿宋_GBK" w:cs="方正仿宋_GBK"/>
          <w:kern w:val="0"/>
          <w:sz w:val="32"/>
          <w:szCs w:val="32"/>
        </w:rPr>
      </w:pPr>
      <w:r>
        <w:rPr>
          <w:rStyle w:val="11"/>
          <w:rFonts w:hint="eastAsia" w:ascii="方正楷体_GBK" w:hAnsi="方正楷体_GBK" w:eastAsia="方正楷体_GBK" w:cs="方正楷体_GBK"/>
          <w:b w:val="0"/>
          <w:bCs/>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ind w:firstLine="640" w:firstLineChars="200"/>
        <w:textAlignment w:val="auto"/>
        <w:outlineLvl w:val="9"/>
        <w:rPr>
          <w:rFonts w:hint="eastAsia" w:ascii="方正黑体_GBK" w:hAnsi="方正黑体_GBK" w:eastAsia="方正黑体_GBK" w:cs="方正黑体_GBK"/>
          <w:b w:val="0"/>
          <w:bCs/>
          <w:kern w:val="0"/>
          <w:sz w:val="32"/>
          <w:szCs w:val="32"/>
        </w:rPr>
      </w:pPr>
      <w:r>
        <w:rPr>
          <w:rStyle w:val="11"/>
          <w:rFonts w:hint="eastAsia" w:ascii="方正黑体_GBK" w:hAnsi="方正黑体_GBK" w:eastAsia="方正黑体_GBK" w:cs="方正黑体_GBK"/>
          <w:b w:val="0"/>
          <w:bCs/>
          <w:sz w:val="32"/>
          <w:szCs w:val="32"/>
          <w:shd w:val="clear" w:color="auto" w:fill="FFFFFF"/>
          <w:lang w:val="en-US" w:eastAsia="zh-CN" w:bidi="ar-SA"/>
        </w:rPr>
        <w:t>七、决</w:t>
      </w:r>
      <w:bookmarkStart w:id="0" w:name="_GoBack"/>
      <w:bookmarkEnd w:id="0"/>
      <w:r>
        <w:rPr>
          <w:rStyle w:val="11"/>
          <w:rFonts w:hint="eastAsia" w:ascii="方正黑体_GBK" w:hAnsi="方正黑体_GBK" w:eastAsia="方正黑体_GBK" w:cs="方正黑体_GBK"/>
          <w:b w:val="0"/>
          <w:bCs/>
          <w:sz w:val="32"/>
          <w:szCs w:val="32"/>
          <w:shd w:val="clear" w:color="auto" w:fill="FFFFFF"/>
          <w:lang w:val="en-US" w:eastAsia="zh-CN" w:bidi="ar-SA"/>
        </w:rPr>
        <w:t>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76" w:lineRule="exact"/>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color w:val="auto"/>
          <w:kern w:val="0"/>
          <w:sz w:val="32"/>
          <w:szCs w:val="32"/>
          <w:shd w:val="clear" w:fill="FFFFFF"/>
          <w:lang w:eastAsia="zh-CN"/>
        </w:rPr>
        <w:t>熊璐</w:t>
      </w:r>
      <w:r>
        <w:rPr>
          <w:rFonts w:hint="eastAsia" w:ascii="方正仿宋_GBK" w:hAnsi="方正仿宋_GBK" w:eastAsia="方正仿宋_GBK" w:cs="方正仿宋_GBK"/>
          <w:color w:val="auto"/>
          <w:kern w:val="0"/>
          <w:sz w:val="32"/>
          <w:szCs w:val="32"/>
          <w:shd w:val="clear" w:fill="FFFFFF"/>
        </w:rPr>
        <w:t xml:space="preserve">   023-</w:t>
      </w:r>
      <w:r>
        <w:rPr>
          <w:rFonts w:hint="eastAsia" w:ascii="方正仿宋_GBK" w:hAnsi="方正仿宋_GBK" w:eastAsia="方正仿宋_GBK" w:cs="方正仿宋_GBK"/>
          <w:color w:val="auto"/>
          <w:kern w:val="0"/>
          <w:sz w:val="32"/>
          <w:szCs w:val="32"/>
          <w:shd w:val="clear" w:fill="FFFFFF"/>
          <w:lang w:val="en-US" w:eastAsia="zh-CN"/>
        </w:rPr>
        <w:t>85886008</w:t>
      </w:r>
    </w:p>
    <w:p>
      <w:pPr>
        <w:pStyle w:val="14"/>
        <w:keepNext w:val="0"/>
        <w:keepLines w:val="0"/>
        <w:pageBreakBefore w:val="0"/>
        <w:widowControl/>
        <w:kinsoku/>
        <w:wordWrap/>
        <w:overflowPunct/>
        <w:topLinePunct w:val="0"/>
        <w:autoSpaceDE w:val="0"/>
        <w:autoSpaceDN/>
        <w:bidi w:val="0"/>
        <w:adjustRightInd/>
        <w:spacing w:beforeAutospacing="0" w:afterAutospacing="0" w:line="576" w:lineRule="exact"/>
        <w:ind w:firstLine="640"/>
        <w:jc w:val="both"/>
        <w:textAlignment w:val="auto"/>
        <w:outlineLvl w:val="9"/>
        <w:rPr>
          <w:rStyle w:val="11"/>
          <w:rFonts w:hint="eastAsia"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hint="eastAsia" w:cs="宋体"/>
                <w:sz w:val="20"/>
                <w:szCs w:val="20"/>
                <w:lang w:eastAsia="zh-CN"/>
              </w:rPr>
              <w:t>部门</w:t>
            </w:r>
            <w:r>
              <w:rPr>
                <w:rFonts w:cs="宋体"/>
                <w:sz w:val="20"/>
                <w:szCs w:val="20"/>
              </w:rPr>
              <w:t>：</w:t>
            </w:r>
            <w:r>
              <w:rPr>
                <w:sz w:val="20"/>
                <w:u w:color="auto"/>
              </w:rPr>
              <w:t>重庆市綦江区交通运输委员会</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31,219.89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18,330.21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2,243.54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352.92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23,704.35</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27,470.23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49,550.10</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54,230.86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4,680.76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54,230.86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54,230.86</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2"/>
        <w:tblW w:w="15503" w:type="dxa"/>
        <w:tblInd w:w="0" w:type="dxa"/>
        <w:tblLayout w:type="fixed"/>
        <w:tblCellMar>
          <w:top w:w="0" w:type="dxa"/>
          <w:left w:w="0" w:type="dxa"/>
          <w:bottom w:w="0" w:type="dxa"/>
          <w:right w:w="0" w:type="dxa"/>
        </w:tblCellMar>
      </w:tblPr>
      <w:tblGrid>
        <w:gridCol w:w="1362"/>
        <w:gridCol w:w="2973"/>
        <w:gridCol w:w="1377"/>
        <w:gridCol w:w="1432"/>
        <w:gridCol w:w="1466"/>
        <w:gridCol w:w="1358"/>
        <w:gridCol w:w="1383"/>
        <w:gridCol w:w="1256"/>
        <w:gridCol w:w="1256"/>
        <w:gridCol w:w="1640"/>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71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sz w:val="20"/>
                <w:szCs w:val="20"/>
              </w:rPr>
              <w:t>：</w:t>
            </w:r>
            <w:r>
              <w:rPr>
                <w:sz w:val="20"/>
                <w:u w:color="auto"/>
              </w:rPr>
              <w:t>重庆市綦江区交通运输委员会</w:t>
            </w: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71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46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5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383"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4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335"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14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27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16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36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2973"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138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36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297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4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8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3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37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49,550.10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49,550.10</w:t>
            </w:r>
            <w:r>
              <w:rPr>
                <w:rFonts w:ascii="Times New Roman" w:hAnsi="Times New Roman"/>
                <w:b/>
                <w:color w:val="000000"/>
                <w:sz w:val="20"/>
                <w:u w:color="auto"/>
              </w:rPr>
              <w:t xml:space="preserve"> </w:t>
            </w:r>
          </w:p>
        </w:tc>
        <w:tc>
          <w:tcPr>
            <w:tcW w:w="146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2,243.54</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2,243.54</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2,230.29</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2,230.29</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580.87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580.87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151.87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151.87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26.08</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26.08</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19,154.21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19,154.21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18,330.21</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18,330.21</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7,285.21</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7,285.21</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11,045.00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27,430.23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27,430.23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27,430.23</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27,430.23</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2,416.23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2,416.23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17,545.46</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17,545.46</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4,503.23</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4,503.23</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904.37</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904.37</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2140123</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航道维护</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103.39</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103.39</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海事管理</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687.00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1,001.44</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1,001.44</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36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29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3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369.20</w:t>
            </w:r>
            <w:r>
              <w:rPr>
                <w:rFonts w:ascii="Times New Roman" w:hAnsi="Times New Roman"/>
                <w:color w:val="000000"/>
                <w:sz w:val="20"/>
                <w:u w:color="auto"/>
              </w:rPr>
              <w:t xml:space="preserve"> </w:t>
            </w:r>
          </w:p>
        </w:tc>
        <w:tc>
          <w:tcPr>
            <w:tcW w:w="14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2"/>
        <w:tblW w:w="15322" w:type="dxa"/>
        <w:tblInd w:w="0" w:type="dxa"/>
        <w:tblLayout w:type="fixed"/>
        <w:tblCellMar>
          <w:top w:w="0" w:type="dxa"/>
          <w:left w:w="0" w:type="dxa"/>
          <w:bottom w:w="0" w:type="dxa"/>
          <w:right w:w="0" w:type="dxa"/>
        </w:tblCellMar>
      </w:tblPr>
      <w:tblGrid>
        <w:gridCol w:w="1237"/>
        <w:gridCol w:w="3916"/>
        <w:gridCol w:w="1800"/>
        <w:gridCol w:w="1740"/>
        <w:gridCol w:w="1572"/>
        <w:gridCol w:w="1508"/>
        <w:gridCol w:w="1671"/>
        <w:gridCol w:w="187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953"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 xml:space="preserve">重庆市綦江区交通运输委员会 </w:t>
            </w: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953"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4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5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67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7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5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1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187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2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9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2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9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5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7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1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8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54,230.86</w:t>
            </w:r>
            <w:r>
              <w:rPr>
                <w:rFonts w:ascii="Times New Roman" w:hAnsi="Times New Roman"/>
                <w:b/>
                <w:color w:val="000000"/>
                <w:sz w:val="20"/>
                <w:u w:color="auto"/>
              </w:rPr>
              <w:t xml:space="preserve"> </w:t>
            </w:r>
          </w:p>
        </w:tc>
        <w:tc>
          <w:tcPr>
            <w:tcW w:w="174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8,241.20</w:t>
            </w:r>
            <w:r>
              <w:rPr>
                <w:rFonts w:ascii="Times New Roman" w:hAnsi="Times New Roman"/>
                <w:b/>
                <w:color w:val="000000"/>
                <w:sz w:val="20"/>
                <w:u w:color="auto"/>
              </w:rPr>
              <w:t xml:space="preserve"> </w:t>
            </w:r>
          </w:p>
        </w:tc>
        <w:tc>
          <w:tcPr>
            <w:tcW w:w="157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45,989.66</w:t>
            </w:r>
            <w:r>
              <w:rPr>
                <w:rFonts w:ascii="Times New Roman" w:hAnsi="Times New Roman"/>
                <w:b/>
                <w:color w:val="000000"/>
                <w:sz w:val="20"/>
                <w:u w:color="auto"/>
              </w:rPr>
              <w:t xml:space="preserve"> </w:t>
            </w:r>
          </w:p>
        </w:tc>
        <w:tc>
          <w:tcPr>
            <w:tcW w:w="1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7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7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2,243.54</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2,243.54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2,230.29</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2,230.29</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580.87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580.87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289.19</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1,360.23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154.01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151.87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151.87</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20.96</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26.08</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23,704.35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23,704.35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824.00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21208</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22,880.35</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22,880.35</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农村基础设施建设支出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7,285.21</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7,285.21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2120899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其他国有土地使用权出让收入安排的支出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15,595.14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15,595.14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27,470.23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5,275.54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22,194.68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27,470.23</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5,275.54</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22,194.68</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2,416.23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2,416.23</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190.96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17,545.46</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17,545.46</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4,503.23</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2,030.02</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2,473.21</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944.37</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944.37</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2140123</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航道维护</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103.39</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103.39</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海事管理</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687.00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600.78</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86.22</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1,001.44</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228.51</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772.93</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2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39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8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369.20</w:t>
            </w:r>
            <w:r>
              <w:rPr>
                <w:rFonts w:ascii="Times New Roman" w:hAnsi="Times New Roman"/>
                <w:color w:val="000000"/>
                <w:sz w:val="20"/>
                <w:u w:color="auto"/>
              </w:rPr>
              <w:t xml:space="preserve"> </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369.20</w:t>
            </w:r>
            <w:r>
              <w:rPr>
                <w:rFonts w:ascii="Times New Roman" w:hAnsi="Times New Roman"/>
                <w:color w:val="000000"/>
                <w:sz w:val="20"/>
                <w:u w:color="auto"/>
              </w:rPr>
              <w:t xml:space="preserve"> </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重庆市綦江区交通运输委员会</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31,219.89</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18,330.21</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2,243.54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2,243.54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352.92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90.62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23,704.35</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824.00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22,880.35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27,470.23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27,470.23</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369.20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49,550.10</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54,230.86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22,880.35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4,680.76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130.62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4,550.14</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54,230.86</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54,230.86</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31,350.51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22,880.35</w:t>
            </w: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30"/>
        <w:gridCol w:w="4067"/>
        <w:gridCol w:w="3300"/>
        <w:gridCol w:w="3291"/>
        <w:gridCol w:w="3334"/>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9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重庆市綦江区交通运输委员会</w:t>
            </w: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9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29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33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992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3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406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2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3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3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6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2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3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9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31,350.51</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8,241.20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23,109.30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2,243.54</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2,243.54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2,230.29</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2,230.29</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580.87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289.19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289.19</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1,360.23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1,360.23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20808</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13.25</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2080801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死亡抚恤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13.25</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352.92</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154.01</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154.01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151.87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151.87</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公务员医疗补助</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20.96</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26.08</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节能环保支出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21103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污染防治</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90.62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2110399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其他污染防治支出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90.62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城乡社区公共设施</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824.00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2120399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其他城乡社区公共设施支出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824.00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交通运输支出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27,470.23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5,275.54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22,194.68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21401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公路水路运输</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27,470.23</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5,275.54</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22,194.68</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2,416.23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2,416.23</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一般行政管理事务</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190.96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2140104</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公路建设</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17,545.46</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17,545.46</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2140106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公路养护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4,503.23</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2,030.02</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2,473.21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2140112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公路运输管理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944.37</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944.37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2140123</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航道维护</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103.39</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103.39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海事管理</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78.14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2140136</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水路运输管理支出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687.00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600.78</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86.22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2140199</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其他公路水路运输支出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1,001.44</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228.51</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772.93</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369.20</w:t>
            </w:r>
            <w:r>
              <w:rPr>
                <w:rFonts w:ascii="Times New Roman" w:hAnsi="Times New Roman"/>
                <w:b/>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3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40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369.20</w:t>
            </w:r>
            <w:r>
              <w:rPr>
                <w:rFonts w:ascii="Times New Roman" w:hAnsi="Times New Roman"/>
                <w:color w:val="000000"/>
                <w:sz w:val="20"/>
                <w:u w:color="auto"/>
              </w:rPr>
              <w:t xml:space="preserve"> </w:t>
            </w:r>
          </w:p>
        </w:tc>
        <w:tc>
          <w:tcPr>
            <w:tcW w:w="32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369.20</w:t>
            </w:r>
            <w:r>
              <w:rPr>
                <w:rFonts w:ascii="Times New Roman" w:hAnsi="Times New Roman"/>
                <w:color w:val="000000"/>
                <w:sz w:val="20"/>
                <w:u w:color="auto"/>
              </w:rPr>
              <w:t xml:space="preserve"> </w:t>
            </w:r>
          </w:p>
        </w:tc>
        <w:tc>
          <w:tcPr>
            <w:tcW w:w="33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2"/>
        <w:tblW w:w="15304" w:type="dxa"/>
        <w:tblInd w:w="0" w:type="dxa"/>
        <w:tblLayout w:type="fixed"/>
        <w:tblCellMar>
          <w:top w:w="0" w:type="dxa"/>
          <w:left w:w="0" w:type="dxa"/>
          <w:bottom w:w="0" w:type="dxa"/>
          <w:right w:w="0" w:type="dxa"/>
        </w:tblCellMar>
      </w:tblPr>
      <w:tblGrid>
        <w:gridCol w:w="784"/>
        <w:gridCol w:w="2792"/>
        <w:gridCol w:w="1522"/>
        <w:gridCol w:w="854"/>
        <w:gridCol w:w="2015"/>
        <w:gridCol w:w="1400"/>
        <w:gridCol w:w="855"/>
        <w:gridCol w:w="3451"/>
        <w:gridCol w:w="1631"/>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7967"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hint="eastAsia" w:cs="宋体"/>
                <w:sz w:val="20"/>
                <w:szCs w:val="20"/>
                <w:lang w:eastAsia="zh-CN"/>
              </w:rPr>
              <w:t>部门</w:t>
            </w:r>
            <w:r>
              <w:rPr>
                <w:rFonts w:cs="宋体"/>
                <w:color w:val="000000"/>
                <w:sz w:val="20"/>
                <w:szCs w:val="20"/>
              </w:rPr>
              <w:t>：</w:t>
            </w:r>
            <w:r>
              <w:rPr>
                <w:color w:val="000000"/>
                <w:sz w:val="20"/>
                <w:u w:color="auto"/>
              </w:rPr>
              <w:t>重庆市綦江区交通运输委员会</w:t>
            </w: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520" w:hRule="atLeast"/>
        </w:trPr>
        <w:tc>
          <w:tcPr>
            <w:tcW w:w="7967"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4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85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345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63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5098"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10206"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78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52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4"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01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4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85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45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3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78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7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52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4"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01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4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85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345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63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5,742.60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1,153.73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1,427.31</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123.74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455.37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15.24</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780.84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1,404.37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580.87</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22.36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289.19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76.28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305.88</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55.64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369.20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47.04</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31.23</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26.89</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12.54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1,329.63</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27.29</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3.14</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13.25</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1,184.92</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117.12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93.60</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233.67</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37.86</w:t>
            </w: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214.12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73.52</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103.18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99.98</w:t>
            </w: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78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7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5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8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20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14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3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57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152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7,072.23</w:t>
            </w:r>
            <w:r>
              <w:rPr>
                <w:rFonts w:ascii="Times New Roman" w:hAnsi="Times New Roman"/>
                <w:color w:val="000000"/>
                <w:sz w:val="18"/>
                <w:u w:color="auto"/>
              </w:rPr>
              <w:t xml:space="preserve"> </w:t>
            </w:r>
          </w:p>
        </w:tc>
        <w:tc>
          <w:tcPr>
            <w:tcW w:w="8575"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163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1,168.97</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87"/>
        <w:gridCol w:w="3527"/>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重庆市綦江区交通运输委员会</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38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5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38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5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4,550.14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18,330.21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22,880.35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22,880.35</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城乡社区支出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4,550.14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18,330.21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22,880.35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22,880.35</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21208</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b/>
                <w:color w:val="000000"/>
                <w:sz w:val="20"/>
                <w:szCs w:val="20"/>
              </w:rPr>
              <w:t>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4,550.14</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18,330.21</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22,880.35</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22,880.35</w:t>
            </w:r>
            <w:r>
              <w:rPr>
                <w:rFonts w:ascii="Times New Roman" w:hAnsi="Times New Roman"/>
                <w:b/>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2120804</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农村基础设施建设支出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7,285.21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7,285.21</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7,285.21</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38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2120899</w:t>
            </w:r>
          </w:p>
        </w:tc>
        <w:tc>
          <w:tcPr>
            <w:tcW w:w="35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rPr>
            </w:pPr>
            <w:r>
              <w:rPr>
                <w:rFonts w:cs="宋体"/>
                <w:color w:val="000000"/>
                <w:sz w:val="20"/>
                <w:szCs w:val="20"/>
              </w:rPr>
              <w:t>其他国有土地使用权出让收入安排的支出</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4,550.14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11,045.00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15,595.14</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15,595.14</w:t>
            </w:r>
            <w:r>
              <w:rPr>
                <w:rFonts w:ascii="Times New Roman" w:hAnsi="Times New Roman"/>
                <w:color w:val="000000"/>
                <w:sz w:val="20"/>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备注：1.本表反映部门本年度政府性基金预算财政拨款收入支出及结转和结余情况。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2"/>
        <w:tblW w:w="15322" w:type="dxa"/>
        <w:tblInd w:w="0" w:type="dxa"/>
        <w:tblLayout w:type="fixed"/>
        <w:tblCellMar>
          <w:top w:w="0" w:type="dxa"/>
          <w:left w:w="0" w:type="dxa"/>
          <w:bottom w:w="0" w:type="dxa"/>
          <w:right w:w="0" w:type="dxa"/>
        </w:tblCellMar>
      </w:tblPr>
      <w:tblGrid>
        <w:gridCol w:w="1305"/>
        <w:gridCol w:w="3604"/>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hint="eastAsia" w:cs="宋体"/>
                <w:sz w:val="20"/>
                <w:szCs w:val="20"/>
                <w:lang w:eastAsia="zh-CN"/>
              </w:rPr>
              <w:t>部门</w:t>
            </w:r>
            <w:r>
              <w:rPr>
                <w:rFonts w:cs="宋体"/>
                <w:color w:val="000000"/>
                <w:sz w:val="20"/>
                <w:szCs w:val="20"/>
              </w:rPr>
              <w:t>：</w:t>
            </w:r>
            <w:r>
              <w:rPr>
                <w:color w:val="000000"/>
                <w:sz w:val="20"/>
                <w:u w:color="auto"/>
              </w:rPr>
              <w:t>重庆市綦江区交通运输委员会</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360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60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6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2"/>
        <w:tblW w:w="14130" w:type="dxa"/>
        <w:tblInd w:w="0" w:type="dxa"/>
        <w:tblLayout w:type="fixed"/>
        <w:tblCellMar>
          <w:top w:w="0" w:type="dxa"/>
          <w:left w:w="170" w:type="dxa"/>
          <w:bottom w:w="0" w:type="dxa"/>
          <w:right w:w="170" w:type="dxa"/>
        </w:tblCellMar>
      </w:tblPr>
      <w:tblGrid>
        <w:gridCol w:w="3162"/>
        <w:gridCol w:w="2402"/>
        <w:gridCol w:w="2360"/>
        <w:gridCol w:w="3726"/>
        <w:gridCol w:w="2480"/>
      </w:tblGrid>
      <w:tr>
        <w:tblPrEx>
          <w:tblLayout w:type="fixed"/>
          <w:tblCellMar>
            <w:top w:w="0" w:type="dxa"/>
            <w:left w:w="170" w:type="dxa"/>
            <w:bottom w:w="0" w:type="dxa"/>
            <w:right w:w="170" w:type="dxa"/>
          </w:tblCellMar>
        </w:tblPrEx>
        <w:trPr>
          <w:trHeight w:val="343" w:hRule="atLeast"/>
        </w:trPr>
        <w:tc>
          <w:tcPr>
            <w:tcW w:w="14130"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62"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02"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2360"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64"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sz w:val="20"/>
                <w:szCs w:val="20"/>
                <w:lang w:eastAsia="zh-CN"/>
              </w:rPr>
              <w:t>部门</w:t>
            </w:r>
            <w:r>
              <w:rPr>
                <w:rFonts w:cs="宋体"/>
                <w:color w:val="000000"/>
                <w:kern w:val="2"/>
                <w:sz w:val="20"/>
                <w:szCs w:val="20"/>
              </w:rPr>
              <w:t>：</w:t>
            </w:r>
            <w:r>
              <w:rPr>
                <w:color w:val="000000"/>
                <w:sz w:val="20"/>
                <w:u w:color="auto"/>
              </w:rPr>
              <w:t>重庆市綦江区交通运输委员会</w:t>
            </w:r>
          </w:p>
        </w:tc>
        <w:tc>
          <w:tcPr>
            <w:tcW w:w="236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rPr>
            </w:pPr>
          </w:p>
        </w:tc>
        <w:tc>
          <w:tcPr>
            <w:tcW w:w="2480"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608.27</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76.67</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76.67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76.49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531.78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73.52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73.52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73.52</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73.52</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3.14</w:t>
            </w:r>
            <w:r>
              <w:rPr>
                <w:rFonts w:ascii="Times New Roman" w:hAnsi="Times New Roman"/>
                <w:color w:val="000000"/>
                <w:sz w:val="18"/>
                <w:u w:color="auto"/>
              </w:rPr>
              <w:t xml:space="preserve"> </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17,741.13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6,445.32</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337</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7,779.08</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3,516.73</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15,078.04</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10,323.49</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4.89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27.29</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6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0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6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0.84</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24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28" o:spid="_x0000_s1028" o:spt="202" type="#_x0000_t202" style="position:absolute;left:0pt;margin-top:0pt;height:144pt;width:144pt;mso-position-horizontal:in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A35A28"/>
    <w:multiLevelType w:val="singleLevel"/>
    <w:tmpl w:val="2AA35A28"/>
    <w:lvl w:ilvl="0" w:tentative="0">
      <w:start w:val="1"/>
      <w:numFmt w:val="decimal"/>
      <w:suff w:val="nothing"/>
      <w:lvlText w:val="（%1）"/>
      <w:lvlJc w:val="left"/>
    </w:lvl>
  </w:abstractNum>
  <w:abstractNum w:abstractNumId="1">
    <w:nsid w:val="6EE381E9"/>
    <w:multiLevelType w:val="singleLevel"/>
    <w:tmpl w:val="6EE381E9"/>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182F29"/>
    <w:rsid w:val="01474EBF"/>
    <w:rsid w:val="01F3521E"/>
    <w:rsid w:val="03077B2E"/>
    <w:rsid w:val="03B87EA0"/>
    <w:rsid w:val="03E3214F"/>
    <w:rsid w:val="044C50BA"/>
    <w:rsid w:val="05BC6D49"/>
    <w:rsid w:val="06194FF1"/>
    <w:rsid w:val="06A2550B"/>
    <w:rsid w:val="06F80EE2"/>
    <w:rsid w:val="07001CCA"/>
    <w:rsid w:val="075678DB"/>
    <w:rsid w:val="079D7CC7"/>
    <w:rsid w:val="08051BCA"/>
    <w:rsid w:val="086C12F4"/>
    <w:rsid w:val="08BA052C"/>
    <w:rsid w:val="08DB07BA"/>
    <w:rsid w:val="0969353F"/>
    <w:rsid w:val="098305D0"/>
    <w:rsid w:val="098A0877"/>
    <w:rsid w:val="0A5C4B69"/>
    <w:rsid w:val="0A86124A"/>
    <w:rsid w:val="0AB54CC0"/>
    <w:rsid w:val="0AF5499D"/>
    <w:rsid w:val="0B9335CE"/>
    <w:rsid w:val="0C7927C4"/>
    <w:rsid w:val="0C9B098C"/>
    <w:rsid w:val="0D673E11"/>
    <w:rsid w:val="0DDA54E4"/>
    <w:rsid w:val="0E084ABF"/>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3E2887"/>
    <w:rsid w:val="13871C70"/>
    <w:rsid w:val="13A71CB4"/>
    <w:rsid w:val="13AF1D43"/>
    <w:rsid w:val="13CE1647"/>
    <w:rsid w:val="13DA0C25"/>
    <w:rsid w:val="13FD55AB"/>
    <w:rsid w:val="14200702"/>
    <w:rsid w:val="14907817"/>
    <w:rsid w:val="161B5254"/>
    <w:rsid w:val="163A6CEE"/>
    <w:rsid w:val="173708E3"/>
    <w:rsid w:val="174C19C7"/>
    <w:rsid w:val="17C374FC"/>
    <w:rsid w:val="189079DC"/>
    <w:rsid w:val="189B0D0B"/>
    <w:rsid w:val="18B43F7C"/>
    <w:rsid w:val="194A1770"/>
    <w:rsid w:val="19B906A4"/>
    <w:rsid w:val="19FB026E"/>
    <w:rsid w:val="1B6F15B6"/>
    <w:rsid w:val="1BAA2EDC"/>
    <w:rsid w:val="1C5C0973"/>
    <w:rsid w:val="1CA55E64"/>
    <w:rsid w:val="1D014A01"/>
    <w:rsid w:val="1D022362"/>
    <w:rsid w:val="1D1B04B0"/>
    <w:rsid w:val="1D6534C4"/>
    <w:rsid w:val="1DBD6767"/>
    <w:rsid w:val="1DC52125"/>
    <w:rsid w:val="1DD26311"/>
    <w:rsid w:val="1E374ACB"/>
    <w:rsid w:val="1E5E27E3"/>
    <w:rsid w:val="1EA33588"/>
    <w:rsid w:val="1EB57761"/>
    <w:rsid w:val="1ECF0A66"/>
    <w:rsid w:val="1EF67CA4"/>
    <w:rsid w:val="1F020D3A"/>
    <w:rsid w:val="1F2C5189"/>
    <w:rsid w:val="1F4B0B02"/>
    <w:rsid w:val="1FBB35CD"/>
    <w:rsid w:val="1FCD26AF"/>
    <w:rsid w:val="20642787"/>
    <w:rsid w:val="20F4064E"/>
    <w:rsid w:val="21556F04"/>
    <w:rsid w:val="22403BD3"/>
    <w:rsid w:val="23DA37D9"/>
    <w:rsid w:val="24B92327"/>
    <w:rsid w:val="24C14514"/>
    <w:rsid w:val="2533755C"/>
    <w:rsid w:val="25791755"/>
    <w:rsid w:val="26396DF4"/>
    <w:rsid w:val="27167136"/>
    <w:rsid w:val="27B23302"/>
    <w:rsid w:val="29310A5F"/>
    <w:rsid w:val="29C37A35"/>
    <w:rsid w:val="2A076083"/>
    <w:rsid w:val="2A73162E"/>
    <w:rsid w:val="2A751F0B"/>
    <w:rsid w:val="2B167953"/>
    <w:rsid w:val="2B200583"/>
    <w:rsid w:val="2B220436"/>
    <w:rsid w:val="2B8209DE"/>
    <w:rsid w:val="2C6762A3"/>
    <w:rsid w:val="2EBF7B3E"/>
    <w:rsid w:val="2EDE1934"/>
    <w:rsid w:val="2FCA4B37"/>
    <w:rsid w:val="2FE029D7"/>
    <w:rsid w:val="2FF06E00"/>
    <w:rsid w:val="30562E26"/>
    <w:rsid w:val="30586FEC"/>
    <w:rsid w:val="30EC7046"/>
    <w:rsid w:val="315F0B22"/>
    <w:rsid w:val="319D022C"/>
    <w:rsid w:val="31C90022"/>
    <w:rsid w:val="31D84415"/>
    <w:rsid w:val="32285F6F"/>
    <w:rsid w:val="32647E53"/>
    <w:rsid w:val="32770556"/>
    <w:rsid w:val="329C0913"/>
    <w:rsid w:val="32AA0460"/>
    <w:rsid w:val="3337290D"/>
    <w:rsid w:val="33E31118"/>
    <w:rsid w:val="33EF7674"/>
    <w:rsid w:val="340E7F4A"/>
    <w:rsid w:val="342D7BC6"/>
    <w:rsid w:val="34475F39"/>
    <w:rsid w:val="352930DB"/>
    <w:rsid w:val="35573069"/>
    <w:rsid w:val="355F6038"/>
    <w:rsid w:val="358C217E"/>
    <w:rsid w:val="35937598"/>
    <w:rsid w:val="36C9128A"/>
    <w:rsid w:val="372E3953"/>
    <w:rsid w:val="37841E99"/>
    <w:rsid w:val="37BF1123"/>
    <w:rsid w:val="383C3F15"/>
    <w:rsid w:val="386E2956"/>
    <w:rsid w:val="38BE4696"/>
    <w:rsid w:val="3939115E"/>
    <w:rsid w:val="39B82A39"/>
    <w:rsid w:val="39C42CA8"/>
    <w:rsid w:val="39DC4FD6"/>
    <w:rsid w:val="39F03D7A"/>
    <w:rsid w:val="39F33306"/>
    <w:rsid w:val="3A2C1C67"/>
    <w:rsid w:val="3B1705E5"/>
    <w:rsid w:val="3B18334B"/>
    <w:rsid w:val="3B36794F"/>
    <w:rsid w:val="3C566AD6"/>
    <w:rsid w:val="3C6A5B02"/>
    <w:rsid w:val="3D2757A1"/>
    <w:rsid w:val="3D3D4FC4"/>
    <w:rsid w:val="3DDF3AB1"/>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11B6CE5"/>
    <w:rsid w:val="412070D7"/>
    <w:rsid w:val="41314E40"/>
    <w:rsid w:val="41E0734B"/>
    <w:rsid w:val="426554D0"/>
    <w:rsid w:val="426C1EA8"/>
    <w:rsid w:val="42736402"/>
    <w:rsid w:val="42E86A87"/>
    <w:rsid w:val="43307B09"/>
    <w:rsid w:val="43470647"/>
    <w:rsid w:val="438D0E97"/>
    <w:rsid w:val="43BB152F"/>
    <w:rsid w:val="44494994"/>
    <w:rsid w:val="44C37687"/>
    <w:rsid w:val="45CB699A"/>
    <w:rsid w:val="465B470D"/>
    <w:rsid w:val="469D6AD4"/>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C92552"/>
    <w:rsid w:val="4EFC6D10"/>
    <w:rsid w:val="4F0C6BA3"/>
    <w:rsid w:val="4F10477D"/>
    <w:rsid w:val="4F186D58"/>
    <w:rsid w:val="4FEA65B7"/>
    <w:rsid w:val="5042146E"/>
    <w:rsid w:val="50F06B6E"/>
    <w:rsid w:val="51A66597"/>
    <w:rsid w:val="52234D33"/>
    <w:rsid w:val="52261ABA"/>
    <w:rsid w:val="522F6E0C"/>
    <w:rsid w:val="52463BA1"/>
    <w:rsid w:val="5298794F"/>
    <w:rsid w:val="52F163D4"/>
    <w:rsid w:val="531A2DB4"/>
    <w:rsid w:val="53C0244D"/>
    <w:rsid w:val="53DD4D4E"/>
    <w:rsid w:val="53E578CE"/>
    <w:rsid w:val="541330F0"/>
    <w:rsid w:val="54272666"/>
    <w:rsid w:val="543B029D"/>
    <w:rsid w:val="544C3364"/>
    <w:rsid w:val="546E3CF1"/>
    <w:rsid w:val="54861779"/>
    <w:rsid w:val="550A3B1B"/>
    <w:rsid w:val="552256E1"/>
    <w:rsid w:val="554E5773"/>
    <w:rsid w:val="555A3CBC"/>
    <w:rsid w:val="5561713D"/>
    <w:rsid w:val="5582012B"/>
    <w:rsid w:val="558E4E05"/>
    <w:rsid w:val="55BE2E85"/>
    <w:rsid w:val="55D82B6C"/>
    <w:rsid w:val="561D52C4"/>
    <w:rsid w:val="5651697D"/>
    <w:rsid w:val="56530F5D"/>
    <w:rsid w:val="56692AE5"/>
    <w:rsid w:val="567700D3"/>
    <w:rsid w:val="56FF7E9E"/>
    <w:rsid w:val="578867FC"/>
    <w:rsid w:val="584122DB"/>
    <w:rsid w:val="5842572D"/>
    <w:rsid w:val="5A3B59D6"/>
    <w:rsid w:val="5AD134D8"/>
    <w:rsid w:val="5B6503B1"/>
    <w:rsid w:val="5C0F7EC4"/>
    <w:rsid w:val="5C263CE4"/>
    <w:rsid w:val="5C5D2777"/>
    <w:rsid w:val="5CF66BF3"/>
    <w:rsid w:val="5D290C69"/>
    <w:rsid w:val="5F2D4A41"/>
    <w:rsid w:val="60C74F6C"/>
    <w:rsid w:val="61025A59"/>
    <w:rsid w:val="613D5BBC"/>
    <w:rsid w:val="61536C39"/>
    <w:rsid w:val="61E64F4A"/>
    <w:rsid w:val="623E0993"/>
    <w:rsid w:val="62944DD7"/>
    <w:rsid w:val="6319381F"/>
    <w:rsid w:val="63236436"/>
    <w:rsid w:val="63C25DC5"/>
    <w:rsid w:val="63C62057"/>
    <w:rsid w:val="64571EF5"/>
    <w:rsid w:val="64CB0157"/>
    <w:rsid w:val="64FB113D"/>
    <w:rsid w:val="65036946"/>
    <w:rsid w:val="654A25FE"/>
    <w:rsid w:val="656152C6"/>
    <w:rsid w:val="6587477F"/>
    <w:rsid w:val="658C3A08"/>
    <w:rsid w:val="65C031CA"/>
    <w:rsid w:val="65CE6852"/>
    <w:rsid w:val="66267C04"/>
    <w:rsid w:val="663F505A"/>
    <w:rsid w:val="66967186"/>
    <w:rsid w:val="66EE5541"/>
    <w:rsid w:val="67924660"/>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FD1324"/>
    <w:rsid w:val="6F5A53AC"/>
    <w:rsid w:val="6FAC003D"/>
    <w:rsid w:val="6FE55E12"/>
    <w:rsid w:val="6FFB2E76"/>
    <w:rsid w:val="708F6F7F"/>
    <w:rsid w:val="70D94BD3"/>
    <w:rsid w:val="71C34D91"/>
    <w:rsid w:val="72DB435C"/>
    <w:rsid w:val="72E2613A"/>
    <w:rsid w:val="72F771F4"/>
    <w:rsid w:val="734150D5"/>
    <w:rsid w:val="736650B0"/>
    <w:rsid w:val="73934AD2"/>
    <w:rsid w:val="74EF049B"/>
    <w:rsid w:val="750837F0"/>
    <w:rsid w:val="754758CF"/>
    <w:rsid w:val="761275E6"/>
    <w:rsid w:val="764F62AB"/>
    <w:rsid w:val="765C45EC"/>
    <w:rsid w:val="768A7619"/>
    <w:rsid w:val="76AA36E6"/>
    <w:rsid w:val="772E1EBA"/>
    <w:rsid w:val="77303AE2"/>
    <w:rsid w:val="77324041"/>
    <w:rsid w:val="77EB79F7"/>
    <w:rsid w:val="79451E2C"/>
    <w:rsid w:val="796D60A4"/>
    <w:rsid w:val="79A031D5"/>
    <w:rsid w:val="7A1525F7"/>
    <w:rsid w:val="7B24540B"/>
    <w:rsid w:val="7B420052"/>
    <w:rsid w:val="7B861484"/>
    <w:rsid w:val="7BD06A28"/>
    <w:rsid w:val="7C3A7C0B"/>
    <w:rsid w:val="7C5248E4"/>
    <w:rsid w:val="7C566698"/>
    <w:rsid w:val="7C5866A3"/>
    <w:rsid w:val="7CBE2F89"/>
    <w:rsid w:val="7D7406BB"/>
    <w:rsid w:val="7DB27390"/>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9</TotalTime>
  <ScaleCrop>false</ScaleCrop>
  <LinksUpToDate>false</LinksUpToDate>
  <CharactersWithSpaces>26302</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2025-10-30T06:59:40Z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ICV">
    <vt:lpwstr>BB46EABDBB2749749395447164B066B3_12</vt:lpwstr>
  </property>
</Properties>
</file>