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重庆市綦江区财政预算评审中心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3"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一、</w:t>
      </w:r>
      <w:r>
        <w:rPr>
          <w:rStyle w:val="13"/>
          <w:rFonts w:hint="eastAsia" w:ascii="方正黑体_GBK" w:hAnsi="方正黑体_GBK" w:eastAsia="方正黑体_GBK" w:cs="方正黑体_GBK"/>
          <w:sz w:val="32"/>
          <w:szCs w:val="32"/>
          <w:shd w:val="clear" w:color="auto" w:fill="FFFFFF"/>
          <w:lang w:eastAsia="zh-CN"/>
        </w:rPr>
        <w:t>单位</w:t>
      </w:r>
      <w:r>
        <w:rPr>
          <w:rStyle w:val="13"/>
          <w:rFonts w:hint="eastAsia" w:ascii="方正黑体_GBK" w:hAnsi="方正黑体_GBK" w:eastAsia="方正黑体_GBK" w:cs="方正黑体_GBK"/>
          <w:sz w:val="32"/>
          <w:szCs w:val="32"/>
          <w:shd w:val="clear" w:color="auto" w:fill="FFFFFF"/>
        </w:rPr>
        <w:t>基本情况</w:t>
      </w:r>
    </w:p>
    <w:p>
      <w:pPr>
        <w:pStyle w:val="9"/>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76" w:lineRule="exact"/>
        <w:ind w:right="0" w:rightChars="0" w:firstLine="643" w:firstLineChars="200"/>
        <w:textAlignment w:val="auto"/>
        <w:outlineLvl w:val="9"/>
        <w:rPr>
          <w:rFonts w:hint="eastAsia" w:ascii="方正楷体_GBK" w:hAnsi="方正楷体_GBK" w:eastAsia="方正楷体_GBK" w:cs="方正楷体_GBK"/>
          <w:b/>
          <w:bCs w:val="0"/>
          <w:sz w:val="32"/>
          <w:szCs w:val="32"/>
          <w:lang w:val="en-US" w:eastAsia="zh-CN"/>
        </w:rPr>
      </w:pPr>
      <w:r>
        <w:rPr>
          <w:rStyle w:val="13"/>
          <w:rFonts w:hint="eastAsia" w:ascii="方正楷体_GBK" w:hAnsi="方正楷体_GBK" w:eastAsia="方正楷体_GBK" w:cs="方正楷体_GBK"/>
          <w:b/>
          <w:bCs w:val="0"/>
          <w:sz w:val="32"/>
          <w:szCs w:val="32"/>
          <w:shd w:val="clear" w:color="auto" w:fill="FFFFFF"/>
        </w:rPr>
        <w:t>（一）职能职责</w:t>
      </w:r>
      <w:r>
        <w:rPr>
          <w:rStyle w:val="13"/>
          <w:rFonts w:hint="eastAsia" w:ascii="方正楷体_GBK" w:hAnsi="方正楷体_GBK" w:eastAsia="方正楷体_GBK" w:cs="方正楷体_GBK"/>
          <w:b/>
          <w:bCs w:val="0"/>
          <w:sz w:val="32"/>
          <w:szCs w:val="32"/>
          <w:shd w:val="clear" w:color="auto" w:fill="FFFFFF"/>
          <w:lang w:val="en-US" w:eastAsia="zh-CN"/>
        </w:rPr>
        <w:t xml:space="preserve"> </w:t>
      </w:r>
    </w:p>
    <w:p>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right="0" w:rightChars="0" w:firstLine="640" w:firstLineChars="200"/>
        <w:jc w:val="left"/>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主要负责建设项目前期工作的评估和审查、可行性研究、论证等技术性、服务性工作；负责建设项目工程概算、预算、招标工程标底的编审工作；负责建设项目竣工结算的审查工作；负责建设项目的年度或竣工财务决算的审查工作；负责建设项目工程投资效益评价工作。</w:t>
      </w:r>
    </w:p>
    <w:p>
      <w:pPr>
        <w:pStyle w:val="9"/>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76" w:lineRule="exact"/>
        <w:ind w:right="0" w:rightChars="0" w:firstLine="643" w:firstLineChars="200"/>
        <w:textAlignment w:val="auto"/>
        <w:outlineLvl w:val="9"/>
        <w:rPr>
          <w:rStyle w:val="13"/>
          <w:rFonts w:hint="default" w:ascii="方正楷体_GBK" w:hAnsi="方正楷体_GBK" w:eastAsia="方正楷体_GBK" w:cs="方正楷体_GBK"/>
          <w:b/>
          <w:bCs w:val="0"/>
          <w:sz w:val="32"/>
          <w:szCs w:val="32"/>
          <w:shd w:val="clear" w:color="auto" w:fill="FFFFFF"/>
        </w:rPr>
      </w:pPr>
      <w:r>
        <w:rPr>
          <w:rStyle w:val="13"/>
          <w:rFonts w:hint="default" w:ascii="方正楷体_GBK" w:hAnsi="方正楷体_GBK" w:eastAsia="方正楷体_GBK" w:cs="方正楷体_GBK"/>
          <w:b/>
          <w:bCs w:val="0"/>
          <w:sz w:val="32"/>
          <w:szCs w:val="32"/>
          <w:shd w:val="clear" w:color="auto" w:fill="FFFFFF"/>
        </w:rPr>
        <w:t>（二）机构设置</w:t>
      </w:r>
    </w:p>
    <w:p>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right="0" w:rightChars="0" w:firstLine="640" w:firstLineChars="200"/>
        <w:jc w:val="left"/>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按照《中共重庆市綦江区委机构编制委员会关于调整区财政局所属事业单位机构编制事项的通知》（綦委编〔2019〕58号）文件，本单位属公益一类事业单位（正科级）。</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outlineLvl w:val="9"/>
        <w:rPr>
          <w:rFonts w:hint="eastAsia" w:eastAsia="方正仿宋_GBK"/>
          <w:b/>
          <w:bCs/>
          <w:color w:val="000000"/>
          <w:kern w:val="0"/>
          <w:sz w:val="32"/>
          <w:szCs w:val="32"/>
        </w:rPr>
      </w:pPr>
      <w:r>
        <w:rPr>
          <w:rFonts w:hint="eastAsia" w:ascii="方正楷体_GBK" w:eastAsia="方正楷体_GBK"/>
          <w:b/>
          <w:bCs/>
          <w:color w:val="000000"/>
          <w:kern w:val="0"/>
          <w:sz w:val="32"/>
          <w:szCs w:val="32"/>
        </w:rPr>
        <w:t>（三）单位构成</w:t>
      </w:r>
    </w:p>
    <w:p>
      <w:pPr>
        <w:pStyle w:val="9"/>
        <w:keepNext w:val="0"/>
        <w:keepLines w:val="0"/>
        <w:pageBreakBefore w:val="0"/>
        <w:widowControl w:val="0"/>
        <w:kinsoku/>
        <w:wordWrap/>
        <w:overflowPunct/>
        <w:topLinePunct w:val="0"/>
        <w:autoSpaceDN/>
        <w:bidi w:val="0"/>
        <w:adjustRightInd/>
        <w:snapToGrid/>
        <w:spacing w:before="0" w:beforeAutospacing="0" w:afterAutospacing="0" w:line="576" w:lineRule="exact"/>
        <w:ind w:firstLine="640" w:firstLineChars="200"/>
        <w:jc w:val="left"/>
        <w:textAlignment w:val="auto"/>
        <w:rPr>
          <w:rFonts w:hint="eastAsia" w:ascii="方正仿宋_GBK" w:hAnsi="宋体" w:eastAsia="方正仿宋_GBK"/>
          <w:sz w:val="32"/>
          <w:szCs w:val="32"/>
        </w:rPr>
      </w:pPr>
      <w:r>
        <w:rPr>
          <w:rFonts w:hint="eastAsia" w:ascii="方正仿宋_GBK" w:hAnsi="宋体" w:eastAsia="方正仿宋_GBK"/>
          <w:sz w:val="32"/>
          <w:szCs w:val="32"/>
        </w:rPr>
        <w:t>从预算单位构成看，纳入本部门202</w:t>
      </w:r>
      <w:r>
        <w:rPr>
          <w:rFonts w:hint="eastAsia" w:ascii="方正仿宋_GBK" w:eastAsia="方正仿宋_GBK"/>
          <w:sz w:val="32"/>
          <w:szCs w:val="32"/>
          <w:lang w:val="en-US" w:eastAsia="zh-CN"/>
        </w:rPr>
        <w:t>4</w:t>
      </w:r>
      <w:r>
        <w:rPr>
          <w:rFonts w:hint="eastAsia" w:ascii="方正仿宋_GBK" w:hAnsi="宋体" w:eastAsia="方正仿宋_GBK"/>
          <w:sz w:val="32"/>
          <w:szCs w:val="32"/>
        </w:rPr>
        <w:t>度决算编制的只有重庆市綦江区财政预算评审中心本级1个预算单位，本单位无下级预算单位。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3"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二、</w:t>
      </w:r>
      <w:r>
        <w:rPr>
          <w:rStyle w:val="13"/>
          <w:rFonts w:hint="eastAsia" w:ascii="方正黑体_GBK" w:hAnsi="方正黑体_GBK" w:eastAsia="方正黑体_GBK" w:cs="方正黑体_GBK"/>
          <w:sz w:val="32"/>
          <w:szCs w:val="32"/>
          <w:shd w:val="clear" w:color="auto" w:fill="FFFFFF"/>
          <w:lang w:eastAsia="zh-CN"/>
        </w:rPr>
        <w:t>单位</w:t>
      </w:r>
      <w:r>
        <w:rPr>
          <w:rStyle w:val="13"/>
          <w:rFonts w:hint="eastAsia" w:ascii="方正黑体_GBK" w:hAnsi="方正黑体_GBK" w:eastAsia="方正黑体_GBK" w:cs="方正黑体_GBK"/>
          <w:sz w:val="32"/>
          <w:szCs w:val="32"/>
          <w:shd w:val="clear" w:color="auto" w:fill="FFFFFF"/>
        </w:rPr>
        <w:t>决算</w:t>
      </w:r>
      <w:r>
        <w:rPr>
          <w:rStyle w:val="13"/>
          <w:rFonts w:hint="eastAsia" w:ascii="方正黑体_GBK" w:hAnsi="方正黑体_GBK" w:eastAsia="方正黑体_GBK" w:cs="方正黑体_GBK"/>
          <w:sz w:val="32"/>
          <w:szCs w:val="32"/>
          <w:shd w:val="clear" w:color="auto" w:fill="FFFFFF"/>
          <w:lang w:eastAsia="zh-CN"/>
        </w:rPr>
        <w:t>收支</w:t>
      </w:r>
      <w:r>
        <w:rPr>
          <w:rStyle w:val="13"/>
          <w:rFonts w:hint="eastAsia" w:ascii="方正黑体_GBK" w:hAnsi="方正黑体_GBK" w:eastAsia="方正黑体_GBK" w:cs="方正黑体_GBK"/>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505.94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收、支与2023年度相比，增加89.21万元，增长21.4%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人员调动，减少2人、新增4人，单位运行费用增加</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505.94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与2023年度相比，增加89.21万元，增长21.4%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人员调动，减少2人、新增4人，单位运行费用增加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505.94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505.94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与2023年度相比，增加89.21万元，增长21.4%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人员调动，减少2人、新增4人，单位运行费用增加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222.39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283.54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505.94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财政拨款收、支总计各增加89.21万元，增长21.4%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人员调动，减少2人、新增4人，单位运行费用增加</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505.94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与2023年度相比，增加89.21万元，增长21.4%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人员调动，减少2人、新增4人，单位运行费用</w:t>
      </w:r>
      <w:r>
        <w:rPr>
          <w:rFonts w:hint="eastAsia" w:ascii="方正仿宋_GBK" w:hAnsi="方正仿宋_GBK" w:eastAsia="方正仿宋_GBK" w:cs="方正仿宋_GBK"/>
          <w:color w:val="auto"/>
          <w:sz w:val="32"/>
          <w:szCs w:val="32"/>
          <w:shd w:val="clear" w:color="auto" w:fill="FFFFFF"/>
          <w:lang w:val="en-US" w:eastAsia="zh-CN"/>
        </w:rPr>
        <w:t>增加</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较年初预算数减少75.30万元，下降13.0%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落实“过紧日子”要求，厉行节约。</w:t>
      </w:r>
      <w:r>
        <w:rPr>
          <w:rFonts w:ascii="方正仿宋_GBK" w:hAnsi="方正仿宋_GBK" w:eastAsia="方正仿宋_GBK" w:cs="方正仿宋_GBK"/>
          <w:color w:val="auto"/>
          <w:sz w:val="32"/>
          <w:szCs w:val="32"/>
          <w:shd w:val="clear" w:color="auto" w:fill="FFFFFF"/>
        </w:rPr>
        <w:t>此外，年初财</w:t>
      </w:r>
      <w:r>
        <w:rPr>
          <w:rFonts w:ascii="方正仿宋_GBK" w:hAnsi="方正仿宋_GBK" w:eastAsia="方正仿宋_GBK" w:cs="方正仿宋_GBK"/>
          <w:sz w:val="32"/>
          <w:szCs w:val="32"/>
          <w:shd w:val="clear" w:color="auto" w:fill="FFFFFF"/>
        </w:rPr>
        <w:t>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643" w:firstLineChars="200"/>
        <w:jc w:val="left"/>
        <w:textAlignment w:val="auto"/>
        <w:outlineLvl w:val="9"/>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505.94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与2023年度相比，增加89.21万元，增长21.4%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人员调动，减少2人、新增4人，单位运行费用</w:t>
      </w:r>
      <w:r>
        <w:rPr>
          <w:rFonts w:hint="eastAsia" w:ascii="方正仿宋_GBK" w:hAnsi="方正仿宋_GBK" w:eastAsia="方正仿宋_GBK" w:cs="方正仿宋_GBK"/>
          <w:color w:val="auto"/>
          <w:sz w:val="32"/>
          <w:szCs w:val="32"/>
          <w:shd w:val="clear" w:color="auto" w:fill="FFFFFF"/>
          <w:lang w:val="en-US" w:eastAsia="zh-CN"/>
        </w:rPr>
        <w:t>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较年初预算数减少75.30万元，下降13.0%</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val="en-US" w:eastAsia="zh-CN"/>
        </w:rPr>
        <w:t>落实“过紧日子”要求，厉行节约，</w:t>
      </w:r>
      <w:r>
        <w:rPr>
          <w:rFonts w:hint="default" w:ascii="Times New Roman" w:hAnsi="Times New Roman" w:eastAsia="方正仿宋_GBK" w:cs="Times New Roman"/>
          <w:kern w:val="2"/>
          <w:sz w:val="32"/>
          <w:szCs w:val="32"/>
        </w:rPr>
        <w:t>严控公用经费及项目支出</w:t>
      </w:r>
      <w:r>
        <w:rPr>
          <w:rFonts w:hint="eastAsia" w:ascii="方正仿宋_GBK" w:hAnsi="方正仿宋_GBK" w:eastAsia="方正仿宋_GBK" w:cs="方正仿宋_GBK"/>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kern w:val="0"/>
          <w:sz w:val="32"/>
          <w:szCs w:val="32"/>
          <w:shd w:val="clear" w:fill="FFFFFF"/>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458.35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较年初预算数减少84.17万元，下降15.5%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kern w:val="2"/>
          <w:sz w:val="32"/>
          <w:szCs w:val="32"/>
        </w:rPr>
        <w:t>严控公用经费及项目支出</w:t>
      </w:r>
      <w:r>
        <w:rPr>
          <w:rFonts w:hint="default" w:ascii="Times New Roman" w:hAnsi="Times New Roman" w:eastAsia="方正仿宋_GBK" w:cs="Times New Roman"/>
          <w:kern w:val="0"/>
          <w:sz w:val="32"/>
          <w:szCs w:val="32"/>
          <w:shd w:val="clear" w:fill="FFFFFF"/>
        </w:rPr>
        <w:t>。</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29.51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较年初预算数增加8.79万元，增长42.4%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人员减少2名，增加4名，人数增加，社保缴纳费用增加。</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9.12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较年初预算数增加0.23万元，增长2.6%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人员减少2名，增加4名，人数增加。</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8.95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较年初预算数减少0.16万元，下降1.8%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主要原因是公积金缴存基数调整。</w:t>
      </w:r>
    </w:p>
    <w:p>
      <w:pPr>
        <w:pStyle w:val="9"/>
        <w:keepNext w:val="0"/>
        <w:keepLines w:val="0"/>
        <w:pageBreakBefore w:val="0"/>
        <w:numPr>
          <w:ilvl w:val="0"/>
          <w:numId w:val="0"/>
        </w:numPr>
        <w:kinsoku/>
        <w:wordWrap/>
        <w:overflowPunct/>
        <w:topLinePunct w:val="0"/>
        <w:autoSpaceDN/>
        <w:bidi w:val="0"/>
        <w:adjustRightInd/>
        <w:snapToGrid w:val="0"/>
        <w:spacing w:before="0" w:beforeAutospacing="0" w:after="0" w:afterAutospacing="0" w:line="576" w:lineRule="exact"/>
        <w:ind w:firstLine="643"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222.39</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194.33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与2023年度相比，增加25.44万元，增长15.1%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主要原因是在职人员</w:t>
      </w:r>
      <w:r>
        <w:rPr>
          <w:rFonts w:hint="eastAsia" w:ascii="Times New Roman" w:hAnsi="Times New Roman" w:eastAsia="方正仿宋_GBK" w:cs="Times New Roman"/>
          <w:sz w:val="32"/>
          <w:szCs w:val="32"/>
          <w:shd w:val="clear" w:color="auto" w:fill="FFFFFF"/>
          <w:lang w:val="en-US" w:eastAsia="zh-CN"/>
        </w:rPr>
        <w:t>数量增加</w:t>
      </w:r>
      <w:r>
        <w:rPr>
          <w:rFonts w:hint="default" w:ascii="Times New Roman" w:hAnsi="Times New Roman" w:eastAsia="方正仿宋_GBK" w:cs="Times New Roman"/>
          <w:sz w:val="32"/>
          <w:szCs w:val="32"/>
          <w:shd w:val="clear" w:color="auto" w:fill="FFFFFF"/>
          <w:lang w:val="en-US" w:eastAsia="zh-CN"/>
        </w:rPr>
        <w:t>养老保险职业年金及人员变动增资引起收入增加。人员经费用途主要包括包括基本工资、津贴补贴、社会保障缴费、住房公积金等。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28.06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与2023年度相比，增加6.47万元，增长30.0%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运转性项目纳入日常公用经费管理。</w:t>
      </w:r>
      <w:r>
        <w:rPr>
          <w:rFonts w:hint="default" w:ascii="Times New Roman" w:hAnsi="Times New Roman" w:eastAsia="方正仿宋_GBK" w:cs="Times New Roman"/>
          <w:sz w:val="32"/>
          <w:szCs w:val="32"/>
          <w:shd w:val="clear" w:color="auto" w:fill="FFFFFF"/>
          <w:lang w:val="en-US" w:eastAsia="zh-CN"/>
        </w:rPr>
        <w:t>公用经费用途主要包括办公费、印刷费、邮电费、差旅费、劳务费、工会经费、福利费、其他交通费等。</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本单位202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本单位202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Style w:val="13"/>
          <w:rFonts w:hint="default"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三、财政拨款“三公”经费情况说明</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pPr>
        <w:pStyle w:val="1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3.47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较年初预算数减少0.03万元，下降0.9%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主要原因是严控三公经费。</w:t>
      </w:r>
      <w:r>
        <w:rPr>
          <w:rFonts w:hint="default" w:ascii="Times New Roman" w:hAnsi="Times New Roman" w:eastAsia="方正仿宋_GBK"/>
          <w:sz w:val="32"/>
          <w:szCs w:val="32"/>
          <w:shd w:val="clear" w:color="auto" w:fill="FFFFFF"/>
        </w:rPr>
        <w:t>较上年支出数增加0.03万元，增长0.9%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主要原因是车辆老旧，车辆运行维护费增加。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3.47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sz w:val="32"/>
          <w:szCs w:val="32"/>
          <w:shd w:val="clear" w:color="auto" w:fill="FFFFFF"/>
        </w:rPr>
        <w:t>主要用于油费、车辆维修及保险费。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较年初预算数减少0.03万元，下降0.9%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主要原因是严控三公经费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较上年支出数增加0.03万元，增长0.9%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主要原因是车辆老旧，车辆运行维护费增加。</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3.47</w:t>
      </w:r>
      <w:r>
        <w:rPr>
          <w:rFonts w:ascii="方正仿宋_GBK" w:hAnsi="方正仿宋_GBK" w:eastAsia="方正仿宋_GBK" w:cs="方正仿宋_GBK"/>
          <w:sz w:val="32"/>
          <w:szCs w:val="32"/>
          <w:shd w:val="clear" w:color="auto" w:fill="FFFFFF"/>
        </w:rPr>
        <w:t>万元。</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Style w:val="13"/>
          <w:rFonts w:hint="eastAsia"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四、其他需要说明的事项</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支付继续教育培训费。</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pStyle w:val="20"/>
        <w:keepNext w:val="0"/>
        <w:keepLines w:val="0"/>
        <w:pageBreakBefore w:val="0"/>
        <w:widowControl w:val="0"/>
        <w:tabs>
          <w:tab w:val="center" w:pos="4153"/>
          <w:tab w:val="left" w:pos="7275"/>
        </w:tabs>
        <w:kinsoku/>
        <w:wordWrap/>
        <w:overflowPunct/>
        <w:topLinePunct w:val="0"/>
        <w:autoSpaceDN/>
        <w:bidi w:val="0"/>
        <w:adjustRightInd/>
        <w:snapToGrid/>
        <w:spacing w:afterAutospacing="0" w:line="576" w:lineRule="exact"/>
        <w:ind w:firstLine="64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000000"/>
          <w:sz w:val="32"/>
          <w:szCs w:val="32"/>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Style w:val="13"/>
          <w:rFonts w:hint="eastAsia"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五、2024年度预算绩效管理情况说明</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283.54</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default" w:ascii="方正仿宋_GBK" w:hAnsi="方正仿宋_GBK" w:eastAsia="方正仿宋_GBK" w:cs="方正仿宋_GBK"/>
          <w:kern w:val="0"/>
          <w:sz w:val="32"/>
          <w:szCs w:val="32"/>
          <w:shd w:val="clear" w:fill="FFFFFF"/>
          <w:lang w:val="en-US" w:eastAsia="zh-CN"/>
        </w:rPr>
        <w:t>详见附件。</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二</w:t>
      </w:r>
      <w:r>
        <w:rPr>
          <w:rFonts w:hint="eastAsia" w:ascii="方正仿宋_GBK" w:hAnsi="方正仿宋_GBK" w:eastAsia="方正仿宋_GBK" w:cs="方正仿宋_GBK"/>
          <w:b/>
          <w:bCs/>
          <w:kern w:val="0"/>
          <w:sz w:val="32"/>
          <w:szCs w:val="32"/>
          <w:shd w:val="clear" w:fill="FFFFFF"/>
        </w:rPr>
        <w:t>级项目）</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default" w:ascii="方正仿宋_GBK" w:hAnsi="方正仿宋_GBK" w:eastAsia="方正仿宋_GBK" w:cs="方正仿宋_GBK"/>
          <w:kern w:val="0"/>
          <w:sz w:val="32"/>
          <w:szCs w:val="32"/>
          <w:shd w:val="clear" w:fill="FFFFFF"/>
          <w:lang w:val="en-US" w:eastAsia="zh-CN"/>
        </w:rPr>
        <w:t>详见附件。</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（二）部门绩效评价情况</w:t>
      </w:r>
    </w:p>
    <w:p>
      <w:pPr>
        <w:pStyle w:val="14"/>
        <w:keepNext w:val="0"/>
        <w:keepLines w:val="0"/>
        <w:pageBreakBefore w:val="0"/>
        <w:widowControl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pPr>
        <w:pStyle w:val="14"/>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lang w:val="en-US" w:eastAsia="zh-CN"/>
        </w:rPr>
        <w:t>（三）财政绩效评价情况</w:t>
      </w:r>
    </w:p>
    <w:p>
      <w:pPr>
        <w:pStyle w:val="14"/>
        <w:keepNext w:val="0"/>
        <w:keepLines w:val="0"/>
        <w:pageBreakBefore w:val="0"/>
        <w:widowControl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textAlignment w:val="auto"/>
        <w:outlineLvl w:val="9"/>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区财政局未委托第三方对我单位开展绩效评价。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方正黑体_GBK" w:hAnsi="方正黑体_GBK" w:eastAsia="方正黑体_GBK" w:cs="方正黑体_GBK"/>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w:t>
      </w:r>
      <w:bookmarkStart w:id="0" w:name="_GoBack"/>
      <w:bookmarkEnd w:id="0"/>
      <w:r>
        <w:rPr>
          <w:rFonts w:hint="eastAsia" w:ascii="方正仿宋_GBK" w:hAnsi="方正仿宋_GBK" w:eastAsia="方正仿宋_GBK" w:cs="方正仿宋_GBK"/>
          <w:kern w:val="0"/>
          <w:sz w:val="32"/>
          <w:szCs w:val="32"/>
          <w:shd w:val="clear" w:fill="FFFFFF"/>
        </w:rPr>
        <w:t>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3" w:firstLineChars="200"/>
        <w:textAlignment w:val="auto"/>
        <w:rPr>
          <w:rFonts w:hint="eastAsia" w:ascii="方正黑体_GBK" w:hAnsi="方正黑体_GBK" w:eastAsia="方正黑体_GBK" w:cs="方正黑体_GBK"/>
          <w:kern w:val="0"/>
          <w:sz w:val="32"/>
          <w:szCs w:val="32"/>
        </w:rPr>
      </w:pPr>
      <w:r>
        <w:rPr>
          <w:rStyle w:val="13"/>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rPr>
        <w:t>本单位决算公开信息反馈和联系方式：023-</w:t>
      </w:r>
      <w:r>
        <w:rPr>
          <w:rFonts w:hint="eastAsia" w:ascii="方正仿宋_GBK" w:hAnsi="方正仿宋_GBK" w:eastAsia="方正仿宋_GBK" w:cs="方正仿宋_GBK"/>
          <w:color w:val="auto"/>
          <w:kern w:val="0"/>
          <w:sz w:val="32"/>
          <w:szCs w:val="32"/>
          <w:shd w:val="clear" w:fill="FFFFFF"/>
          <w:lang w:val="en-US" w:eastAsia="zh-CN"/>
        </w:rPr>
        <w:t>48662397。</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auto"/>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3"/>
        <w:ind w:left="0" w:leftChars="0" w:firstLine="0" w:firstLineChars="0"/>
        <w:rPr>
          <w:rFonts w:hint="default"/>
        </w:rPr>
      </w:pP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1C2B3A"/>
    <w:multiLevelType w:val="singleLevel"/>
    <w:tmpl w:val="FD1C2B3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5EC57C4"/>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9EB4F14"/>
    <w:rsid w:val="0A3317EA"/>
    <w:rsid w:val="0A5C4B69"/>
    <w:rsid w:val="0A86124A"/>
    <w:rsid w:val="0AB54CC0"/>
    <w:rsid w:val="0ADD3403"/>
    <w:rsid w:val="0B011B85"/>
    <w:rsid w:val="0B9335CE"/>
    <w:rsid w:val="0BF2311A"/>
    <w:rsid w:val="0C7927C4"/>
    <w:rsid w:val="0C9B098C"/>
    <w:rsid w:val="0D673E11"/>
    <w:rsid w:val="0DDA54E4"/>
    <w:rsid w:val="0E3A5F83"/>
    <w:rsid w:val="0EA110B6"/>
    <w:rsid w:val="0EB6628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40528"/>
    <w:rsid w:val="13FD55AB"/>
    <w:rsid w:val="14200702"/>
    <w:rsid w:val="14370EA1"/>
    <w:rsid w:val="14C10CA2"/>
    <w:rsid w:val="163A6CEE"/>
    <w:rsid w:val="173708E3"/>
    <w:rsid w:val="17C374FC"/>
    <w:rsid w:val="182E4AB6"/>
    <w:rsid w:val="189079DC"/>
    <w:rsid w:val="189B0D0B"/>
    <w:rsid w:val="18B43F7C"/>
    <w:rsid w:val="191C433B"/>
    <w:rsid w:val="194A1770"/>
    <w:rsid w:val="19B906A4"/>
    <w:rsid w:val="1B6F15B6"/>
    <w:rsid w:val="1BAA2EDC"/>
    <w:rsid w:val="1C0F44FB"/>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6939D8"/>
    <w:rsid w:val="24B92327"/>
    <w:rsid w:val="24C14514"/>
    <w:rsid w:val="2533755C"/>
    <w:rsid w:val="2540423E"/>
    <w:rsid w:val="25791755"/>
    <w:rsid w:val="26396DF4"/>
    <w:rsid w:val="265B1F18"/>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617DC3"/>
    <w:rsid w:val="33E31118"/>
    <w:rsid w:val="33EF7674"/>
    <w:rsid w:val="342D7BC6"/>
    <w:rsid w:val="352930DB"/>
    <w:rsid w:val="35573069"/>
    <w:rsid w:val="355F6038"/>
    <w:rsid w:val="358C217E"/>
    <w:rsid w:val="36AE1EEA"/>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72179"/>
    <w:rsid w:val="3B6F6EE0"/>
    <w:rsid w:val="3C566AD6"/>
    <w:rsid w:val="3C594871"/>
    <w:rsid w:val="3C6A5B02"/>
    <w:rsid w:val="3D083B3A"/>
    <w:rsid w:val="3D0C69D4"/>
    <w:rsid w:val="3D2757A1"/>
    <w:rsid w:val="3D3D4FC4"/>
    <w:rsid w:val="3DC26A89"/>
    <w:rsid w:val="3DDF3AB1"/>
    <w:rsid w:val="3E1D0952"/>
    <w:rsid w:val="3E42660A"/>
    <w:rsid w:val="3E7555B1"/>
    <w:rsid w:val="3E787ED9"/>
    <w:rsid w:val="3F032E93"/>
    <w:rsid w:val="3F0527E5"/>
    <w:rsid w:val="3F4C52C6"/>
    <w:rsid w:val="3F694D83"/>
    <w:rsid w:val="3F885DCC"/>
    <w:rsid w:val="3FBB6136"/>
    <w:rsid w:val="3FCD675E"/>
    <w:rsid w:val="4004000C"/>
    <w:rsid w:val="40760DD1"/>
    <w:rsid w:val="40BD5482"/>
    <w:rsid w:val="411B6CE5"/>
    <w:rsid w:val="412070D7"/>
    <w:rsid w:val="41314E40"/>
    <w:rsid w:val="41E0734B"/>
    <w:rsid w:val="42162988"/>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7957B4"/>
    <w:rsid w:val="48225EF7"/>
    <w:rsid w:val="488F422B"/>
    <w:rsid w:val="48E36915"/>
    <w:rsid w:val="48EB6572"/>
    <w:rsid w:val="495C4A24"/>
    <w:rsid w:val="497135DF"/>
    <w:rsid w:val="499D2DD1"/>
    <w:rsid w:val="4A263DF2"/>
    <w:rsid w:val="4A2F278B"/>
    <w:rsid w:val="4A6F6675"/>
    <w:rsid w:val="4B135857"/>
    <w:rsid w:val="4B7951CB"/>
    <w:rsid w:val="4B7C315C"/>
    <w:rsid w:val="4D1F53CA"/>
    <w:rsid w:val="4DAC4ACA"/>
    <w:rsid w:val="4DBE01D2"/>
    <w:rsid w:val="4EFD467F"/>
    <w:rsid w:val="4F0C6BA3"/>
    <w:rsid w:val="4F186D58"/>
    <w:rsid w:val="4FFE7F08"/>
    <w:rsid w:val="504B6EAA"/>
    <w:rsid w:val="50A8213D"/>
    <w:rsid w:val="50F06B6E"/>
    <w:rsid w:val="51064DCD"/>
    <w:rsid w:val="51D21804"/>
    <w:rsid w:val="51E32531"/>
    <w:rsid w:val="52234D33"/>
    <w:rsid w:val="522F6E0C"/>
    <w:rsid w:val="52463BA1"/>
    <w:rsid w:val="52F163D4"/>
    <w:rsid w:val="531A2DB4"/>
    <w:rsid w:val="53C0244D"/>
    <w:rsid w:val="53DD4D4E"/>
    <w:rsid w:val="53E578CE"/>
    <w:rsid w:val="541330F0"/>
    <w:rsid w:val="54272666"/>
    <w:rsid w:val="543B029D"/>
    <w:rsid w:val="54861779"/>
    <w:rsid w:val="549D3D10"/>
    <w:rsid w:val="55071E0B"/>
    <w:rsid w:val="55084A4C"/>
    <w:rsid w:val="552256E1"/>
    <w:rsid w:val="554E5773"/>
    <w:rsid w:val="555829E0"/>
    <w:rsid w:val="555A3CBC"/>
    <w:rsid w:val="5582012B"/>
    <w:rsid w:val="558E4E05"/>
    <w:rsid w:val="55BE2E85"/>
    <w:rsid w:val="56530F5D"/>
    <w:rsid w:val="567700D3"/>
    <w:rsid w:val="56FF7E9E"/>
    <w:rsid w:val="578867FC"/>
    <w:rsid w:val="5842572D"/>
    <w:rsid w:val="59062248"/>
    <w:rsid w:val="5A3B59D6"/>
    <w:rsid w:val="5AD134D8"/>
    <w:rsid w:val="5BF41F67"/>
    <w:rsid w:val="5C263CE4"/>
    <w:rsid w:val="5C5D2777"/>
    <w:rsid w:val="5CF66BF3"/>
    <w:rsid w:val="5D290C69"/>
    <w:rsid w:val="5DA80C2C"/>
    <w:rsid w:val="5EB67888"/>
    <w:rsid w:val="5F2D4A41"/>
    <w:rsid w:val="5FD543B8"/>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6C2EF9"/>
    <w:rsid w:val="66AF5D7C"/>
    <w:rsid w:val="66EE5541"/>
    <w:rsid w:val="675972F3"/>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C57874"/>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9A15B7"/>
    <w:rsid w:val="750837F0"/>
    <w:rsid w:val="754758CF"/>
    <w:rsid w:val="75595ECD"/>
    <w:rsid w:val="764F62AB"/>
    <w:rsid w:val="765C45EC"/>
    <w:rsid w:val="768A7619"/>
    <w:rsid w:val="76BD23AB"/>
    <w:rsid w:val="772E1EBA"/>
    <w:rsid w:val="78010CB4"/>
    <w:rsid w:val="781926BC"/>
    <w:rsid w:val="796D60A4"/>
    <w:rsid w:val="79A031D5"/>
    <w:rsid w:val="79B47FDF"/>
    <w:rsid w:val="79E569A9"/>
    <w:rsid w:val="7A1525F7"/>
    <w:rsid w:val="7B420052"/>
    <w:rsid w:val="7BD06A28"/>
    <w:rsid w:val="7C3A7C0B"/>
    <w:rsid w:val="7C5248E4"/>
    <w:rsid w:val="7C566698"/>
    <w:rsid w:val="7C5866A3"/>
    <w:rsid w:val="7D7406BB"/>
    <w:rsid w:val="7D8F27DE"/>
    <w:rsid w:val="7DE94331"/>
    <w:rsid w:val="7E0B3DCD"/>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34</TotalTime>
  <ScaleCrop>false</ScaleCrop>
  <LinksUpToDate>false</LinksUpToDate>
  <CharactersWithSpaces>26313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2025-10-28T02:52:00Z</cp:lastPrinted>
  <dcterms:modified xsi:type="dcterms:W3CDTF">2025-10-29T08:16:47Z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