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重庆市綦江区财政国库集中支付中心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ind w:right="0" w:rightChars="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widowControl/>
        <w:kinsoku/>
        <w:wordWrap/>
        <w:overflowPunct/>
        <w:topLinePunct w:val="0"/>
        <w:autoSpaceDE w:val="0"/>
        <w:autoSpaceDN/>
        <w:bidi w:val="0"/>
        <w:adjustRightInd/>
        <w:spacing w:line="596" w:lineRule="exact"/>
        <w:ind w:right="0" w:rightChars="0"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（一）职能职责</w:t>
      </w:r>
    </w:p>
    <w:p>
      <w:pPr>
        <w:pStyle w:val="14"/>
        <w:keepNext w:val="0"/>
        <w:keepLines w:val="0"/>
        <w:pageBreakBefore w:val="0"/>
        <w:widowControl/>
        <w:kinsoku/>
        <w:wordWrap/>
        <w:overflowPunct/>
        <w:topLinePunct w:val="0"/>
        <w:autoSpaceDE w:val="0"/>
        <w:autoSpaceDN/>
        <w:bidi w:val="0"/>
        <w:adjustRightInd/>
        <w:spacing w:line="596" w:lineRule="exact"/>
        <w:ind w:left="0" w:leftChars="0" w:right="0" w:righ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根据《中共重庆市綦江区委 重庆市綦江区人民政府关</w:t>
      </w:r>
      <w:r>
        <w:rPr>
          <w:rFonts w:hint="default" w:ascii="Times New Roman" w:hAnsi="Times New Roman" w:eastAsia="方正仿宋_GBK" w:cs="Times New Roman"/>
          <w:b w:val="0"/>
          <w:bCs/>
          <w:sz w:val="32"/>
          <w:szCs w:val="32"/>
        </w:rPr>
        <w:t>于印发〈重庆市綦江区机构改革方案〉的通知》（綦江委发〔2019〕4号）文件，重庆市綦江区财政国库集中支付中心的主要职能职责有：</w:t>
      </w:r>
    </w:p>
    <w:p>
      <w:pPr>
        <w:pStyle w:val="14"/>
        <w:keepNext w:val="0"/>
        <w:keepLines w:val="0"/>
        <w:pageBreakBefore w:val="0"/>
        <w:widowControl/>
        <w:kinsoku/>
        <w:wordWrap/>
        <w:overflowPunct/>
        <w:topLinePunct w:val="0"/>
        <w:autoSpaceDE w:val="0"/>
        <w:autoSpaceDN/>
        <w:bidi w:val="0"/>
        <w:adjustRightInd/>
        <w:spacing w:line="596" w:lineRule="exact"/>
        <w:ind w:right="0" w:rightChars="0"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b w:val="0"/>
          <w:bCs/>
          <w:sz w:val="32"/>
          <w:szCs w:val="32"/>
        </w:rPr>
        <w:t>按照《会计法》《预算法》及国家有关财经法律、法规的要求，在“三权不变”的原则下，对全区行政事业单位实行国库集中收付和会计集中核算，加强财务监督管理，及时准确为预算单位提供财务报表及相关会计信息资料，协助预算单位搞好资产及债权债务管理，协助预算单位完成预决算报表编制及预算执行情况分析；按照《会计档案管理办法》规定，做好核算单位会计资料和电算化会计资料的整理、立卷、归档和使用期的保管和移交工作；按照国库集中支付的有关要求，协调各预算单位、代理银行、清算银行，及时准确办理财政代管资金收支及国库集中支付相关业务，加强财</w:t>
      </w:r>
      <w:r>
        <w:rPr>
          <w:rFonts w:hint="default" w:ascii="Times New Roman" w:hAnsi="Times New Roman" w:eastAsia="方正仿宋_GBK" w:cs="Times New Roman"/>
          <w:b w:val="0"/>
          <w:bCs/>
          <w:sz w:val="32"/>
          <w:szCs w:val="32"/>
          <w:shd w:val="clear" w:color="auto" w:fill="FFFFFF"/>
        </w:rPr>
        <w:t>政资金使用监管；办理全区财政工资统发工作。</w:t>
      </w:r>
    </w:p>
    <w:p>
      <w:pPr>
        <w:pStyle w:val="14"/>
        <w:keepNext w:val="0"/>
        <w:keepLines w:val="0"/>
        <w:pageBreakBefore w:val="0"/>
        <w:widowControl/>
        <w:kinsoku/>
        <w:wordWrap/>
        <w:overflowPunct/>
        <w:topLinePunct w:val="0"/>
        <w:autoSpaceDE w:val="0"/>
        <w:autoSpaceDN/>
        <w:bidi w:val="0"/>
        <w:adjustRightInd/>
        <w:spacing w:line="596" w:lineRule="exact"/>
        <w:ind w:right="0" w:rightChars="0"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line="596" w:lineRule="exact"/>
        <w:ind w:right="0" w:rightChars="0"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rPr>
        <w:t>根据《中共重庆市綦江区委 重庆市綦江区人民政府关于印发〈重庆市綦江区机构改革方案〉的通知》（綦江委发〔2019〕4号）文件，重庆市綦江区财政国库集中支付中心设置5个职能科室：综合科、稽核科、支付科、资金科、核算科。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收、支与2023年度相比，增加19.20万元，增长1.7%</w:t>
      </w:r>
      <w:r>
        <w:rPr>
          <w:rFonts w:ascii="方正仿宋_GBK" w:hAnsi="方正仿宋_GBK" w:eastAsia="方正仿宋_GBK" w:cs="方正仿宋_GBK"/>
          <w:b w:val="0"/>
          <w:bCs/>
          <w:sz w:val="32"/>
          <w:szCs w:val="32"/>
          <w:shd w:val="clear" w:color="auto" w:fill="FFFFFF"/>
        </w:rPr>
        <w:t>，主要原因</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与2023年度相比，增加19.20万元，增长1.7%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与2023年度相比，增加19.20万元，增长1.7%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1099.00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94.8%</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60.85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5.3%</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w:t>
      </w:r>
      <w:r>
        <w:rPr>
          <w:rFonts w:hint="default" w:ascii="Times New Roman" w:hAnsi="Times New Roman" w:eastAsia="方正仿宋_GBK"/>
          <w:b w:val="0"/>
          <w:bCs/>
          <w:color w:val="auto"/>
          <w:sz w:val="32"/>
          <w:szCs w:val="32"/>
          <w:shd w:val="clear" w:color="auto" w:fill="FFFFFF"/>
        </w:rPr>
        <w:t>减</w:t>
      </w:r>
      <w:r>
        <w:rPr>
          <w:rFonts w:ascii="方正仿宋_GBK" w:hAnsi="方正仿宋_GBK" w:eastAsia="方正仿宋_GBK" w:cs="方正仿宋_GBK"/>
          <w:b w:val="0"/>
          <w:bCs/>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财政拨款收、支总计各增加19.20万元，增长1.7%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与2023年度相比，增加19.20万元，增长1.7%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r>
        <w:rPr>
          <w:rFonts w:hint="default" w:ascii="Times New Roman" w:hAnsi="Times New Roman" w:eastAsia="方正仿宋_GBK"/>
          <w:b w:val="0"/>
          <w:bCs/>
          <w:sz w:val="32"/>
          <w:szCs w:val="32"/>
          <w:shd w:val="clear" w:color="auto" w:fill="FFFFFF"/>
        </w:rPr>
        <w:t>较年初预算数减少136.94万元，下降10.6%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落实过紧日子严控支出。</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1159.85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与2023年度相比，增加19.20万元，增长1.7%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人员正常增资导致人员工资、社保、公积金等费用增加，以及本年按工会要求正常开展工会活动，导致公用经费增加。</w:t>
      </w:r>
      <w:r>
        <w:rPr>
          <w:rFonts w:hint="default" w:ascii="Times New Roman" w:hAnsi="Times New Roman" w:eastAsia="方正仿宋_GBK"/>
          <w:b w:val="0"/>
          <w:bCs/>
          <w:sz w:val="32"/>
          <w:szCs w:val="32"/>
          <w:shd w:val="clear" w:color="auto" w:fill="FFFFFF"/>
        </w:rPr>
        <w:t>较年初预算数减少136.94万元，下降10.6%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落实过紧日子严控支出</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right="0" w:rightChars="0"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1</w:t>
      </w:r>
      <w:r>
        <w:rPr>
          <w:rFonts w:hint="eastAsia" w:ascii="方正仿宋_GBK" w:hAnsi="方正仿宋_GBK" w:eastAsia="方正仿宋_GBK" w:cs="方正仿宋_GBK"/>
          <w:b w:val="0"/>
          <w:bCs/>
          <w:sz w:val="32"/>
          <w:szCs w:val="32"/>
          <w:shd w:val="clear" w:color="auto" w:fill="FFFFFF"/>
          <w:lang w:val="en-US" w:eastAsia="zh-CN"/>
        </w:rPr>
        <w:t>）</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845.88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72.9%</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较年初预算数减少128.14万元，下降13.2%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厉行节约、严控支出。</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lang w:val="en-US" w:eastAsia="zh-CN"/>
        </w:rPr>
        <w:t>2</w:t>
      </w:r>
      <w:r>
        <w:rPr>
          <w:rFonts w:hint="eastAsia" w:ascii="方正仿宋_GBK" w:hAnsi="方正仿宋_GBK" w:eastAsia="方正仿宋_GBK" w:cs="方正仿宋_GBK"/>
          <w:b w:val="0"/>
          <w:bCs/>
          <w:sz w:val="32"/>
          <w:szCs w:val="32"/>
          <w:shd w:val="clear" w:color="auto" w:fill="FFFFFF"/>
          <w:lang w:val="en-US" w:eastAsia="zh-CN"/>
        </w:rPr>
        <w:t>）</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171.45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14.8%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较年初预算数减少2.62万元，下降1.5%</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人员减少</w:t>
      </w:r>
      <w:r>
        <w:rPr>
          <w:rFonts w:hint="eastAsia" w:ascii="方正仿宋_GBK" w:hAnsi="方正仿宋_GBK" w:eastAsia="方正仿宋_GBK" w:cs="方正仿宋_GBK"/>
          <w:b w:val="0"/>
          <w:bCs/>
          <w:color w:val="auto"/>
          <w:sz w:val="32"/>
          <w:szCs w:val="32"/>
          <w:shd w:val="clear" w:color="auto" w:fill="FFFFFF"/>
          <w:lang w:eastAsia="zh-CN"/>
        </w:rPr>
        <w:t>、缴费减少</w:t>
      </w:r>
      <w:r>
        <w:rPr>
          <w:rFonts w:hint="eastAsia"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64.93</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5.6%</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较年初预算数减少1.27万元，下降1.9%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人员减少、缴费减少</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77.59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6.7%</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较年初预算数减少4.90万元，下降5.9%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人员减少、缴费减少</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ascii="方正仿宋_GBK" w:hAnsi="方正仿宋_GBK" w:eastAsia="方正仿宋_GBK" w:cs="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1099.00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right="0" w:rightChars="0" w:firstLine="0" w:firstLineChars="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Fonts w:ascii="方正仿宋_GBK" w:hAnsi="方正仿宋_GBK" w:eastAsia="方正仿宋_GBK" w:cs="方正仿宋_GBK"/>
          <w:b w:val="0"/>
          <w:bCs/>
          <w:sz w:val="32"/>
          <w:szCs w:val="32"/>
          <w:shd w:val="clear" w:color="auto" w:fill="FFFFFF"/>
        </w:rPr>
        <w:t>人员经费</w:t>
      </w:r>
      <w:r>
        <w:rPr>
          <w:rFonts w:hint="default" w:ascii="Times New Roman" w:hAnsi="Times New Roman" w:eastAsia="方正仿宋_GBK"/>
          <w:b w:val="0"/>
          <w:bCs/>
          <w:sz w:val="32"/>
          <w:szCs w:val="32"/>
          <w:shd w:val="clear" w:color="auto" w:fill="FFFFFF"/>
        </w:rPr>
        <w:t>980.02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与2023年度相比，增加35.96万元，增长3.8%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人员正常增资导致人员</w:t>
      </w:r>
      <w:r>
        <w:rPr>
          <w:rFonts w:hint="eastAsia" w:ascii="方正仿宋_GBK" w:hAnsi="方正仿宋_GBK" w:eastAsia="方正仿宋_GBK" w:cs="方正仿宋_GBK"/>
          <w:b w:val="0"/>
          <w:bCs/>
          <w:color w:val="auto"/>
          <w:sz w:val="32"/>
          <w:szCs w:val="32"/>
          <w:shd w:val="clear" w:color="auto" w:fill="FFFFFF"/>
          <w:lang w:eastAsia="zh-CN"/>
        </w:rPr>
        <w:t>经费</w:t>
      </w:r>
      <w:r>
        <w:rPr>
          <w:rFonts w:hint="eastAsia" w:ascii="方正仿宋_GBK" w:hAnsi="方正仿宋_GBK" w:eastAsia="方正仿宋_GBK" w:cs="方正仿宋_GBK"/>
          <w:b w:val="0"/>
          <w:bCs/>
          <w:color w:val="auto"/>
          <w:sz w:val="32"/>
          <w:szCs w:val="32"/>
          <w:shd w:val="clear" w:color="auto" w:fill="FFFFFF"/>
        </w:rPr>
        <w:t>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kern w:val="2"/>
          <w:sz w:val="32"/>
          <w:szCs w:val="32"/>
          <w:lang w:val="en-US" w:eastAsia="zh-CN" w:bidi="ar-SA"/>
        </w:rPr>
        <w:t>人员经费用途主要包括</w:t>
      </w:r>
      <w:r>
        <w:rPr>
          <w:rFonts w:hint="default" w:ascii="Times New Roman" w:hAnsi="Times New Roman" w:eastAsia="方正仿宋_GBK" w:cs="Times New Roman"/>
          <w:b w:val="0"/>
          <w:bCs/>
          <w:color w:val="auto"/>
          <w:kern w:val="0"/>
          <w:sz w:val="32"/>
          <w:szCs w:val="32"/>
        </w:rPr>
        <w:t>基本工资、津贴补贴、社会保障缴费、机关事业单位基本养老保险费、职业年金缴费、职工基本医疗保险缴费、住房公积金</w:t>
      </w:r>
      <w:r>
        <w:rPr>
          <w:rFonts w:hint="default" w:ascii="Times New Roman" w:hAnsi="Times New Roman" w:eastAsia="方正仿宋_GBK" w:cs="Times New Roman"/>
          <w:b w:val="0"/>
          <w:bCs/>
          <w:color w:val="auto"/>
          <w:kern w:val="0"/>
          <w:sz w:val="32"/>
          <w:szCs w:val="32"/>
          <w:lang w:eastAsia="zh-CN"/>
        </w:rPr>
        <w:t>等职工待遇</w:t>
      </w:r>
      <w:r>
        <w:rPr>
          <w:rFonts w:hint="default" w:ascii="Times New Roman" w:hAnsi="Times New Roman" w:eastAsia="方正仿宋_GBK" w:cs="Times New Roman"/>
          <w:b w:val="0"/>
          <w:bCs/>
          <w:kern w:val="2"/>
          <w:sz w:val="32"/>
          <w:szCs w:val="32"/>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118.98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与2023年度相比，增加11.09万元，增长10.3%</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auto"/>
        </w:rPr>
        <w:t>主要原因是</w:t>
      </w:r>
      <w:r>
        <w:rPr>
          <w:rFonts w:hint="eastAsia" w:ascii="Times New Roman" w:hAnsi="Times New Roman" w:eastAsia="方正仿宋_GBK" w:cs="Times New Roman"/>
          <w:b w:val="0"/>
          <w:bCs/>
          <w:color w:val="auto"/>
          <w:sz w:val="32"/>
          <w:szCs w:val="32"/>
          <w:shd w:val="clear" w:color="auto" w:fill="auto"/>
          <w:lang w:val="en-US" w:eastAsia="zh-CN"/>
        </w:rPr>
        <w:t>本年按工会要求正常开展工会活动，导致公用经费增加</w:t>
      </w:r>
      <w:r>
        <w:rPr>
          <w:rFonts w:hint="default" w:ascii="Times New Roman" w:hAnsi="Times New Roman" w:eastAsia="方正仿宋_GBK" w:cs="Times New Roman"/>
          <w:b w:val="0"/>
          <w:bCs/>
          <w:color w:val="auto"/>
          <w:sz w:val="32"/>
          <w:szCs w:val="32"/>
          <w:shd w:val="clear" w:color="auto" w:fill="auto"/>
          <w:lang w:eastAsia="zh-CN"/>
        </w:rPr>
        <w:t>。</w:t>
      </w:r>
      <w:r>
        <w:rPr>
          <w:rFonts w:hint="default" w:ascii="Times New Roman" w:hAnsi="Times New Roman" w:eastAsia="方正仿宋_GBK" w:cs="Times New Roman"/>
          <w:b w:val="0"/>
          <w:bCs/>
          <w:kern w:val="2"/>
          <w:sz w:val="32"/>
          <w:szCs w:val="32"/>
          <w:lang w:val="en-US" w:eastAsia="zh-CN" w:bidi="ar-SA"/>
        </w:rPr>
        <w:t>公用经费用途主要包括</w:t>
      </w:r>
      <w:r>
        <w:rPr>
          <w:rFonts w:hint="default" w:ascii="Times New Roman" w:hAnsi="Times New Roman" w:eastAsia="方正仿宋_GBK" w:cs="Times New Roman"/>
          <w:b w:val="0"/>
          <w:bCs/>
          <w:color w:val="000000"/>
          <w:sz w:val="32"/>
          <w:szCs w:val="32"/>
        </w:rPr>
        <w:t>办公费、差旅费、</w:t>
      </w:r>
      <w:r>
        <w:rPr>
          <w:rFonts w:hint="eastAsia" w:ascii="Times New Roman" w:hAnsi="Times New Roman" w:eastAsia="方正仿宋_GBK" w:cs="Times New Roman"/>
          <w:b w:val="0"/>
          <w:bCs/>
          <w:color w:val="000000"/>
          <w:sz w:val="32"/>
          <w:szCs w:val="32"/>
          <w:lang w:eastAsia="zh-CN"/>
        </w:rPr>
        <w:t>培训费、</w:t>
      </w:r>
      <w:r>
        <w:rPr>
          <w:rFonts w:hint="default" w:ascii="Times New Roman" w:hAnsi="Times New Roman" w:eastAsia="方正仿宋_GBK" w:cs="Times New Roman"/>
          <w:b w:val="0"/>
          <w:bCs/>
          <w:color w:val="000000"/>
          <w:sz w:val="32"/>
          <w:szCs w:val="32"/>
        </w:rPr>
        <w:t>维修（护）费、工会经费、其他交通费等</w:t>
      </w:r>
      <w:r>
        <w:rPr>
          <w:rFonts w:hint="eastAsia" w:ascii="Times New Roman" w:hAnsi="Times New Roman" w:eastAsia="方正仿宋_GBK" w:cs="Times New Roman"/>
          <w:b w:val="0"/>
          <w:bCs/>
          <w:color w:val="000000"/>
          <w:sz w:val="32"/>
          <w:szCs w:val="32"/>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本单</w:t>
      </w:r>
      <w:r>
        <w:rPr>
          <w:rFonts w:hint="default" w:ascii="Times New Roman" w:hAnsi="Times New Roman" w:eastAsia="方正仿宋_GBK" w:cs="Times New Roman"/>
          <w:b w:val="0"/>
          <w:bCs/>
          <w:color w:val="auto"/>
          <w:sz w:val="32"/>
          <w:szCs w:val="32"/>
          <w:shd w:val="clear" w:color="auto" w:fill="FFFFFF"/>
        </w:rPr>
        <w:t>位2024</w:t>
      </w:r>
      <w:r>
        <w:rPr>
          <w:rFonts w:hint="eastAsia" w:ascii="方正仿宋_GBK" w:hAnsi="方正仿宋_GBK" w:eastAsia="方正仿宋_GBK" w:cs="方正仿宋_GBK"/>
          <w:b w:val="0"/>
          <w:bCs/>
          <w:color w:val="auto"/>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right="0" w:rightChars="0" w:firstLine="0" w:firstLineChars="0"/>
        <w:textAlignment w:val="auto"/>
        <w:rPr>
          <w:rStyle w:val="13"/>
          <w:rFonts w:hint="default" w:ascii="黑体" w:hAnsi="黑体" w:eastAsia="黑体" w:cs="黑体"/>
          <w:b w:val="0"/>
          <w:bCs/>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本单位</w:t>
      </w:r>
      <w:r>
        <w:rPr>
          <w:rFonts w:hint="default" w:ascii="Times New Roman" w:hAnsi="Times New Roman" w:eastAsia="方正仿宋_GBK" w:cs="Times New Roman"/>
          <w:b w:val="0"/>
          <w:bCs/>
          <w:color w:val="auto"/>
          <w:sz w:val="32"/>
          <w:szCs w:val="32"/>
          <w:shd w:val="clear" w:color="auto" w:fill="FFFFFF"/>
        </w:rPr>
        <w:t>2024年</w:t>
      </w:r>
      <w:r>
        <w:rPr>
          <w:rFonts w:hint="eastAsia" w:ascii="方正仿宋_GBK" w:hAnsi="方正仿宋_GBK" w:eastAsia="方正仿宋_GBK" w:cs="方正仿宋_GBK"/>
          <w:b w:val="0"/>
          <w:bCs/>
          <w:color w:val="auto"/>
          <w:sz w:val="32"/>
          <w:szCs w:val="32"/>
          <w:shd w:val="clear" w:color="auto" w:fill="FFFFFF"/>
        </w:rPr>
        <w:t>度无国有资本经营预算财政拨款支出。</w:t>
      </w: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3.42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较年初预算数减少0.08万元，下降2.3%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厉行节约，减少三公经费支出。</w:t>
      </w:r>
      <w:r>
        <w:rPr>
          <w:rFonts w:hint="default" w:ascii="Times New Roman" w:hAnsi="Times New Roman" w:eastAsia="方正仿宋_GBK"/>
          <w:b w:val="0"/>
          <w:bCs/>
          <w:sz w:val="32"/>
          <w:szCs w:val="32"/>
          <w:shd w:val="clear" w:color="auto" w:fill="FFFFFF"/>
        </w:rPr>
        <w:t>较上年支出数增加0.41万元，增长13.6%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业务工作量增加，导致车辆运行费增加。</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较上年支出数无增减</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较上年支出数无增减</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3.42</w:t>
      </w:r>
      <w:r>
        <w:rPr>
          <w:rFonts w:ascii="方正仿宋_GBK" w:hAnsi="方正仿宋_GBK" w:eastAsia="方正仿宋_GBK" w:cs="方正仿宋_GBK"/>
          <w:b w:val="0"/>
          <w:bCs/>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公务车</w:t>
      </w:r>
      <w:r>
        <w:rPr>
          <w:rFonts w:hint="default" w:ascii="Times New Roman" w:hAnsi="Times New Roman" w:eastAsia="方正仿宋_GBK" w:cs="Times New Roman"/>
          <w:b w:val="0"/>
          <w:bCs/>
          <w:sz w:val="32"/>
          <w:szCs w:val="32"/>
          <w:shd w:val="clear" w:color="auto" w:fill="FFFFFF"/>
          <w:lang w:eastAsia="zh-CN"/>
        </w:rPr>
        <w:t>辆运行、维修支出</w:t>
      </w:r>
      <w:r>
        <w:rPr>
          <w:rFonts w:hint="default" w:ascii="Times New Roman" w:hAnsi="Times New Roman" w:eastAsia="方正仿宋_GBK" w:cs="Times New Roman"/>
          <w:b w:val="0"/>
          <w:bCs/>
          <w:color w:val="auto"/>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较年初预算数减少0.08万元，下降2.3%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厉行节约，减少公车支出。</w:t>
      </w:r>
      <w:r>
        <w:rPr>
          <w:rFonts w:hint="default" w:ascii="Times New Roman" w:hAnsi="Times New Roman" w:eastAsia="方正仿宋_GBK"/>
          <w:b w:val="0"/>
          <w:bCs/>
          <w:sz w:val="32"/>
          <w:szCs w:val="32"/>
          <w:shd w:val="clear" w:color="auto" w:fill="FFFFFF"/>
        </w:rPr>
        <w:t>较上年支出数增加0.41万元，增长13.6%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业务工作量增加，导致车辆运行费增加。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较上年支出数无增减</w:t>
      </w:r>
      <w:r>
        <w:rPr>
          <w:rFonts w:ascii="方正仿宋_GBK" w:hAnsi="方正仿宋_GBK" w:eastAsia="方正仿宋_GBK" w:cs="方正仿宋_GBK"/>
          <w:b w:val="0"/>
          <w:bCs/>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3.42</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FF0000"/>
          <w:sz w:val="32"/>
          <w:szCs w:val="32"/>
        </w:rPr>
      </w:pPr>
      <w:r>
        <w:rPr>
          <w:rFonts w:hint="eastAsia" w:ascii="方正仿宋_GBK" w:hAnsi="方正仿宋_GBK" w:eastAsia="方正仿宋_GBK" w:cs="方正仿宋_GBK"/>
          <w:b w:val="0"/>
          <w:bCs/>
          <w:sz w:val="32"/>
          <w:szCs w:val="32"/>
          <w:shd w:val="clear" w:color="auto" w:fill="FFFFFF"/>
          <w:lang w:eastAsia="zh-CN"/>
        </w:rPr>
        <w:t>本年度因</w:t>
      </w:r>
      <w:r>
        <w:rPr>
          <w:rFonts w:hint="eastAsia" w:ascii="方正仿宋_GBK" w:hAnsi="方正仿宋_GBK" w:eastAsia="方正仿宋_GBK" w:cs="方正仿宋_GBK"/>
          <w:b w:val="0"/>
          <w:bCs/>
          <w:sz w:val="32"/>
          <w:szCs w:val="32"/>
          <w:shd w:val="clear" w:color="auto" w:fill="FFFFFF"/>
        </w:rPr>
        <w:t>落实过紧日子要求，厉行节约，未使用财政资金保障会议费、培训费和差旅费。</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与2023年度相比，减少0.95万元，下降100.0%</w:t>
      </w:r>
      <w:r>
        <w:rPr>
          <w:rFonts w:hint="eastAsia" w:ascii="Times New Roman" w:hAnsi="Times New Roman" w:eastAsia="方正仿宋_GBK"/>
          <w:b w:val="0"/>
          <w:bCs/>
          <w:sz w:val="32"/>
          <w:szCs w:val="32"/>
          <w:shd w:val="clear" w:color="auto" w:fill="FFFFFF"/>
          <w:lang w:eastAsia="zh-CN"/>
        </w:rPr>
        <w:t>，主要原因是厉行节约，未开展培训。</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机关运行经费支出</w:t>
      </w:r>
      <w:r>
        <w:rPr>
          <w:rFonts w:hint="default" w:ascii="Times New Roman" w:hAnsi="Times New Roman" w:eastAsia="方正仿宋_GBK"/>
          <w:b w:val="0"/>
          <w:bCs/>
          <w:sz w:val="32"/>
          <w:szCs w:val="32"/>
          <w:shd w:val="clear" w:color="auto" w:fill="FFFFFF"/>
        </w:rPr>
        <w:t>118.98</w:t>
      </w:r>
      <w:r>
        <w:rPr>
          <w:rFonts w:ascii="方正仿宋_GBK" w:hAnsi="方正仿宋_GBK" w:eastAsia="方正仿宋_GBK" w:cs="方正仿宋_GBK"/>
          <w:b w:val="0"/>
          <w:bCs/>
          <w:sz w:val="32"/>
          <w:szCs w:val="32"/>
          <w:shd w:val="clear" w:color="auto" w:fill="FFFFFF"/>
        </w:rPr>
        <w:t>万元，机关运行经费主要用于开支</w:t>
      </w:r>
      <w:r>
        <w:rPr>
          <w:rFonts w:hint="default" w:ascii="Times New Roman" w:hAnsi="Times New Roman" w:eastAsia="方正仿宋_GBK" w:cs="Times New Roman"/>
          <w:b w:val="0"/>
          <w:bCs/>
          <w:sz w:val="32"/>
          <w:szCs w:val="32"/>
        </w:rPr>
        <w:t>办公费、差旅费、</w:t>
      </w:r>
      <w:r>
        <w:rPr>
          <w:rFonts w:hint="eastAsia" w:ascii="Times New Roman" w:hAnsi="Times New Roman" w:eastAsia="方正仿宋_GBK" w:cs="Times New Roman"/>
          <w:b w:val="0"/>
          <w:bCs/>
          <w:sz w:val="32"/>
          <w:szCs w:val="32"/>
          <w:lang w:eastAsia="zh-CN"/>
        </w:rPr>
        <w:t>培训费、</w:t>
      </w:r>
      <w:r>
        <w:rPr>
          <w:rFonts w:hint="default" w:ascii="Times New Roman" w:hAnsi="Times New Roman" w:eastAsia="方正仿宋_GBK" w:cs="Times New Roman"/>
          <w:b w:val="0"/>
          <w:bCs/>
          <w:sz w:val="32"/>
          <w:szCs w:val="32"/>
        </w:rPr>
        <w:t>维修（护）费、工会经费、</w:t>
      </w:r>
      <w:r>
        <w:rPr>
          <w:rFonts w:hint="default" w:ascii="Times New Roman" w:hAnsi="Times New Roman" w:eastAsia="方正仿宋_GBK" w:cs="Times New Roman"/>
          <w:b w:val="0"/>
          <w:bCs/>
          <w:color w:val="auto"/>
          <w:kern w:val="0"/>
          <w:sz w:val="32"/>
          <w:szCs w:val="32"/>
        </w:rPr>
        <w:t>信息网络购置更新费</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sz w:val="32"/>
          <w:szCs w:val="32"/>
        </w:rPr>
        <w:t>其他</w:t>
      </w:r>
      <w:r>
        <w:rPr>
          <w:rFonts w:hint="default" w:ascii="Times New Roman" w:hAnsi="Times New Roman" w:eastAsia="方正仿宋_GBK" w:cs="Times New Roman"/>
          <w:b w:val="0"/>
          <w:bCs/>
          <w:color w:val="000000"/>
          <w:sz w:val="32"/>
          <w:szCs w:val="32"/>
        </w:rPr>
        <w:t>交通费等</w:t>
      </w:r>
      <w:r>
        <w:rPr>
          <w:rFonts w:hint="default" w:ascii="Times New Roman" w:hAnsi="Times New Roman" w:eastAsia="方正仿宋_GBK" w:cs="Times New Roman"/>
          <w:b w:val="0"/>
          <w:bCs/>
          <w:color w:val="000000"/>
          <w:sz w:val="32"/>
          <w:szCs w:val="32"/>
          <w:lang w:eastAsia="zh-CN"/>
        </w:rPr>
        <w:t>。</w:t>
      </w:r>
      <w:r>
        <w:rPr>
          <w:rFonts w:ascii="方正仿宋_GBK" w:hAnsi="方正仿宋_GBK" w:eastAsia="方正仿宋_GBK" w:cs="方正仿宋_GBK"/>
          <w:b w:val="0"/>
          <w:bCs/>
          <w:sz w:val="32"/>
          <w:szCs w:val="32"/>
          <w:shd w:val="clear" w:color="auto" w:fill="FFFFFF"/>
        </w:rPr>
        <w:t>机关运行经费</w:t>
      </w:r>
      <w:r>
        <w:rPr>
          <w:rFonts w:hint="default" w:ascii="Times New Roman" w:hAnsi="Times New Roman" w:eastAsia="方正仿宋_GBK"/>
          <w:b w:val="0"/>
          <w:bCs/>
          <w:sz w:val="32"/>
          <w:szCs w:val="32"/>
          <w:shd w:val="clear" w:color="auto" w:fill="FFFFFF"/>
        </w:rPr>
        <w:t>较上年支出数增加11.09万元，增长10.3%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rPr>
        <w:t>本年按工会要求正常开展工会活动，导致公用经费增加。</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right="0" w:righ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right="0" w:rightChars="0"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default" w:ascii="Times New Roman" w:hAnsi="Times New Roman" w:eastAsia="方正仿宋_GBK" w:cs="Times New Roman"/>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年度我</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right="0" w:rightChars="0"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right="0" w:rightChars="0"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方正仿宋_GBK" w:cs="Times New Roman"/>
          <w:b w:val="0"/>
          <w:bCs/>
          <w:kern w:val="0"/>
          <w:sz w:val="32"/>
          <w:szCs w:val="32"/>
          <w:shd w:val="clear" w:fill="FFFFFF"/>
        </w:rPr>
        <w:t>根据预算绩效管理要求，我单位对2个项目开展了绩效自评，其中，以填报目标自评表形式开展自评2项，涉及资金</w:t>
      </w:r>
      <w:r>
        <w:rPr>
          <w:rFonts w:hint="default" w:ascii="Times New Roman" w:hAnsi="Times New Roman" w:eastAsia="方正仿宋_GBK" w:cs="Times New Roman"/>
          <w:b w:val="0"/>
          <w:bCs/>
          <w:kern w:val="0"/>
          <w:sz w:val="32"/>
          <w:szCs w:val="32"/>
          <w:shd w:val="clear" w:fill="FFFFFF"/>
          <w:lang w:val="en-US" w:eastAsia="zh-CN"/>
        </w:rPr>
        <w:t>60.85</w:t>
      </w:r>
      <w:r>
        <w:rPr>
          <w:rFonts w:hint="default" w:ascii="Times New Roman" w:hAnsi="Times New Roman" w:eastAsia="方正仿宋_GBK" w:cs="Times New Roman"/>
          <w:b w:val="0"/>
          <w:bCs/>
          <w:kern w:val="0"/>
          <w:sz w:val="32"/>
          <w:szCs w:val="32"/>
          <w:shd w:val="clear" w:fill="FFFFFF"/>
        </w:rPr>
        <w:t>万元，按照绩效评价的结果，我单位2个项目执行进度都达到了100%，自评等级均为优；无重点绩效评价项目。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lang w:eastAsia="zh-CN"/>
        </w:rPr>
        <w:t>公开内容：</w:t>
      </w:r>
      <w:r>
        <w:rPr>
          <w:rFonts w:hint="eastAsia" w:ascii="方正仿宋_GBK" w:hAnsi="方正仿宋_GBK" w:eastAsia="方正仿宋_GBK" w:cs="方正仿宋_GBK"/>
          <w:b w:val="0"/>
          <w:bCs w:val="0"/>
          <w:kern w:val="0"/>
          <w:sz w:val="32"/>
          <w:szCs w:val="32"/>
          <w:shd w:val="clear" w:fill="FFFFFF"/>
        </w:rPr>
        <w:t>部门整体绩效自评表和项目支出绩效自评表</w:t>
      </w:r>
      <w:r>
        <w:rPr>
          <w:rFonts w:hint="eastAsia" w:ascii="方正仿宋_GBK" w:hAnsi="方正仿宋_GBK" w:eastAsia="方正仿宋_GBK" w:cs="方正仿宋_GBK"/>
          <w:b w:val="0"/>
          <w:bCs w:val="0"/>
          <w:kern w:val="0"/>
          <w:sz w:val="32"/>
          <w:szCs w:val="32"/>
          <w:shd w:val="clear" w:fill="FFFFFF"/>
          <w:lang w:eastAsia="zh-CN"/>
        </w:rPr>
        <w:t>（</w:t>
      </w:r>
      <w:r>
        <w:rPr>
          <w:rFonts w:hint="eastAsia" w:ascii="方正仿宋_GBK" w:hAnsi="方正仿宋_GBK" w:eastAsia="方正仿宋_GBK" w:cs="方正仿宋_GBK"/>
          <w:b w:val="0"/>
          <w:bCs w:val="0"/>
          <w:kern w:val="0"/>
          <w:sz w:val="32"/>
          <w:szCs w:val="32"/>
          <w:shd w:val="clear" w:fill="FFFFFF"/>
        </w:rPr>
        <w:t>详见附件</w:t>
      </w:r>
      <w:r>
        <w:rPr>
          <w:rFonts w:hint="eastAsia" w:ascii="方正仿宋_GBK" w:hAnsi="方正仿宋_GBK" w:eastAsia="方正仿宋_GBK" w:cs="方正仿宋_GBK"/>
          <w:b w:val="0"/>
          <w:bCs w:val="0"/>
          <w:kern w:val="0"/>
          <w:sz w:val="32"/>
          <w:szCs w:val="32"/>
          <w:shd w:val="clear" w:fill="FFFFFF"/>
          <w:lang w:eastAsia="zh-CN"/>
        </w:rPr>
        <w:t>）</w:t>
      </w:r>
      <w:r>
        <w:rPr>
          <w:rFonts w:hint="eastAsia" w:ascii="方正仿宋_GBK" w:hAnsi="方正仿宋_GBK" w:eastAsia="方正仿宋_GBK" w:cs="方正仿宋_GBK"/>
          <w:b w:val="0"/>
          <w:bCs w:val="0"/>
          <w:kern w:val="0"/>
          <w:sz w:val="32"/>
          <w:szCs w:val="32"/>
          <w:shd w:val="clear" w:fill="FFFFFF"/>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kern w:val="0"/>
          <w:sz w:val="32"/>
          <w:szCs w:val="32"/>
          <w:shd w:val="clear" w:fill="FFFFFF"/>
          <w:lang w:eastAsia="zh-CN"/>
        </w:rPr>
        <w:t>（二）部门绩效评价情况（无）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lang w:eastAsia="zh-CN"/>
        </w:rPr>
      </w:pPr>
      <w:r>
        <w:rPr>
          <w:rFonts w:hint="eastAsia" w:ascii="方正楷体_GBK" w:hAnsi="方正楷体_GBK" w:eastAsia="方正楷体_GBK" w:cs="方正楷体_GBK"/>
          <w:b w:val="0"/>
          <w:bCs/>
          <w:kern w:val="0"/>
          <w:sz w:val="32"/>
          <w:szCs w:val="32"/>
          <w:shd w:val="clear" w:fill="FFFFFF"/>
          <w:lang w:eastAsia="zh-CN"/>
        </w:rPr>
        <w:t>（三）财政绩效评价情况（无）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right="0" w:rightChars="0"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textAlignment w:val="auto"/>
        <w:outlineLvl w:val="9"/>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textAlignment w:val="auto"/>
        <w:outlineLvl w:val="9"/>
        <w:rPr>
          <w:rStyle w:val="13"/>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val="0"/>
          <w:bCs/>
          <w:color w:val="auto"/>
          <w:kern w:val="0"/>
          <w:sz w:val="32"/>
          <w:szCs w:val="32"/>
          <w:shd w:val="clear" w:fill="FFFFFF"/>
          <w:lang w:eastAsia="zh-CN"/>
        </w:rPr>
        <w:t>罗健瑛</w:t>
      </w:r>
      <w:r>
        <w:rPr>
          <w:rFonts w:hint="eastAsia" w:ascii="方正仿宋_GBK" w:hAnsi="方正仿宋_GBK" w:eastAsia="方正仿宋_GBK" w:cs="方正仿宋_GBK"/>
          <w:b w:val="0"/>
          <w:bCs/>
          <w:color w:val="auto"/>
          <w:kern w:val="0"/>
          <w:sz w:val="32"/>
          <w:szCs w:val="32"/>
          <w:shd w:val="clear" w:fill="FFFFFF"/>
        </w:rPr>
        <w:t xml:space="preserve">   </w:t>
      </w:r>
      <w:r>
        <w:rPr>
          <w:rFonts w:hint="default" w:ascii="Times New Roman" w:hAnsi="Times New Roman" w:eastAsia="方正仿宋_GBK" w:cs="Times New Roman"/>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rPr>
        <w:t>-</w:t>
      </w:r>
      <w:r>
        <w:rPr>
          <w:rFonts w:hint="default" w:ascii="Times New Roman" w:hAnsi="Times New Roman" w:eastAsia="方正仿宋_GBK" w:cs="Times New Roman"/>
          <w:b w:val="0"/>
          <w:bCs/>
          <w:color w:val="auto"/>
          <w:kern w:val="0"/>
          <w:sz w:val="32"/>
          <w:szCs w:val="32"/>
          <w:shd w:val="clear" w:fill="FFFFFF"/>
        </w:rPr>
        <w:t>48650516</w:t>
      </w:r>
      <w:bookmarkStart w:id="0" w:name="_GoBack"/>
      <w:bookmarkEnd w:id="0"/>
    </w:p>
    <w:p>
      <w:pPr>
        <w:pStyle w:val="2"/>
        <w:rPr>
          <w:rFonts w:hint="eastAsia" w:eastAsia="宋体"/>
          <w:lang w:eastAsia="zh-CN"/>
        </w:rPr>
      </w:pP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9F7D0A"/>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680717"/>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1F432D"/>
    <w:rsid w:val="1F2C5189"/>
    <w:rsid w:val="1F4B0B02"/>
    <w:rsid w:val="1FBB35CD"/>
    <w:rsid w:val="1FCD26AF"/>
    <w:rsid w:val="20642787"/>
    <w:rsid w:val="21556F04"/>
    <w:rsid w:val="22403BD3"/>
    <w:rsid w:val="22AD3177"/>
    <w:rsid w:val="235417B6"/>
    <w:rsid w:val="24B92327"/>
    <w:rsid w:val="24C14514"/>
    <w:rsid w:val="2533755C"/>
    <w:rsid w:val="25791755"/>
    <w:rsid w:val="26396DF4"/>
    <w:rsid w:val="26782116"/>
    <w:rsid w:val="27167136"/>
    <w:rsid w:val="271B442C"/>
    <w:rsid w:val="27800211"/>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E27982"/>
    <w:rsid w:val="2FF06E00"/>
    <w:rsid w:val="30586FEC"/>
    <w:rsid w:val="315F0B22"/>
    <w:rsid w:val="31A15828"/>
    <w:rsid w:val="31D84415"/>
    <w:rsid w:val="32285F6F"/>
    <w:rsid w:val="32770556"/>
    <w:rsid w:val="329C0913"/>
    <w:rsid w:val="32AA0460"/>
    <w:rsid w:val="32FD4570"/>
    <w:rsid w:val="3337290D"/>
    <w:rsid w:val="33E31118"/>
    <w:rsid w:val="33EF7674"/>
    <w:rsid w:val="342D7BC6"/>
    <w:rsid w:val="352930DB"/>
    <w:rsid w:val="3547154E"/>
    <w:rsid w:val="35573069"/>
    <w:rsid w:val="355F6038"/>
    <w:rsid w:val="358C217E"/>
    <w:rsid w:val="35934391"/>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3C687C"/>
    <w:rsid w:val="40760DD1"/>
    <w:rsid w:val="40BD5482"/>
    <w:rsid w:val="40FC1BC9"/>
    <w:rsid w:val="411B6CE5"/>
    <w:rsid w:val="412070D7"/>
    <w:rsid w:val="41314E40"/>
    <w:rsid w:val="41E0734B"/>
    <w:rsid w:val="41E8287D"/>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951ABB"/>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890464"/>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0321F0"/>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A270D2"/>
    <w:rsid w:val="6BC938E5"/>
    <w:rsid w:val="6C0A5AC5"/>
    <w:rsid w:val="6C560CAE"/>
    <w:rsid w:val="6C576495"/>
    <w:rsid w:val="6CB46C97"/>
    <w:rsid w:val="6CEF0354"/>
    <w:rsid w:val="6D356CAB"/>
    <w:rsid w:val="6D903FF5"/>
    <w:rsid w:val="6DA955B8"/>
    <w:rsid w:val="6DE346AB"/>
    <w:rsid w:val="6DE5391A"/>
    <w:rsid w:val="6EFD1324"/>
    <w:rsid w:val="6F5A53AC"/>
    <w:rsid w:val="6FAC003D"/>
    <w:rsid w:val="6FD926BF"/>
    <w:rsid w:val="6FE55E12"/>
    <w:rsid w:val="6FFB2E76"/>
    <w:rsid w:val="708F6F7F"/>
    <w:rsid w:val="70D94BD3"/>
    <w:rsid w:val="71455876"/>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5024</Words>
  <Characters>5529</Characters>
  <Lines>186</Lines>
  <Paragraphs>52</Paragraphs>
  <TotalTime>6</TotalTime>
  <ScaleCrop>false</ScaleCrop>
  <LinksUpToDate>false</LinksUpToDate>
  <CharactersWithSpaces>5576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2025-10-29T08:12:20Z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eyJoZGlkIjoiYzhlMDU0MDhhZWE5NjdhZDBlNThhZjg0MDc5NTgzZTkiLCJ1c2VySWQiOiI2MDg3NDAyODcifQ==</vt:lpwstr>
  </property>
</Properties>
</file>