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ordWrap w:val="0"/>
        <w:jc w:val="right"/>
        <w:rPr>
          <w:rFonts w:hint="eastAsia" w:ascii="楷体_GB2312" w:eastAsia="楷体_GB2312" w:cs="楷体_GB2312"/>
          <w:b/>
          <w:bCs w:val="0"/>
          <w:sz w:val="30"/>
          <w:szCs w:val="24"/>
          <w:lang w:val="en-US"/>
        </w:rPr>
      </w:pPr>
      <w:r>
        <w:rPr>
          <w:rFonts w:hint="eastAsia" w:ascii="楷体_GB2312" w:eastAsia="楷体_GB2312" w:cs="楷体_GB2312"/>
          <w:b/>
          <w:bCs w:val="0"/>
          <w:sz w:val="30"/>
          <w:szCs w:val="24"/>
          <w:lang w:eastAsia="zh-CN"/>
        </w:rPr>
        <w:t>统一社会信用代码</w:t>
      </w:r>
      <w:r>
        <w:rPr>
          <w:rFonts w:hint="eastAsia" w:ascii="楷体_GB2312" w:eastAsia="楷体_GB2312" w:cs="楷体_GB2312"/>
          <w:b/>
          <w:bCs w:val="0"/>
          <w:sz w:val="30"/>
          <w:szCs w:val="24"/>
          <w:lang w:val="en-US"/>
        </w:rPr>
        <w:t xml:space="preserve">   </w:t>
      </w:r>
    </w:p>
    <w:p>
      <w:pPr>
        <w:wordWrap w:val="0"/>
        <w:jc w:val="right"/>
        <w:rPr>
          <w:rFonts w:eastAsia="楷体_GB2312"/>
          <w:b/>
          <w:bCs/>
          <w:sz w:val="30"/>
          <w:szCs w:val="24"/>
          <w:lang w:val="en-US"/>
        </w:rPr>
      </w:pPr>
      <w:r>
        <w:rPr>
          <w:rFonts w:eastAsia="楷体_GB2312"/>
          <w:b/>
          <w:bCs/>
          <w:sz w:val="30"/>
          <w:szCs w:val="24"/>
          <w:lang w:val="en-US"/>
        </w:rPr>
        <w:t xml:space="preserve">   </w:t>
      </w:r>
      <w:r>
        <w:rPr>
          <w:rStyle w:val="20"/>
          <w:b/>
          <w:bCs/>
          <w:sz w:val="30"/>
          <w:szCs w:val="30"/>
          <w:lang w:val="en-US"/>
        </w:rPr>
        <w:t>12500222450516709U</w:t>
      </w:r>
      <w:r>
        <w:rPr>
          <w:rFonts w:eastAsia="楷体_GB2312"/>
          <w:b/>
          <w:bCs/>
          <w:sz w:val="30"/>
          <w:szCs w:val="24"/>
          <w:lang w:val="en-US"/>
        </w:rPr>
        <w:t xml:space="preserve">   </w:t>
      </w:r>
    </w:p>
    <w:p>
      <w:pPr>
        <w:jc w:val="right"/>
        <w:rPr>
          <w:lang w:val="en-US"/>
        </w:rPr>
      </w:pPr>
    </w:p>
    <w:p>
      <w:pPr>
        <w:jc w:val="right"/>
        <w:rPr>
          <w:lang w:val="en-US"/>
        </w:rPr>
      </w:pPr>
    </w:p>
    <w:p>
      <w:pPr>
        <w:jc w:val="right"/>
        <w:rPr>
          <w:lang w:val="en-US"/>
        </w:rPr>
      </w:pPr>
    </w:p>
    <w:p>
      <w:pPr>
        <w:jc w:val="right"/>
        <w:rPr>
          <w:lang w:val="en-US"/>
        </w:rPr>
      </w:pPr>
    </w:p>
    <w:p>
      <w:pPr>
        <w:jc w:val="right"/>
        <w:rPr>
          <w:lang w:val="en-US"/>
        </w:rPr>
      </w:pPr>
    </w:p>
    <w:p>
      <w:pPr>
        <w:jc w:val="center"/>
        <w:rPr>
          <w:rFonts w:eastAsia="黑体"/>
          <w:b/>
          <w:bCs/>
          <w:spacing w:val="40"/>
          <w:sz w:val="52"/>
          <w:szCs w:val="24"/>
          <w:lang w:val="en-US"/>
        </w:rPr>
      </w:pPr>
      <w:r>
        <w:rPr>
          <w:rFonts w:hint="eastAsia" w:ascii="Times New Roman" w:hAnsi="宋体" w:eastAsia="黑体" w:cs="黑体"/>
          <w:b/>
          <w:bCs/>
          <w:spacing w:val="40"/>
          <w:sz w:val="52"/>
          <w:szCs w:val="24"/>
          <w:lang w:eastAsia="zh-CN"/>
        </w:rPr>
        <w:t>事业单位法人年度报告书</w:t>
      </w:r>
    </w:p>
    <w:p>
      <w:pPr>
        <w:jc w:val="center"/>
        <w:rPr>
          <w:rFonts w:eastAsia="黑体"/>
          <w:b/>
          <w:bCs/>
          <w:spacing w:val="30"/>
          <w:lang w:val="en-US"/>
        </w:rPr>
      </w:pPr>
    </w:p>
    <w:p>
      <w:pPr>
        <w:jc w:val="center"/>
        <w:rPr>
          <w:rFonts w:eastAsia="楷体_GB2312"/>
          <w:b/>
          <w:bCs/>
          <w:spacing w:val="30"/>
          <w:sz w:val="36"/>
          <w:szCs w:val="24"/>
          <w:lang w:val="en-US"/>
        </w:rPr>
      </w:pPr>
      <w:r>
        <w:rPr>
          <w:rFonts w:hint="eastAsia" w:ascii="Times New Roman" w:eastAsia="楷体_GB2312" w:cs="楷体_GB2312"/>
          <w:b/>
          <w:bCs/>
          <w:spacing w:val="30"/>
          <w:sz w:val="36"/>
          <w:szCs w:val="24"/>
          <w:lang w:eastAsia="zh-CN"/>
        </w:rPr>
        <w:t>（</w:t>
      </w:r>
      <w:r>
        <w:rPr>
          <w:rFonts w:eastAsia="楷体_GB2312"/>
          <w:b/>
          <w:bCs/>
          <w:spacing w:val="30"/>
          <w:sz w:val="36"/>
          <w:szCs w:val="24"/>
          <w:lang w:val="en-US"/>
        </w:rPr>
        <w:t xml:space="preserve">  </w:t>
      </w:r>
      <w:r>
        <w:rPr>
          <w:rStyle w:val="20"/>
          <w:b/>
          <w:bCs/>
          <w:sz w:val="30"/>
          <w:szCs w:val="30"/>
          <w:lang w:val="en-US"/>
        </w:rPr>
        <w:t>2017</w:t>
      </w:r>
      <w:r>
        <w:rPr>
          <w:rFonts w:eastAsia="楷体_GB2312"/>
          <w:b/>
          <w:bCs/>
          <w:spacing w:val="30"/>
          <w:sz w:val="36"/>
          <w:szCs w:val="24"/>
          <w:lang w:val="en-US"/>
        </w:rPr>
        <w:t xml:space="preserve">  </w:t>
      </w:r>
      <w:r>
        <w:rPr>
          <w:rFonts w:hint="eastAsia" w:ascii="Times New Roman" w:eastAsia="楷体_GB2312" w:cs="楷体_GB2312"/>
          <w:b/>
          <w:bCs/>
          <w:spacing w:val="30"/>
          <w:sz w:val="36"/>
          <w:szCs w:val="24"/>
          <w:lang w:eastAsia="zh-CN"/>
        </w:rPr>
        <w:t>年度）</w:t>
      </w:r>
    </w:p>
    <w:p>
      <w:pPr>
        <w:jc w:val="center"/>
        <w:rPr>
          <w:sz w:val="36"/>
          <w:szCs w:val="24"/>
          <w:lang w:val="en-US"/>
        </w:rPr>
      </w:pPr>
    </w:p>
    <w:p>
      <w:pPr>
        <w:jc w:val="center"/>
        <w:rPr>
          <w:sz w:val="36"/>
          <w:szCs w:val="24"/>
          <w:lang w:val="en-US"/>
        </w:rPr>
      </w:pPr>
    </w:p>
    <w:p>
      <w:pPr>
        <w:jc w:val="center"/>
        <w:rPr>
          <w:sz w:val="36"/>
          <w:szCs w:val="24"/>
          <w:lang w:val="en-US"/>
        </w:rPr>
      </w:pPr>
    </w:p>
    <w:p>
      <w:pPr>
        <w:jc w:val="center"/>
        <w:rPr>
          <w:sz w:val="36"/>
          <w:szCs w:val="24"/>
          <w:lang w:val="en-US"/>
        </w:rPr>
      </w:pPr>
    </w:p>
    <w:p>
      <w:pPr>
        <w:jc w:val="center"/>
        <w:rPr>
          <w:sz w:val="36"/>
          <w:szCs w:val="24"/>
          <w:lang w:val="en-US"/>
        </w:rPr>
      </w:pPr>
    </w:p>
    <w:p>
      <w:pPr>
        <w:jc w:val="center"/>
        <w:rPr>
          <w:sz w:val="36"/>
          <w:szCs w:val="24"/>
          <w:lang w:val="en-US"/>
        </w:rPr>
      </w:pPr>
    </w:p>
    <w:tbl>
      <w:tblPr>
        <w:tblStyle w:val="1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2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05" w:type="dxa"/>
            <w:shd w:val="clear"/>
            <w:vAlign w:val="bottom"/>
          </w:tcPr>
          <w:p>
            <w:pPr>
              <w:jc w:val="distribute"/>
            </w:pPr>
            <w:r>
              <w:rPr>
                <w:rStyle w:val="16"/>
                <w:b/>
                <w:bCs/>
                <w:sz w:val="36"/>
                <w:szCs w:val="24"/>
                <w:bdr w:val="none" w:color="auto" w:sz="0" w:space="0"/>
              </w:rPr>
              <w:t>单 位 名 称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vAlign w:val="bottom"/>
          </w:tcPr>
          <w:p>
            <w:pPr>
              <w:jc w:val="center"/>
              <w:rPr>
                <w:rFonts w:hint="eastAsia" w:ascii="楷体_GB2312" w:eastAsia="楷体_GB2312" w:cs="楷体_GB2312"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Style w:val="21"/>
                <w:rFonts w:hint="eastAsia" w:ascii="楷体_GB2312" w:eastAsia="楷体_GB2312" w:cs="楷体_GB2312"/>
                <w:sz w:val="32"/>
                <w:szCs w:val="24"/>
                <w:bdr w:val="none" w:color="auto" w:sz="0" w:space="0"/>
              </w:rPr>
              <w:t>重庆市綦江区人民医院</w:t>
            </w:r>
          </w:p>
        </w:tc>
      </w:tr>
    </w:tbl>
    <w:p>
      <w:pPr>
        <w:rPr>
          <w:rFonts w:hint="eastAsia" w:ascii="黑体" w:hAnsi="宋体" w:eastAsia="黑体" w:cs="黑体"/>
          <w:b/>
          <w:bCs/>
          <w:sz w:val="24"/>
          <w:szCs w:val="24"/>
          <w:u w:val="single"/>
          <w:lang w:val="en-US"/>
        </w:rPr>
      </w:pPr>
    </w:p>
    <w:tbl>
      <w:tblPr>
        <w:tblStyle w:val="1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52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65" w:type="dxa"/>
            <w:shd w:val="clear"/>
            <w:vAlign w:val="bottom"/>
          </w:tcPr>
          <w:p>
            <w:pPr>
              <w:jc w:val="distribute"/>
            </w:pPr>
            <w:r>
              <w:rPr>
                <w:rStyle w:val="16"/>
                <w:b/>
                <w:bCs/>
                <w:sz w:val="36"/>
                <w:szCs w:val="24"/>
                <w:bdr w:val="none" w:color="auto" w:sz="0" w:space="0"/>
              </w:rPr>
              <w:t>法</w:t>
            </w:r>
            <w:r>
              <w:rPr>
                <w:rStyle w:val="16"/>
                <w:b/>
                <w:bCs/>
                <w:spacing w:val="30"/>
                <w:sz w:val="36"/>
                <w:szCs w:val="24"/>
                <w:bdr w:val="none" w:color="auto" w:sz="0" w:space="0"/>
              </w:rPr>
              <w:t>定代表</w:t>
            </w:r>
            <w:r>
              <w:rPr>
                <w:rStyle w:val="16"/>
                <w:b/>
                <w:bCs/>
                <w:sz w:val="36"/>
                <w:szCs w:val="24"/>
                <w:bdr w:val="none" w:color="auto" w:sz="0" w:space="0"/>
              </w:rPr>
              <w:t>人</w:t>
            </w:r>
          </w:p>
        </w:tc>
        <w:tc>
          <w:tcPr>
            <w:tcW w:w="525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</w:tbl>
    <w:p>
      <w:pPr>
        <w:ind w:left="0" w:firstLine="723" w:firstLineChars="300"/>
        <w:rPr>
          <w:rFonts w:hint="eastAsia" w:ascii="黑体" w:hAnsi="宋体" w:eastAsia="黑体" w:cs="黑体"/>
          <w:b/>
          <w:bCs/>
          <w:sz w:val="24"/>
          <w:szCs w:val="24"/>
          <w:u w:val="single"/>
          <w:lang w:val="en-US"/>
        </w:rPr>
      </w:pPr>
    </w:p>
    <w:p>
      <w:pPr>
        <w:jc w:val="center"/>
        <w:rPr>
          <w:rFonts w:hint="eastAsia" w:ascii="黑体" w:hAnsi="宋体" w:eastAsia="黑体" w:cs="黑体"/>
          <w:b/>
          <w:bCs/>
          <w:sz w:val="30"/>
          <w:szCs w:val="24"/>
          <w:u w:val="single"/>
          <w:lang w:val="en-US"/>
        </w:rPr>
      </w:pPr>
    </w:p>
    <w:p>
      <w:pPr>
        <w:jc w:val="center"/>
        <w:rPr>
          <w:rFonts w:hint="eastAsia" w:ascii="黑体" w:hAnsi="宋体" w:eastAsia="黑体" w:cs="黑体"/>
          <w:b/>
          <w:bCs/>
          <w:sz w:val="30"/>
          <w:szCs w:val="24"/>
          <w:u w:val="single"/>
          <w:lang w:val="en-US"/>
        </w:rPr>
      </w:pPr>
    </w:p>
    <w:p>
      <w:pPr>
        <w:jc w:val="center"/>
        <w:rPr>
          <w:u w:val="single"/>
          <w:lang w:val="en-US"/>
        </w:rPr>
      </w:pPr>
    </w:p>
    <w:p>
      <w:pPr>
        <w:jc w:val="center"/>
        <w:rPr>
          <w:rFonts w:eastAsia="楷体_GB2312"/>
          <w:b/>
          <w:bCs/>
          <w:sz w:val="32"/>
          <w:szCs w:val="24"/>
          <w:lang w:val="en-US"/>
        </w:rPr>
      </w:pPr>
      <w:r>
        <w:rPr>
          <w:rFonts w:hint="eastAsia" w:ascii="Times New Roman" w:eastAsia="楷体_GB2312" w:cs="楷体_GB2312"/>
          <w:b/>
          <w:bCs/>
          <w:sz w:val="32"/>
          <w:szCs w:val="24"/>
          <w:lang w:eastAsia="zh-CN"/>
        </w:rPr>
        <w:t>国家事业单位登记管理局制</w:t>
      </w:r>
    </w:p>
    <w:p>
      <w:pPr>
        <w:jc w:val="center"/>
        <w:rPr>
          <w:rFonts w:eastAsia="楷体_GB2312"/>
          <w:b/>
          <w:bCs/>
          <w:sz w:val="32"/>
          <w:szCs w:val="24"/>
          <w:lang w:val="en-US"/>
        </w:rPr>
      </w:pP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031"/>
        <w:gridCol w:w="1796"/>
        <w:gridCol w:w="1702"/>
        <w:gridCol w:w="2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156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《事业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单位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法人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证书》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登载</w:t>
            </w:r>
          </w:p>
          <w:p>
            <w:pPr>
              <w:jc w:val="center"/>
              <w:rPr>
                <w:rFonts w:eastAsia="楷体_GB2312"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事项</w:t>
            </w:r>
          </w:p>
        </w:tc>
        <w:tc>
          <w:tcPr>
            <w:tcW w:w="20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单位名称</w:t>
            </w:r>
          </w:p>
        </w:tc>
        <w:tc>
          <w:tcPr>
            <w:tcW w:w="594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spacing w:line="320" w:lineRule="exact"/>
              <w:jc w:val="left"/>
              <w:rPr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Style w:val="17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</w:rPr>
              <w:t>重庆市綦江区人民医院（重庆市急救中心綦江分中心）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7" w:hRule="atLeast"/>
        </w:trPr>
        <w:tc>
          <w:tcPr>
            <w:tcW w:w="156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宗旨和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业务范围</w:t>
            </w:r>
          </w:p>
        </w:tc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Style w:val="17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</w:rPr>
              <w:t>为人民身体健康提供医疗与护理保健服务。为急症病患者提供急救医疗服务。　医疗护理　医学教学　医学研究　卫生医疗人员培训　卫生技术人员继续教育　保健与健康教育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</w:trPr>
        <w:tc>
          <w:tcPr>
            <w:tcW w:w="156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住</w:t>
            </w:r>
            <w:r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  <w:t xml:space="preserve">    </w:t>
            </w: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所</w:t>
            </w:r>
          </w:p>
        </w:tc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jc w:val="left"/>
            </w:pPr>
            <w:r>
              <w:rPr>
                <w:rStyle w:val="17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</w:rPr>
              <w:t>重庆市綦江区古南街道沱湾支路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  <w:t>54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156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法定代表人</w:t>
            </w:r>
          </w:p>
        </w:tc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jc w:val="left"/>
            </w:pPr>
            <w:r>
              <w:rPr>
                <w:rStyle w:val="17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</w:rPr>
              <w:t>王江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156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开办资金</w:t>
            </w:r>
          </w:p>
        </w:tc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Style w:val="17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  <w:t>4278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56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经费来源</w:t>
            </w:r>
          </w:p>
        </w:tc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jc w:val="left"/>
              <w:rPr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Style w:val="17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</w:rPr>
              <w:t>财政补助（差额补贴）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56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举办单位</w:t>
            </w:r>
          </w:p>
        </w:tc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jc w:val="left"/>
            </w:pPr>
            <w:r>
              <w:rPr>
                <w:rStyle w:val="17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</w:rPr>
              <w:t>重庆市綦江区卫生和计划生育委员会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eastAsia="楷体_GB2312"/>
                <w:b/>
                <w:bCs w:val="0"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 w:val="0"/>
                <w:sz w:val="32"/>
                <w:szCs w:val="24"/>
                <w:bdr w:val="none" w:color="auto" w:sz="0" w:space="0"/>
              </w:rPr>
              <w:t>资产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eastAsia="楷体_GB2312"/>
                <w:b/>
                <w:bCs w:val="0"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 w:val="0"/>
                <w:sz w:val="32"/>
                <w:szCs w:val="24"/>
                <w:bdr w:val="none" w:color="auto" w:sz="0" w:space="0"/>
              </w:rPr>
              <w:t>损益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eastAsia="楷体_GB2312"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 w:val="0"/>
                <w:sz w:val="32"/>
                <w:szCs w:val="24"/>
                <w:bdr w:val="none" w:color="auto" w:sz="0" w:space="0"/>
              </w:rPr>
              <w:t>情况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jc w:val="center"/>
              <w:rPr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Style w:val="21"/>
                <w:rFonts w:hint="eastAsia" w:ascii="Times New Roman" w:eastAsia="楷体_GB2312" w:cs="楷体_GB2312"/>
                <w:sz w:val="32"/>
                <w:szCs w:val="24"/>
                <w:bdr w:val="none" w:color="auto" w:sz="0" w:space="0"/>
              </w:rPr>
              <w:t>净资产合计（所有者权益合计）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Style w:val="21"/>
                <w:rFonts w:hint="eastAsia" w:ascii="Times New Roman" w:eastAsia="楷体_GB2312" w:cs="楷体_GB2312"/>
                <w:sz w:val="32"/>
                <w:szCs w:val="24"/>
                <w:bdr w:val="none" w:color="auto" w:sz="0" w:space="0"/>
              </w:rPr>
              <w:t>年初数（万元）</w:t>
            </w:r>
          </w:p>
        </w:tc>
        <w:tc>
          <w:tcPr>
            <w:tcW w:w="4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jc w:val="center"/>
              <w:rPr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Style w:val="21"/>
                <w:rFonts w:hint="eastAsia" w:ascii="Times New Roman" w:eastAsia="楷体_GB2312" w:cs="楷体_GB2312"/>
                <w:sz w:val="32"/>
                <w:szCs w:val="24"/>
                <w:bdr w:val="none" w:color="auto" w:sz="0" w:space="0"/>
              </w:rPr>
              <w:t>年末数（万元）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Style w:val="21"/>
                <w:sz w:val="32"/>
                <w:szCs w:val="24"/>
                <w:bdr w:val="none" w:color="auto" w:sz="0" w:space="0"/>
                <w:lang w:val="en-US"/>
              </w:rPr>
              <w:t>33654.8</w:t>
            </w:r>
          </w:p>
        </w:tc>
        <w:tc>
          <w:tcPr>
            <w:tcW w:w="4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jc w:val="center"/>
            </w:pPr>
            <w:r>
              <w:rPr>
                <w:rStyle w:val="17"/>
                <w:sz w:val="32"/>
                <w:szCs w:val="32"/>
                <w:bdr w:val="none" w:color="auto" w:sz="0" w:space="0"/>
                <w:lang w:val="en-US"/>
              </w:rPr>
              <w:t>34738.2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eastAsia="楷体_GB2312" w:cs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网上名称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spacing w:line="0" w:lineRule="atLeast"/>
              <w:jc w:val="left"/>
              <w:rPr>
                <w:rFonts w:hint="eastAsia" w:ascii="楷体_GB2312" w:eastAsia="楷体_GB2312" w:cs="楷体_GB2312"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重庆市綦江区人民医院</w:t>
            </w:r>
            <w:r>
              <w:rPr>
                <w:rFonts w:hint="eastAsia" w:ascii="楷体_GB2312" w:eastAsia="楷体_GB2312" w:cs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  <w:t>.</w:t>
            </w:r>
            <w:r>
              <w:rPr>
                <w:rFonts w:hint="eastAsia" w:ascii="楷体_GB2312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公益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eastAsia="楷体_GB2312" w:cs="楷体_GB2312"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从业人数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spacing w:line="0" w:lineRule="atLeast"/>
              <w:jc w:val="left"/>
              <w:rPr>
                <w:rFonts w:hint="eastAsia" w:ascii="楷体_GB2312" w:eastAsia="楷体_GB2312" w:cs="楷体_GB2312"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Style w:val="21"/>
                <w:sz w:val="32"/>
                <w:szCs w:val="24"/>
                <w:bdr w:val="none" w:color="auto" w:sz="0" w:space="0"/>
                <w:lang w:val="en-US"/>
              </w:rPr>
              <w:t>1324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1" w:hRule="atLeast"/>
        </w:trPr>
        <w:tc>
          <w:tcPr>
            <w:tcW w:w="156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对《条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例》和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实施细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则有关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变更登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记规定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的执行</w:t>
            </w:r>
          </w:p>
          <w:p>
            <w:pPr>
              <w:jc w:val="center"/>
              <w:rPr>
                <w:rFonts w:eastAsia="楷体_GB2312"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情</w:t>
            </w:r>
            <w:r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  <w:t xml:space="preserve">  </w:t>
            </w: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况</w:t>
            </w:r>
          </w:p>
        </w:tc>
        <w:tc>
          <w:tcPr>
            <w:tcW w:w="798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spacing w:line="320" w:lineRule="exact"/>
              <w:rPr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Style w:val="17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4" w:hRule="atLeast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开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展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业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务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活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动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情</w:t>
            </w:r>
          </w:p>
          <w:p>
            <w:pPr>
              <w:jc w:val="center"/>
              <w:rPr>
                <w:u w:val="single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况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</w:pP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一、 执行本单位章程情况 全面贯彻党的十九大精神，以区卫生计生委“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12345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”总体思路为引领，围绕医院年初制定的“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1433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”工作目标，继续深化医药卫生体制改革，全面提升医院综合能力。二、开展业务活动情况 贯穿一条主线，实施“五控两考核”，医院提质增效。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 xml:space="preserve"> 1. 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重视质量控制，医护质量不断提升（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2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）是加强质量与安全管理。 （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3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）严格规范诊疗服务行为，开展“三合理一规范。 （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）召开新技术新项目准入评审会，评定通过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55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个项目。 （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5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）继续推行临床路径管理，现有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25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个专业、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115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个路径、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 xml:space="preserve"> 504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个病种纳入了临床路径管理（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6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）继续推进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DRGs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工作，各项指标在市卫计委调查的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19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家三级综合医院中位列第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 xml:space="preserve">3 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（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7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）创新护理管理模式，提升护理质量。实行成分输血，成分输血率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99.87%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，人均用血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0.32U/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人。 （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8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）提高应急响应能力，开展院内应急培训演练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8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次，参与区级应急演练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2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次。成为国家卫生计生委敏感性指标直报单位，对护理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65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项敏感指标进行目标监控。 （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9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）是加强医疗安全（不良）事件管理，重新修订并下发了《医疗安全（不良）事件报告及奖惩制度》，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2017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年共上报医疗安全（不良）事件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511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例，奖励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15330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元。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 xml:space="preserve"> 2. 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加强药品控制，药品管理提档升位（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1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）通过国家药物临床试验机构（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GCP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）资格认定，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6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个临床专业获资格认定，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87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人取得国家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GCP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资格证书（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2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）继续实施药品零差率及两票制管理工作，严格执行国家基本药物双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45%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管理规定，现基药品规数为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1166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个，占全院药品品规数为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50.26%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，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 xml:space="preserve"> 2017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年基本药物使用金额占比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48.88%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（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3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）加强药品使用监控，对药品使用排名靠前且使用量异常增长药品进行限量或停药处理，对使用排名前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300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位药品进行限量，替代药品替代使用。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 xml:space="preserve"> 3. 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严格耗材控制，耗材管理成效初显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 xml:space="preserve"> 4.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关注成本控制，成本管控规范有效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 xml:space="preserve"> 5. 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落实费用控制，遏制医疗费用不合理增长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6.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强化临床医技科室主任和医务人员记分考核 （ 三、社会效益 （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1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）选派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5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名医疗专家分批赴西藏察雅县人民医院开展为期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3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个月的援藏工作。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2018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年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1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月再次派出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5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名管理干部、医疗专家赴藏支援一年半。 （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2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）弘扬红十字精神，董治华无私捐献造血干细胞，并成为中国造血干细胞捐献者资料库重庆市分库建库以来的第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73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位捐献者，也是綦江区卫生系统首位捐献者。 （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3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）实施健康扶贫救助，落实“三个一批”的救助政策，继续实施“三减两免”，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 xml:space="preserve"> 2017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年救助住院患者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282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人次，救助金为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6.4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万元；救助门诊患者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204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人次，救助金额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4806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元。红十字会、慈善救助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9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人，救助金额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5.86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万元，道路交通救助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19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人，报回金额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157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万元。 （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）深入推进健康促进区创建工作，全面开展健康促进医院建设，开展健康大讲堂“六进”活动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131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次。 （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5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）开展文明城区创建，成立专项工作组，做好动员、宣传工作。 （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6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 xml:space="preserve">）贯彻落实各项基本公共卫生政策，如疾病预防控制、妇幼卫生管理、预防接种管理、计划生育管理等，各项指标均达到上级要求。 四、存在的不足及改进措施 （一）党的建设和思想政治工作还存在薄弱环节，尤其是新形势下如何加强医院文化建设还需要深度研究。 （二）医院运营效益未达到预期目标，还需提高发展意识。 （三）医疗服务质量未达到同质化，医务人员的职责及责任感有待进一步加强，思想观念有待进一步提高。 （四）“五控”力度还需加强，“名科”影响力未充分凸显，特色学科品牌效应不明显，缺乏区域竞争优势。 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156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相关资质认可或执业许可证明文件及有效期</w:t>
            </w:r>
          </w:p>
        </w:tc>
        <w:tc>
          <w:tcPr>
            <w:tcW w:w="798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spacing w:line="320" w:lineRule="exact"/>
              <w:rPr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《事业单位法人证书》有效期自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2016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年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3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月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29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日至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2021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年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3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月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29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日 《医疗机构执业许可证》有效期自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2016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年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7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月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7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日至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2031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年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7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>月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6</w:t>
            </w:r>
            <w:r>
              <w:rPr>
                <w:rStyle w:val="17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spacing w:line="0" w:lineRule="atLeast"/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绩</w:t>
            </w:r>
            <w:r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</w:rPr>
              <w:t xml:space="preserve"> </w:t>
            </w: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效</w:t>
            </w:r>
            <w:r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</w:rPr>
              <w:t xml:space="preserve"> </w:t>
            </w: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和受奖惩及诉讼投诉情</w:t>
            </w:r>
            <w:r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  <w:t xml:space="preserve">    </w:t>
            </w: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况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jc w:val="left"/>
            </w:pPr>
            <w:r>
              <w:rPr>
                <w:rStyle w:val="17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</w:rPr>
              <w:t>绩效考核合格，无惩处，无诉讼投诉情况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/>
            <w:vAlign w:val="center"/>
          </w:tcPr>
          <w:p>
            <w:pPr>
              <w:spacing w:line="0" w:lineRule="atLeast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接受捐赠</w:t>
            </w:r>
          </w:p>
          <w:p>
            <w:pPr>
              <w:spacing w:line="0" w:lineRule="atLeast"/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资助及使用</w:t>
            </w:r>
            <w:r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</w:rPr>
              <w:t xml:space="preserve"> </w:t>
            </w: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情</w:t>
            </w:r>
            <w:r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</w:rPr>
              <w:t xml:space="preserve"> </w:t>
            </w: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况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/>
            <w:vAlign w:val="top"/>
          </w:tcPr>
          <w:p>
            <w:pPr>
              <w:jc w:val="left"/>
            </w:pPr>
            <w:r>
              <w:rPr>
                <w:rStyle w:val="17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</w:rPr>
              <w:t>无</w:t>
            </w:r>
          </w:p>
        </w:tc>
      </w:tr>
    </w:tbl>
    <w:p>
      <w:pPr>
        <w:jc w:val="left"/>
        <w:rPr>
          <w:rFonts w:hint="eastAsia" w:ascii="楷体_GB2312" w:eastAsia="楷体_GB2312" w:cs="楷体_GB2312"/>
          <w:b/>
          <w:bCs/>
          <w:sz w:val="28"/>
          <w:szCs w:val="28"/>
          <w:lang w:val="en-US"/>
        </w:rPr>
      </w:pPr>
      <w:r>
        <w:rPr>
          <w:rFonts w:hint="eastAsia" w:ascii="楷体_GB2312" w:eastAsia="楷体_GB2312" w:cs="楷体_GB2312"/>
          <w:b/>
          <w:bCs/>
          <w:sz w:val="28"/>
          <w:szCs w:val="28"/>
          <w:lang w:eastAsia="zh-CN"/>
        </w:rPr>
        <w:t xml:space="preserve">填表人： </w:t>
      </w:r>
      <w:r>
        <w:rPr>
          <w:rStyle w:val="21"/>
          <w:rFonts w:hint="eastAsia" w:ascii="楷体_GB2312" w:eastAsia="楷体_GB2312" w:cs="楷体_GB2312"/>
          <w:sz w:val="28"/>
          <w:szCs w:val="28"/>
          <w:lang w:eastAsia="zh-CN"/>
        </w:rPr>
        <w:t>王成佳</w:t>
      </w:r>
      <w:r>
        <w:rPr>
          <w:rFonts w:hint="eastAsia" w:ascii="楷体_GB2312" w:eastAsia="楷体_GB2312" w:cs="楷体_GB2312"/>
          <w:b/>
          <w:bCs/>
          <w:sz w:val="28"/>
          <w:szCs w:val="28"/>
          <w:lang w:val="en-US"/>
        </w:rPr>
        <w:t xml:space="preserve">  </w:t>
      </w:r>
      <w:r>
        <w:rPr>
          <w:rFonts w:hint="eastAsia" w:ascii="楷体_GB2312" w:eastAsia="楷体_GB2312" w:cs="楷体_GB2312"/>
          <w:b/>
          <w:bCs/>
          <w:sz w:val="28"/>
          <w:szCs w:val="28"/>
          <w:lang w:eastAsia="zh-CN"/>
        </w:rPr>
        <w:t>联系电话：</w:t>
      </w:r>
      <w:r>
        <w:rPr>
          <w:rStyle w:val="21"/>
          <w:rFonts w:hint="eastAsia" w:ascii="楷体_GB2312" w:eastAsia="楷体_GB2312" w:cs="楷体_GB2312"/>
          <w:sz w:val="28"/>
          <w:szCs w:val="28"/>
          <w:lang w:val="en-US"/>
        </w:rPr>
        <w:t xml:space="preserve">15320518120  </w:t>
      </w:r>
      <w:r>
        <w:rPr>
          <w:rFonts w:hint="eastAsia" w:ascii="楷体_GB2312" w:eastAsia="楷体_GB2312" w:cs="楷体_GB2312"/>
          <w:b/>
          <w:bCs/>
          <w:sz w:val="28"/>
          <w:szCs w:val="28"/>
          <w:lang w:eastAsia="zh-CN"/>
        </w:rPr>
        <w:t>报送日期：</w:t>
      </w:r>
      <w:r>
        <w:rPr>
          <w:rStyle w:val="21"/>
          <w:rFonts w:hint="eastAsia" w:ascii="楷体_GB2312" w:eastAsia="楷体_GB2312" w:cs="楷体_GB2312"/>
          <w:b/>
          <w:bCs/>
          <w:sz w:val="28"/>
          <w:szCs w:val="28"/>
          <w:lang w:val="en-US"/>
        </w:rPr>
        <w:t>2018</w:t>
      </w:r>
      <w:r>
        <w:rPr>
          <w:rStyle w:val="21"/>
          <w:rFonts w:hint="eastAsia" w:ascii="楷体_GB2312" w:eastAsia="楷体_GB2312" w:cs="楷体_GB2312"/>
          <w:b/>
          <w:bCs/>
          <w:sz w:val="28"/>
          <w:szCs w:val="28"/>
          <w:lang w:eastAsia="zh-CN"/>
        </w:rPr>
        <w:t>年</w:t>
      </w:r>
      <w:r>
        <w:rPr>
          <w:rStyle w:val="21"/>
          <w:rFonts w:hint="eastAsia" w:ascii="楷体_GB2312" w:eastAsia="楷体_GB2312" w:cs="楷体_GB2312"/>
          <w:b/>
          <w:bCs/>
          <w:sz w:val="28"/>
          <w:szCs w:val="28"/>
          <w:lang w:val="en-US"/>
        </w:rPr>
        <w:t>03</w:t>
      </w:r>
      <w:r>
        <w:rPr>
          <w:rStyle w:val="21"/>
          <w:rFonts w:hint="eastAsia" w:ascii="楷体_GB2312" w:eastAsia="楷体_GB2312" w:cs="楷体_GB2312"/>
          <w:b/>
          <w:bCs/>
          <w:sz w:val="28"/>
          <w:szCs w:val="28"/>
          <w:lang w:eastAsia="zh-CN"/>
        </w:rPr>
        <w:t>月</w:t>
      </w:r>
      <w:r>
        <w:rPr>
          <w:rStyle w:val="21"/>
          <w:rFonts w:hint="eastAsia" w:ascii="楷体_GB2312" w:eastAsia="楷体_GB2312" w:cs="楷体_GB2312"/>
          <w:b/>
          <w:bCs/>
          <w:sz w:val="28"/>
          <w:szCs w:val="28"/>
          <w:lang w:val="en-US"/>
        </w:rPr>
        <w:t>06</w:t>
      </w:r>
      <w:r>
        <w:rPr>
          <w:rStyle w:val="21"/>
          <w:rFonts w:hint="eastAsia" w:ascii="楷体_GB2312" w:eastAsia="楷体_GB2312" w:cs="楷体_GB2312"/>
          <w:b/>
          <w:bCs/>
          <w:sz w:val="28"/>
          <w:szCs w:val="28"/>
          <w:lang w:eastAsia="zh-CN"/>
        </w:rPr>
        <w:t>日</w:t>
      </w:r>
    </w:p>
    <w:sectPr>
      <w:pgSz w:w="11906" w:h="16838"/>
      <w:pgMar w:top="1440" w:right="1135" w:bottom="1440" w:left="1135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fixed"/>
    <w:sig w:usb0="00000001" w:usb1="080E0000" w:usb2="00000010" w:usb3="00000000" w:csb0="00040000" w:csb1="00000000"/>
  </w:font>
  <w:font w:name="@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楷体_GB2312">
    <w:altName w:val="宋体"/>
    <w:panose1 w:val="02010609030101010101"/>
    <w:charset w:val="86"/>
    <w:family w:val="auto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MjE0YTA1OWJlZjUyNmY4NTY2MDVjZjgzZWNmNGIifQ=="/>
  </w:docVars>
  <w:rsids>
    <w:rsidRoot w:val="00000000"/>
    <w:rsid w:val="01C254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2">
    <w:name w:val="heading 1"/>
    <w:basedOn w:val="1"/>
    <w:next w:val="1"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3">
    <w:name w:val="Default Paragraph Font"/>
    <w:uiPriority w:val="0"/>
  </w:style>
  <w:style w:type="table" w:default="1" w:styleId="12">
    <w:name w:val="Normal Table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4"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9"/>
    <w:uiPriority w:val="0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lang w:val="en-US" w:eastAsia="zh-CN" w:bidi="ar"/>
    </w:rPr>
  </w:style>
  <w:style w:type="character" w:customStyle="1" w:styleId="14">
    <w:name w:val="页脚 Char"/>
    <w:basedOn w:val="13"/>
    <w:link w:val="8"/>
    <w:locked/>
    <w:uiPriority w:val="0"/>
    <w:rPr>
      <w:rFonts w:hint="default" w:ascii="Times New Roman" w:hAnsi="Times New Roman" w:eastAsia="宋体" w:cs="Times New Roman"/>
      <w:sz w:val="18"/>
      <w:szCs w:val="18"/>
    </w:rPr>
  </w:style>
  <w:style w:type="paragraph" w:customStyle="1" w:styleId="15">
    <w:name w:val="msochpdefaul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lang w:val="en-US" w:eastAsia="zh-CN" w:bidi="ar"/>
    </w:rPr>
  </w:style>
  <w:style w:type="character" w:customStyle="1" w:styleId="16">
    <w:name w:val="font51"/>
    <w:basedOn w:val="13"/>
    <w:uiPriority w:val="0"/>
    <w:rPr>
      <w:rFonts w:hint="eastAsia" w:ascii="黑体" w:hAnsi="宋体" w:eastAsia="黑体" w:cs="黑体"/>
      <w:sz w:val="36"/>
      <w:szCs w:val="24"/>
    </w:rPr>
  </w:style>
  <w:style w:type="character" w:customStyle="1" w:styleId="17">
    <w:name w:val="font71"/>
    <w:basedOn w:val="13"/>
    <w:uiPriority w:val="0"/>
    <w:rPr>
      <w:rFonts w:hint="default" w:ascii="Times New Roman" w:hAnsi="Times New Roman" w:eastAsia="楷体_GB2312" w:cs="Times New Roman"/>
      <w:sz w:val="28"/>
      <w:szCs w:val="24"/>
    </w:rPr>
  </w:style>
  <w:style w:type="character" w:customStyle="1" w:styleId="18">
    <w:name w:val="hps"/>
    <w:basedOn w:val="13"/>
    <w:uiPriority w:val="0"/>
  </w:style>
  <w:style w:type="character" w:customStyle="1" w:styleId="19">
    <w:name w:val="页眉 Char"/>
    <w:basedOn w:val="13"/>
    <w:link w:val="9"/>
    <w:locked/>
    <w:uiPriority w:val="0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20">
    <w:name w:val="font21"/>
    <w:basedOn w:val="13"/>
    <w:uiPriority w:val="0"/>
    <w:rPr>
      <w:rFonts w:hint="default" w:ascii="Times New Roman" w:hAnsi="Times New Roman" w:eastAsia="楷体_GB2312" w:cs="Times New Roman"/>
      <w:sz w:val="30"/>
      <w:szCs w:val="24"/>
    </w:rPr>
  </w:style>
  <w:style w:type="character" w:customStyle="1" w:styleId="21">
    <w:name w:val="font61"/>
    <w:basedOn w:val="13"/>
    <w:uiPriority w:val="0"/>
    <w:rPr>
      <w:rFonts w:hint="default" w:ascii="Times New Roman" w:hAnsi="Times New Roman" w:eastAsia="楷体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6</Pages>
  <Words>1768</Words>
  <Characters>1928</Characters>
  <Lines>15</Lines>
  <Paragraphs>4</Paragraphs>
  <TotalTime>45052.6562500016</TotalTime>
  <ScaleCrop>false</ScaleCrop>
  <LinksUpToDate>false</LinksUpToDate>
  <CharactersWithSpaces>2006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1899-12-29T16:00:00Z</dcterms:created>
  <dc:creator>雨林木风</dc:creator>
  <cp:lastModifiedBy>李科</cp:lastModifiedBy>
  <dcterms:modified xsi:type="dcterms:W3CDTF">2023-05-06T08:03:19Z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6A4769B1C1C54A1FB41ADE24883B95F8_13</vt:lpwstr>
  </property>
</Properties>
</file>