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eastAsia="楷体_GB2312" w:cs="楷体_GB2312"/>
          <w:b/>
          <w:bCs w:val="0"/>
          <w:sz w:val="30"/>
          <w:szCs w:val="24"/>
          <w:lang w:eastAsia="zh-CN"/>
        </w:rPr>
        <w:t>统一社会信用代码</w:t>
      </w:r>
      <w:r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  <w:t xml:space="preserve">   </w:t>
      </w:r>
    </w:p>
    <w:p>
      <w:pPr>
        <w:wordWrap w:val="0"/>
        <w:jc w:val="right"/>
        <w:rPr>
          <w:rFonts w:eastAsia="楷体_GB2312"/>
          <w:b/>
          <w:bCs/>
          <w:sz w:val="30"/>
          <w:szCs w:val="24"/>
          <w:lang w:val="en-US"/>
        </w:rPr>
      </w:pP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  <w:r>
        <w:rPr>
          <w:rStyle w:val="14"/>
          <w:b/>
          <w:bCs/>
          <w:sz w:val="30"/>
          <w:szCs w:val="30"/>
          <w:lang w:val="en-US"/>
        </w:rPr>
        <w:t>12500222450515167J</w:t>
      </w: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center"/>
        <w:rPr>
          <w:rFonts w:eastAsia="黑体"/>
          <w:b/>
          <w:bCs/>
          <w:spacing w:val="40"/>
          <w:sz w:val="52"/>
          <w:szCs w:val="24"/>
          <w:lang w:val="en-US"/>
        </w:rPr>
      </w:pPr>
      <w:r>
        <w:rPr>
          <w:rFonts w:hint="eastAsia" w:ascii="Times New Roman" w:hAnsi="宋体" w:eastAsia="黑体" w:cs="黑体"/>
          <w:b/>
          <w:bCs/>
          <w:spacing w:val="40"/>
          <w:sz w:val="52"/>
          <w:szCs w:val="24"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val="en-US"/>
        </w:rPr>
      </w:pPr>
    </w:p>
    <w:p>
      <w:pPr>
        <w:jc w:val="center"/>
        <w:rPr>
          <w:rFonts w:eastAsia="楷体_GB2312"/>
          <w:b/>
          <w:bCs/>
          <w:spacing w:val="30"/>
          <w:sz w:val="36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（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Style w:val="14"/>
          <w:b/>
          <w:bCs/>
          <w:sz w:val="30"/>
          <w:szCs w:val="30"/>
          <w:lang w:val="en-US"/>
        </w:rPr>
        <w:t>2017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年度）</w:t>
      </w: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8"/>
                <w:b/>
                <w:bCs/>
                <w:sz w:val="36"/>
                <w:szCs w:val="24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  <w:t>重庆市綦江区古南中学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8"/>
                <w:b/>
                <w:bCs/>
                <w:sz w:val="36"/>
                <w:szCs w:val="24"/>
                <w:bdr w:val="none" w:color="auto" w:sz="0" w:space="0"/>
              </w:rPr>
              <w:t>法</w:t>
            </w:r>
            <w:r>
              <w:rPr>
                <w:rStyle w:val="18"/>
                <w:b/>
                <w:bCs/>
                <w:spacing w:val="30"/>
                <w:sz w:val="36"/>
                <w:szCs w:val="24"/>
                <w:bdr w:val="none" w:color="auto" w:sz="0" w:space="0"/>
              </w:rPr>
              <w:t>定代表</w:t>
            </w:r>
            <w:r>
              <w:rPr>
                <w:rStyle w:val="18"/>
                <w:b/>
                <w:bCs/>
                <w:sz w:val="36"/>
                <w:szCs w:val="24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u w:val="single"/>
          <w:lang w:val="en-US"/>
        </w:rPr>
      </w:pP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9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重庆市綦江区古南中学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实施初中义务教育，促进基础教育发展。初中学历教育 相关社会服务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住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所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重庆市綦江区古南街道后山路132号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郑奇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开办资金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1421</w:t>
            </w: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财政补助（全额拨款）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举办单位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年初数（万元）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sz w:val="32"/>
                <w:szCs w:val="24"/>
                <w:bdr w:val="none" w:color="auto" w:sz="0" w:space="0"/>
                <w:lang w:val="en-US"/>
              </w:rPr>
              <w:t>4228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</w:pPr>
            <w:r>
              <w:rPr>
                <w:rStyle w:val="20"/>
                <w:sz w:val="32"/>
                <w:szCs w:val="32"/>
                <w:bdr w:val="none" w:color="auto" w:sz="0" w:space="0"/>
                <w:lang w:val="en-US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>重庆市綦江区古南中学.公益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sz w:val="32"/>
                <w:szCs w:val="24"/>
                <w:bdr w:val="none" w:color="auto" w:sz="0" w:space="0"/>
                <w:lang w:val="en-US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我校在区教委、教工委和学区的领导下，认真学习贯彻党的十九大精神，围绕学校工作目标，坚持以质量为中心，以德育为首，以实施素质教育为主题，以实施精细化管理为保证，圆满完成学校的预定任务。现将一年以来的工作情况总结于后： 一、加强党建、师德督查，打造教师团队。 1.认真学习习近平“十九大”报告精神，推进“两学一做”常态化。 2.积极推进党支部组织建设。 3.抓党风廉政建设工作不放松。 二、落实精细化管理，提高教学质量。 1.优化常规管理，落实检查考核。 2.做实教师培训，提升教师专业成长。 3.推进专项研究，实施科研兴校。 4.抓好初三工作，提高教学质量。 三、狠抓德育常规，创新育人机制，实现高效育人。 1.有序开展常规德育教育工作。 2.扎实开展丰富多彩的德育活动。 3.组织学生参加竞赛活动，获奖丰盛。 4.“德育导师制”常态开展。 5.扎实开展宿舍管理工作。 6.扎实开展资助工作。 四、加大安全宣传教育力度，完善安全管理制度，强化安全检查。 五、完善教学实施，提高服务意识，提升师生幸福指数。 展望春风般的2018，我校将继续深入贯彻党的十九大精神，用专注的精神和专业的途径引领古中教师不忘初心，砥砺前行，为立德树人的根本任务保驾护航，为“四有”教师铸就灿烂的明天！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《事业单位法人证书》有效期自2016年05月13日至2021年05月13日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绩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效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和受奖惩及诉讼投诉情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绩效考核合格，无惩处，无诉讼投诉情况。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资助及使用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 xml:space="preserve">填表人： </w:t>
      </w:r>
      <w:r>
        <w:rPr>
          <w:rStyle w:val="19"/>
          <w:rFonts w:hint="eastAsia" w:ascii="楷体_GB2312" w:eastAsia="楷体_GB2312" w:cs="楷体_GB2312"/>
          <w:sz w:val="28"/>
          <w:szCs w:val="28"/>
          <w:lang w:val="en-US"/>
        </w:rPr>
        <w:t>刘川君</w:t>
      </w:r>
      <w:r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  <w:t xml:space="preserve">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联系电话：</w:t>
      </w:r>
      <w:r>
        <w:rPr>
          <w:rStyle w:val="19"/>
          <w:rFonts w:hint="eastAsia" w:ascii="楷体_GB2312" w:eastAsia="楷体_GB2312" w:cs="楷体_GB2312"/>
          <w:sz w:val="28"/>
          <w:szCs w:val="28"/>
          <w:lang w:val="en-US"/>
        </w:rPr>
        <w:t xml:space="preserve">13452191610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报送日期：</w:t>
      </w:r>
      <w:r>
        <w:rPr>
          <w:rStyle w:val="19"/>
          <w:rFonts w:hint="eastAsia" w:ascii="楷体_GB2312" w:eastAsia="楷体_GB2312" w:cs="楷体_GB2312"/>
          <w:b/>
          <w:bCs/>
          <w:sz w:val="28"/>
          <w:szCs w:val="28"/>
          <w:lang w:val="en-US"/>
        </w:rPr>
        <w:t>2018年03月22日</w:t>
      </w:r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楷体_GB2312">
    <w:altName w:val="宋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Tc5MDI4YjNiN2I5NGYzMTFjNmJjYWRlNGI4MGIifQ=="/>
  </w:docVars>
  <w:rsids>
    <w:rsidRoot w:val="00000000"/>
    <w:rsid w:val="6E157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4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15">
    <w:name w:val="hps"/>
    <w:basedOn w:val="13"/>
    <w:uiPriority w:val="0"/>
  </w:style>
  <w:style w:type="character" w:customStyle="1" w:styleId="16">
    <w:name w:val="页眉 Char"/>
    <w:basedOn w:val="13"/>
    <w:link w:val="9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8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19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20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1</Pages>
  <Words>98</Words>
  <Characters>561</Characters>
  <Lines>4</Lines>
  <Paragraphs>1</Paragraphs>
  <TotalTime>1</TotalTime>
  <ScaleCrop>false</ScaleCrop>
  <LinksUpToDate>false</LinksUpToDate>
  <CharactersWithSpaces>658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雨林木风</dc:creator>
  <cp:lastModifiedBy>李科</cp:lastModifiedBy>
  <dcterms:modified xsi:type="dcterms:W3CDTF">2023-11-13T03:07:39Z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3F5056D27A14413CA10FBA4E03F2FF6A_13</vt:lpwstr>
  </property>
</Properties>
</file>