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76" w:lineRule="exact"/>
        <w:jc w:val="left"/>
        <w:rPr>
          <w:rFonts w:eastAsia="方正黑体_GBK"/>
          <w:kern w:val="0"/>
          <w:sz w:val="22"/>
          <w:szCs w:val="22"/>
        </w:rPr>
      </w:pPr>
      <w:r>
        <w:rPr>
          <w:rFonts w:eastAsia="方正黑体_GBK"/>
          <w:kern w:val="0"/>
          <w:szCs w:val="32"/>
        </w:rPr>
        <w:t>附件</w:t>
      </w:r>
      <w:r>
        <w:rPr>
          <w:rFonts w:hint="eastAsia" w:eastAsia="方正黑体_GBK"/>
          <w:kern w:val="0"/>
          <w:szCs w:val="32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摩托车电动车交通违法学习点学习流程</w:t>
      </w:r>
    </w:p>
    <w:p>
      <w:pPr>
        <w:widowControl/>
        <w:adjustRightInd w:val="0"/>
        <w:snapToGrid w:val="0"/>
        <w:spacing w:line="560" w:lineRule="exact"/>
        <w:jc w:val="left"/>
        <w:rPr>
          <w:rFonts w:eastAsia="黑体"/>
          <w:kern w:val="0"/>
          <w:sz w:val="22"/>
          <w:szCs w:val="22"/>
        </w:rPr>
      </w:pP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一、学习对象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实施了超员、违法载人行为的摩托车及电动车驾驶人。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二、学习步骤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（一）告知驾驶人学习劝导点学习要求与时长，对自愿参与学习的驾驶人进行登记（姓名、身份证号、违法原因、学习起始时间）。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（二）学习摩托车、电动车交通安全宣传展板、海报，发放宣传资料，观看警示教育片。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（三）现场开展交通安全宣传教育，组织学习人员抄写涉及摩托车、电动车的法律法规、安全规定。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（四）学习完毕签字确认。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三、学习要求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（一）学习劝导的目的是宣传普及道路交通安全法律法规，教育摩托车、电动车驾驶人提高法律意识、文明意识、安全意识，预防和减少交通事故。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（二）学习的视频、图文等宣传资料可以是交通安全法律法规，也可以使用辖区内涉及摩托车、电动车的事故案例。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三）每次学习时长原则上不少于2小时，包括：1个小时的道路交通安全知识学习和1小时的义务交通安全宣传劝导实践（为参加学习的违法驾驶员选择距学习点近的劝导站开展劝导工作，并为其准备反光背心和劝导员红袖标）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（四）集中学习应符合疫情防控的最新规定，并严格落实相关防范疫情的措施。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（五）学习劝导点要整齐规范，有序组织，文明用语，严禁因环境差乱、组织混乱、言行粗暴。</w:t>
      </w:r>
    </w:p>
    <w:p>
      <w:pPr>
        <w:widowControl/>
        <w:adjustRightInd w:val="0"/>
        <w:snapToGrid w:val="0"/>
        <w:spacing w:line="576" w:lineRule="exact"/>
        <w:ind w:firstLine="640" w:firstLineChars="200"/>
        <w:rPr>
          <w:kern w:val="0"/>
          <w:szCs w:val="32"/>
        </w:rPr>
      </w:pPr>
      <w:r>
        <w:rPr>
          <w:kern w:val="0"/>
          <w:szCs w:val="32"/>
        </w:rPr>
        <w:t>（六）严禁收取或变相收取停车费、学习费等费用。</w:t>
      </w:r>
    </w:p>
    <w:p>
      <w:pPr>
        <w:pStyle w:val="2"/>
        <w:ind w:firstLine="640" w:firstLineChars="200"/>
        <w:rPr>
          <w:rFonts w:hint="eastAsia"/>
        </w:rPr>
      </w:pPr>
      <w:r>
        <w:rPr>
          <w:rFonts w:eastAsia="方正仿宋_GBK"/>
          <w:kern w:val="0"/>
          <w:szCs w:val="32"/>
        </w:rPr>
        <w:t>（七）保障参加学习人员的安全。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365BC9"/>
    <w:rsid w:val="4436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uiPriority w:val="99"/>
    <w:pPr>
      <w:spacing w:after="120"/>
    </w:pPr>
    <w:rPr>
      <w:rFonts w:ascii="仿宋_GB2312" w:hAnsi="Calibri" w:eastAsia="仿宋_GB2312"/>
      <w:kern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2023-01-12T03:05:00Z</dcterms:created>
  <dc:creator>user</dc:creator>
  <cp:lastModifiedBy>user</cp:lastModifiedBy>
  <dcterms:modified xsi:type="dcterms:W3CDTF">2023-01-12T03:05:41Z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