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80" w:afterAutospacing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重庆市綦江区人民政府文龙街道办事处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</w:p>
    <w:p>
      <w:pPr>
        <w:widowControl/>
        <w:spacing w:line="540" w:lineRule="atLeast"/>
        <w:ind w:firstLine="645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年，文龙街道在区委、区政府的正确领导下，按照《中华人民共和国政府信息公开条例》要求，街道结合202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年政府信息公开工作实际情况，特编制了《文龙街道202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年政府信息公开度工作报告》。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全文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包括总体情况、主动公开政府信息情况、收到和处理政府信息公开申请情况、政府信息公开行政复议、行政诉讼情况、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当前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存在的主要问题及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下步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改进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措施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、其他需要报告的事项六部分，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本报告中所列数据的统计期限自202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年1月1日至202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年12月31日止。如对本年度报告有疑问，请联系：文龙街道办事处党政办，电话：85880300，地址：重庆市綦江区文龙街道长生路10号。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FFFFF"/>
          <w:lang w:eastAsia="zh-CN"/>
        </w:rPr>
        <w:t>一、</w:t>
      </w: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总体情况</w:t>
      </w:r>
    </w:p>
    <w:p>
      <w:pPr>
        <w:pStyle w:val="3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2023年以来文龙街道坚持以习近平新时代中国特色社会主义思想为指导，在区委区政府的正确领导下，认真贯彻落实《中华人民共和国政府信息公开条例》精神，遵循公正、公平、合法、便民、及时的原则，坚持以公开为常态、不公开为例外，紧密结合群众关心关注的问题，以重庆市綦江区文龙街道政府门户网站为信息公开渠道，全面夯实信息公开工作基础，提升政务公开质效，全年信息公开工作有序推进、成效明显。主要工作如下：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（一）主动公开情况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年度依托渝快办、政府网站、民生监测平台、公示栏公开多方式多渠道开展信息公开，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  <w:t>全年主动公开政府信息。</w:t>
      </w:r>
      <w:r>
        <w:rPr>
          <w:rFonts w:hint="eastAsia" w:ascii="方正仿宋_GBK" w:hAnsi="Arial" w:eastAsia="方正仿宋_GBK" w:cs="Arial"/>
          <w:color w:val="000000"/>
          <w:kern w:val="0"/>
          <w:sz w:val="32"/>
          <w:szCs w:val="32"/>
          <w:lang w:eastAsia="zh-CN"/>
        </w:rPr>
        <w:t>不断完善政府信息公开制度和平台建设，不断加大信息公开和政策解读力度，及时回应公众关切。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（二）依申请公开情况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333333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完善政府信息公开申请办理工作机制，畅通线上、线下申请渠道，严格规范依申请公开处理程序。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年度我街道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共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接到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3封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群众主动要求公开政府信息的申请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，均已按要求答复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（三）政府信息管理情况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提升政务公开工作质量。强化组织领导和机构队伍建设，明确信息公开平台分管领导，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  <w:t>切实加大政务公开统筹协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31"/>
          <w:szCs w:val="31"/>
          <w:shd w:val="clear" w:color="auto" w:fill="FFFFFF"/>
        </w:rPr>
        <w:t>调力度</w:t>
      </w:r>
      <w:r>
        <w:rPr>
          <w:rFonts w:hint="eastAsia" w:ascii="方正仿宋_GBK" w:hAnsi="方正仿宋_GBK" w:eastAsia="方正仿宋_GBK" w:cs="方正仿宋_GBK"/>
          <w:color w:val="000000"/>
          <w:w w:val="95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/>
          <w:color w:val="000000"/>
          <w:w w:val="95"/>
          <w:sz w:val="32"/>
          <w:szCs w:val="32"/>
          <w:shd w:val="clear" w:color="auto" w:fill="FFFFFF"/>
          <w:lang w:eastAsia="zh-CN"/>
        </w:rPr>
        <w:t>建立健全管理机制，规范政府信息公开申请办理工作。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建立信息审核制度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。严格落实“三审三校”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制度，加强信息公开保密性和合法性审核，对于发布在政府网站上的信息，严格规范审核是否涉密；信息按要求使用错别字监测系统，审核表述是否存在错误，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确保信息发布的准确、及时、规范、完整。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Style w:val="6"/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强化信息公开平台日常管理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确定专人</w:t>
      </w:r>
      <w:r>
        <w:rPr>
          <w:rStyle w:val="6"/>
          <w:rFonts w:hint="eastAsia"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  <w:lang w:eastAsia="zh-CN"/>
        </w:rPr>
        <w:t>管理</w:t>
      </w:r>
      <w:r>
        <w:rPr>
          <w:rStyle w:val="6"/>
          <w:rFonts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</w:rPr>
        <w:t>网站集约化监测助手账号，经常登录关注栏目更新情况</w:t>
      </w:r>
      <w:r>
        <w:rPr>
          <w:rStyle w:val="6"/>
          <w:rFonts w:hint="eastAsia" w:ascii="Times New Roman" w:hAnsi="Times New Roman" w:eastAsia="方正仿宋_GBK"/>
          <w:b w:val="0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确保及时更新、实时维护。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（四）政府信息公开平台建设情况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按照市政府办公厅要求，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在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文龙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街道便民服务大厅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开设政务公开线下服务专区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设置了自助查询区、资料阅览区、申请接收区、政策咨询区。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Times New Roman" w:hAnsi="Times New Roman" w:eastAsia="方正仿宋_GBK"/>
          <w:color w:val="333333"/>
          <w:sz w:val="31"/>
          <w:szCs w:val="31"/>
          <w:lang w:eastAsia="zh-CN"/>
        </w:rPr>
      </w:pPr>
      <w:r>
        <w:rPr>
          <w:rStyle w:val="6"/>
          <w:rFonts w:hint="eastAsia" w:ascii="Times New Roman" w:hAnsi="Times New Roman" w:eastAsia="方正仿宋_GBK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通过</w:t>
      </w:r>
      <w:r>
        <w:rPr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文龙街道政府门户网站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线上信息公开平台，加强民生、政策、舆情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等相关内容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建设，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eastAsia="zh-CN"/>
        </w:rPr>
        <w:t>确保信息公开无空白栏</w:t>
      </w:r>
      <w:r>
        <w:rPr>
          <w:rFonts w:hint="eastAsia" w:ascii="Times New Roman" w:hAnsi="Times New Roman" w:eastAsia="方正仿宋_GBK"/>
          <w:color w:val="000000"/>
          <w:w w:val="95"/>
          <w:sz w:val="32"/>
          <w:szCs w:val="32"/>
          <w:shd w:val="clear" w:color="auto" w:fill="FFFFFF"/>
          <w:lang w:eastAsia="zh-CN"/>
        </w:rPr>
        <w:t>目、及时对未更新栏目进行更新，努力提升政府信息公开水平。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楷体_GBK"/>
          <w:color w:val="333333"/>
          <w:sz w:val="32"/>
          <w:szCs w:val="32"/>
          <w:shd w:val="clear" w:color="auto" w:fill="FFFFFF"/>
        </w:rPr>
        <w:t>（五）监督保障情况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bCs/>
          <w:color w:val="000000"/>
          <w:sz w:val="31"/>
          <w:szCs w:val="31"/>
          <w:shd w:val="clear" w:color="auto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  <w:t>加大政务信息公开工作的督查、做到有领导检查督促、有科室提供公开内容、有人员定期更新。</w:t>
      </w:r>
      <w:bookmarkStart w:id="0" w:name="_GoBack"/>
      <w:bookmarkEnd w:id="0"/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1"/>
          <w:szCs w:val="31"/>
          <w:shd w:val="clear" w:color="auto" w:fill="FFFFFF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  <w:t>积极探索多种监督评议方式，公开投诉电话，畅通群众来信、来电、来访诉求渠道，及时进行反馈回复，自觉接受社会各界监督，确保网站上公开的信息全面、准确。</w:t>
      </w: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rPr>
          <w:rFonts w:hint="eastAsia" w:ascii="方正仿宋_GBK" w:hAnsi="方正仿宋_GBK" w:eastAsia="方正仿宋_GBK" w:cs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4"/>
        <w:tblW w:w="8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9"/>
        <w:gridCol w:w="1842"/>
        <w:gridCol w:w="2552"/>
        <w:gridCol w:w="19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84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8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892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509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383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  <w:r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  <w:t>（备注：因本年度开展行政规范性文件清理工作，故行政规范性文件数量与2022年年报有出入）。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rPr>
          <w:rStyle w:val="7"/>
          <w:rFonts w:hint="default" w:ascii="Times New Roman" w:hAnsi="Times New Roman" w:eastAsia="方正楷体_GBK" w:cs="Times New Roman"/>
          <w:b w:val="0"/>
          <w:color w:val="auto"/>
          <w:kern w:val="2"/>
          <w:sz w:val="32"/>
          <w:szCs w:val="20"/>
          <w:lang w:val="en-US" w:eastAsia="zh-CN" w:bidi="ar-SA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4"/>
        <w:tblW w:w="89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861"/>
        <w:gridCol w:w="7"/>
        <w:gridCol w:w="3010"/>
        <w:gridCol w:w="625"/>
        <w:gridCol w:w="602"/>
        <w:gridCol w:w="588"/>
        <w:gridCol w:w="755"/>
        <w:gridCol w:w="756"/>
        <w:gridCol w:w="56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516" w:type="dxa"/>
            <w:gridSpan w:val="7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26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3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4385" w:type="dxa"/>
            <w:gridSpan w:val="4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>2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2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0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3.危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及“三安全一稳定”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0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7" w:type="dxa"/>
            <w:gridSpan w:val="2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gridSpan w:val="2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507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8" w:type="dxa"/>
            <w:gridSpan w:val="3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2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1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333333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385" w:type="dxa"/>
            <w:gridSpan w:val="4"/>
            <w:tcMar>
              <w:left w:w="17" w:type="dxa"/>
              <w:right w:w="17" w:type="dxa"/>
            </w:tcMar>
            <w:vAlign w:val="center"/>
          </w:tcPr>
          <w:p>
            <w:pPr>
              <w:spacing w:line="2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2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02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88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5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75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  <w:tc>
          <w:tcPr>
            <w:tcW w:w="630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/>
              <w:ind w:left="0" w:leftChars="0" w:right="0" w:rightChars="0" w:firstLine="240" w:firstLineChars="100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333333"/>
              </w:rPr>
              <w:t>0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rPr>
          <w:rFonts w:ascii="Times New Roman" w:hAnsi="Times New Roman" w:eastAsia="方正黑体_GBK"/>
          <w:color w:val="333333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4"/>
        <w:tblW w:w="89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18"/>
        <w:gridCol w:w="546"/>
        <w:gridCol w:w="518"/>
        <w:gridCol w:w="574"/>
        <w:gridCol w:w="550"/>
        <w:gridCol w:w="605"/>
        <w:gridCol w:w="605"/>
        <w:gridCol w:w="605"/>
        <w:gridCol w:w="491"/>
        <w:gridCol w:w="605"/>
        <w:gridCol w:w="605"/>
        <w:gridCol w:w="605"/>
        <w:gridCol w:w="606"/>
        <w:gridCol w:w="9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71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187" w:type="dxa"/>
            <w:gridSpan w:val="10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    政    诉    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546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518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574" w:type="dxa"/>
            <w:vMerge w:val="restart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856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331" w:type="dxa"/>
            <w:gridSpan w:val="5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6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18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4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1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5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6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0" w:type="dxa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书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书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3"/>
        <w:widowControl/>
        <w:shd w:val="clear" w:color="auto" w:fill="FFFFFF"/>
        <w:spacing w:before="0" w:beforeAutospacing="0" w:after="0" w:afterAutospacing="0"/>
        <w:ind w:firstLine="620" w:firstLineChars="200"/>
        <w:jc w:val="both"/>
        <w:rPr>
          <w:rFonts w:ascii="Times New Roman" w:hAnsi="Times New Roman" w:eastAsia="方正仿宋_GBK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180" w:afterAutospacing="0"/>
        <w:ind w:firstLine="640" w:firstLineChars="200"/>
        <w:rPr>
          <w:rFonts w:hint="eastAsia" w:ascii="Times New Roman" w:hAnsi="Times New Roman" w:eastAsia="方正黑体_GBK"/>
          <w:bCs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</w:rPr>
        <w:t>五、</w:t>
      </w:r>
      <w:r>
        <w:rPr>
          <w:rStyle w:val="6"/>
          <w:rFonts w:hint="eastAsia"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  <w:lang w:eastAsia="zh-CN"/>
        </w:rPr>
        <w:t>当前</w:t>
      </w:r>
      <w:r>
        <w:rPr>
          <w:rStyle w:val="6"/>
          <w:rFonts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</w:rPr>
        <w:t>存在的主要问题及</w:t>
      </w:r>
      <w:r>
        <w:rPr>
          <w:rStyle w:val="6"/>
          <w:rFonts w:hint="eastAsia"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  <w:lang w:eastAsia="zh-CN"/>
        </w:rPr>
        <w:t>下步</w:t>
      </w:r>
      <w:r>
        <w:rPr>
          <w:rStyle w:val="6"/>
          <w:rFonts w:hint="eastAsia"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</w:rPr>
        <w:t>改进</w:t>
      </w:r>
      <w:r>
        <w:rPr>
          <w:rStyle w:val="6"/>
          <w:rFonts w:hint="eastAsia" w:ascii="Times New Roman" w:hAnsi="Times New Roman" w:eastAsia="方正黑体_GBK"/>
          <w:b w:val="0"/>
          <w:bCs/>
          <w:color w:val="333333"/>
          <w:sz w:val="32"/>
          <w:szCs w:val="32"/>
          <w:shd w:val="clear" w:color="auto" w:fill="FFFFFF"/>
          <w:lang w:eastAsia="zh-CN"/>
        </w:rPr>
        <w:t>措施</w:t>
      </w:r>
    </w:p>
    <w:p>
      <w:pPr>
        <w:pStyle w:val="3"/>
        <w:widowControl/>
        <w:shd w:val="clear" w:color="auto" w:fill="FFFFFF"/>
        <w:spacing w:before="0" w:beforeAutospacing="0" w:after="180" w:afterAutospacing="0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Style w:val="6"/>
          <w:rFonts w:ascii="Times New Roman" w:hAnsi="Times New Roman" w:eastAsia="方正楷体_GBK"/>
          <w:b w:val="0"/>
          <w:color w:val="333333"/>
          <w:sz w:val="32"/>
          <w:szCs w:val="32"/>
          <w:shd w:val="clear" w:color="auto" w:fill="FFFFFF"/>
        </w:rPr>
        <w:t>（一）主要问题。</w:t>
      </w:r>
      <w:r>
        <w:rPr>
          <w:rStyle w:val="6"/>
          <w:rFonts w:ascii="Times New Roman" w:hAnsi="Times New Roman" w:eastAsia="方正仿宋_GBK"/>
          <w:color w:val="333333"/>
          <w:sz w:val="32"/>
          <w:szCs w:val="32"/>
          <w:shd w:val="clear" w:color="auto" w:fill="FFFFFF"/>
        </w:rPr>
        <w:t>一是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对部分政务信息是否应该公开把握不准，干部主动公开的责任意识及业务水平有待进一步提升。</w:t>
      </w:r>
      <w:r>
        <w:rPr>
          <w:rStyle w:val="6"/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</w:rPr>
        <w:t>二是</w:t>
      </w:r>
      <w:r>
        <w:rPr>
          <w:rFonts w:hint="eastAsia" w:ascii="Times New Roman" w:hAnsi="Times New Roman" w:eastAsia="方正仿宋_GBK"/>
          <w:color w:val="333333"/>
          <w:sz w:val="32"/>
          <w:szCs w:val="32"/>
          <w:shd w:val="clear" w:color="auto" w:fill="FFFFFF"/>
          <w:lang w:eastAsia="zh-CN"/>
        </w:rPr>
        <w:t>政策解读需要增加解读形式，进一步多样化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pStyle w:val="3"/>
        <w:widowControl/>
        <w:shd w:val="clear" w:color="auto" w:fill="FFFFFF"/>
        <w:spacing w:before="0" w:beforeAutospacing="0" w:after="180" w:afterAutospacing="0"/>
        <w:ind w:firstLine="640" w:firstLineChars="200"/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</w:pPr>
      <w:r>
        <w:rPr>
          <w:rStyle w:val="6"/>
          <w:rFonts w:ascii="Times New Roman" w:hAnsi="Times New Roman" w:eastAsia="方正楷体_GBK"/>
          <w:b w:val="0"/>
          <w:bCs/>
          <w:color w:val="333333"/>
          <w:sz w:val="32"/>
          <w:szCs w:val="32"/>
          <w:shd w:val="clear" w:color="auto" w:fill="FFFFFF"/>
        </w:rPr>
        <w:t>（二）改进措施。</w:t>
      </w:r>
      <w:r>
        <w:rPr>
          <w:rStyle w:val="6"/>
          <w:rFonts w:hint="eastAsia" w:ascii="Times New Roman" w:hAnsi="Times New Roman" w:eastAsia="方正仿宋_GBK" w:cstheme="minorBidi"/>
          <w:color w:val="333333"/>
          <w:sz w:val="32"/>
          <w:szCs w:val="32"/>
          <w:shd w:val="clear" w:color="auto" w:fill="FFFFFF"/>
        </w:rPr>
        <w:t>一是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提高干部员工思想认识，进一步加强对信息公开条例的学习，增加业务培训，确保政务公开的规范性。</w:t>
      </w:r>
      <w:r>
        <w:rPr>
          <w:rStyle w:val="6"/>
          <w:rFonts w:hint="eastAsia" w:ascii="Times New Roman" w:hAnsi="Times New Roman" w:eastAsia="方正仿宋_GBK" w:cstheme="minorBidi"/>
          <w:color w:val="333333"/>
          <w:sz w:val="32"/>
          <w:szCs w:val="32"/>
          <w:shd w:val="clear" w:color="auto" w:fill="FFFFFF"/>
        </w:rPr>
        <w:t>二是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继续创新政策解读方式，在传统文字等方式的基础上，进一步丰富政策解读方式，让政策解读更加通俗易懂。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atLeast"/>
        <w:ind w:firstLine="645"/>
        <w:rPr>
          <w:rFonts w:ascii="Times New Roman" w:hAnsi="Times New Roman" w:eastAsia="微软雅黑"/>
          <w:color w:val="333333"/>
          <w:sz w:val="32"/>
          <w:szCs w:val="32"/>
        </w:rPr>
      </w:pPr>
      <w:r>
        <w:rPr>
          <w:rFonts w:ascii="Times New Roman" w:hAnsi="Times New Roman" w:eastAsia="方正黑体_GBK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3"/>
        <w:widowControl/>
        <w:shd w:val="clear" w:color="auto" w:fill="FFFFFF"/>
        <w:spacing w:before="0" w:beforeAutospacing="0" w:after="0" w:afterAutospacing="0" w:line="570" w:lineRule="atLeast"/>
        <w:ind w:firstLine="630"/>
        <w:jc w:val="both"/>
        <w:rPr>
          <w:rFonts w:ascii="Times New Roman" w:hAnsi="Times New Roman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无。</w:t>
      </w:r>
    </w:p>
    <w:p>
      <w:pPr>
        <w:widowControl/>
        <w:spacing w:line="540" w:lineRule="atLeast"/>
        <w:ind w:firstLine="645"/>
        <w:jc w:val="left"/>
        <w:rPr>
          <w:rFonts w:hint="eastAsia" w:ascii="方正仿宋_GBK" w:hAnsi="Arial" w:eastAsia="方正仿宋_GBK" w:cs="Arial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MjZlYjFjNTI1N2I4MjIyZmU0MTQ1ODU5MWNlYjIifQ=="/>
  </w:docVars>
  <w:rsids>
    <w:rsidRoot w:val="2F8C5C77"/>
    <w:rsid w:val="006C1068"/>
    <w:rsid w:val="04E5234E"/>
    <w:rsid w:val="0ABB3229"/>
    <w:rsid w:val="177F4181"/>
    <w:rsid w:val="17E52942"/>
    <w:rsid w:val="1A087D60"/>
    <w:rsid w:val="1A7D59D7"/>
    <w:rsid w:val="1C0B7651"/>
    <w:rsid w:val="216B4594"/>
    <w:rsid w:val="21EB0234"/>
    <w:rsid w:val="224131C1"/>
    <w:rsid w:val="290B3B64"/>
    <w:rsid w:val="2F8C5C77"/>
    <w:rsid w:val="349C2834"/>
    <w:rsid w:val="35C73DF8"/>
    <w:rsid w:val="36E528E9"/>
    <w:rsid w:val="373D5CAD"/>
    <w:rsid w:val="3A42340C"/>
    <w:rsid w:val="477A78C7"/>
    <w:rsid w:val="4B307002"/>
    <w:rsid w:val="574A5644"/>
    <w:rsid w:val="63910EE7"/>
    <w:rsid w:val="64D65CFB"/>
    <w:rsid w:val="65F304F0"/>
    <w:rsid w:val="70042156"/>
    <w:rsid w:val="74E178EC"/>
    <w:rsid w:val="795C4B3E"/>
    <w:rsid w:val="79FA77AD"/>
    <w:rsid w:val="7BE5210F"/>
    <w:rsid w:val="7EE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autoRedefine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autoRedefine/>
    <w:qFormat/>
    <w:uiPriority w:val="0"/>
    <w:rPr>
      <w:b/>
    </w:rPr>
  </w:style>
  <w:style w:type="character" w:customStyle="1" w:styleId="7">
    <w:name w:val="标题 3 字符"/>
    <w:link w:val="2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2023-12-18T01:28:00Z</dcterms:created>
  <dc:creator>霍杰</dc:creator>
  <cp:lastModifiedBy>霍杰</cp:lastModifiedBy>
  <dcterms:modified xsi:type="dcterms:W3CDTF">2024-01-29T09:15:34Z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824359E82A00465F9E74C9096495880D_13</vt:lpwstr>
  </property>
</Properties>
</file>