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重庆市綦江区通惠街道便民服务中心（退役</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军人服务站）</w:t>
      </w: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4</w:t>
      </w:r>
      <w:r>
        <w:rPr>
          <w:rFonts w:hint="eastAsia" w:ascii="方正小标宋_GBK" w:hAnsi="方正小标宋_GBK" w:eastAsia="方正小标宋_GBK" w:cs="方正小标宋_GBK"/>
          <w:sz w:val="44"/>
          <w:szCs w:val="44"/>
        </w:rPr>
        <w:t>年度决算公开说明</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黑体_GBK" w:hAnsi="方正黑体_GBK" w:eastAsia="方正黑体_GBK" w:cs="方正黑体_GBK"/>
          <w:sz w:val="32"/>
          <w:szCs w:val="32"/>
        </w:rPr>
      </w:pPr>
      <w:bookmarkStart w:id="0" w:name="_GoBack"/>
      <w:r>
        <w:rPr>
          <w:rFonts w:hint="eastAsia" w:ascii="方正黑体_GBK" w:hAnsi="方正黑体_GBK" w:eastAsia="方正黑体_GBK" w:cs="方正黑体_GBK"/>
          <w:sz w:val="32"/>
          <w:szCs w:val="32"/>
        </w:rPr>
        <w:t>一、单位基本情况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（一）职能职责</w:t>
      </w:r>
      <w:r>
        <w:rPr>
          <w:rFonts w:hint="eastAsia" w:ascii="方正楷体_GBK" w:hAnsi="方正楷体_GBK" w:eastAsia="方正楷体_GBK" w:cs="方正楷体_GBK"/>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根据綦委编〔2024〕50号文件要求，本单位主要职能职责有：</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负责便民服务中心窗口和平台建设；承担民政、社会救助、残疾人事业、老龄事业、劳动就业、社会保障、城乡医保、卫生健康、爱国卫生等方面的事务性工作；承担退役军人关系转接、联络接待、困难帮扶、信息采集、情况反映、立功喜报、悬挂光荣牌和节日以及重大变故走访慰问等具体事务以及其他涉及退役军人的相关服务等工作。</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（二）机构设置</w:t>
      </w:r>
      <w:r>
        <w:rPr>
          <w:rFonts w:hint="default" w:ascii="方正楷体_GBK" w:hAnsi="方正楷体_GBK" w:eastAsia="方正楷体_GBK" w:cs="方正楷体_GBK"/>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根据綦委编〔2024〕50号文件要求</w:t>
      </w:r>
      <w:r>
        <w:rPr>
          <w:rFonts w:hint="default" w:ascii="Times New Roman" w:hAnsi="Times New Roman" w:eastAsia="方正仿宋_GBK" w:cs="Times New Roman"/>
          <w:sz w:val="32"/>
          <w:szCs w:val="32"/>
        </w:rPr>
        <w:t>，本单位设事业单位1个，是便民服务中心（退役军人服务站）。事业单位机构规格为正科级，机构类别为公益一类，经费形式为财政全额拨款。</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二、单位决算情况说明</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（一）收入支出决算总体情况说明。</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总体情况。202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年度收入总计</w:t>
      </w:r>
      <w:r>
        <w:rPr>
          <w:rFonts w:hint="default" w:ascii="Times New Roman" w:hAnsi="Times New Roman" w:eastAsia="方正仿宋_GBK" w:cs="Times New Roman"/>
          <w:sz w:val="32"/>
          <w:szCs w:val="32"/>
          <w:lang w:val="en-US" w:eastAsia="zh-CN"/>
        </w:rPr>
        <w:t>173.81</w:t>
      </w:r>
      <w:r>
        <w:rPr>
          <w:rFonts w:hint="default" w:ascii="Times New Roman" w:hAnsi="Times New Roman" w:eastAsia="方正仿宋_GBK" w:cs="Times New Roman"/>
          <w:sz w:val="32"/>
          <w:szCs w:val="32"/>
        </w:rPr>
        <w:t>万元，支出总计</w:t>
      </w:r>
      <w:r>
        <w:rPr>
          <w:rFonts w:hint="default" w:ascii="Times New Roman" w:hAnsi="Times New Roman" w:eastAsia="方正仿宋_GBK" w:cs="Times New Roman"/>
          <w:sz w:val="32"/>
          <w:szCs w:val="32"/>
          <w:lang w:val="en-US" w:eastAsia="zh-CN"/>
        </w:rPr>
        <w:t>173.81</w:t>
      </w:r>
      <w:r>
        <w:rPr>
          <w:rFonts w:hint="default" w:ascii="Times New Roman" w:hAnsi="Times New Roman" w:eastAsia="方正仿宋_GBK" w:cs="Times New Roman"/>
          <w:sz w:val="32"/>
          <w:szCs w:val="32"/>
        </w:rPr>
        <w:t>万元。收支较上年决算数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78.14</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增长</w:t>
      </w:r>
      <w:r>
        <w:rPr>
          <w:rFonts w:hint="default" w:ascii="Times New Roman" w:hAnsi="Times New Roman" w:eastAsia="方正仿宋_GBK" w:cs="Times New Roman"/>
          <w:sz w:val="32"/>
          <w:szCs w:val="32"/>
          <w:lang w:val="en-US" w:eastAsia="zh-CN"/>
        </w:rPr>
        <w:t>81.67</w:t>
      </w:r>
      <w:r>
        <w:rPr>
          <w:rFonts w:hint="default" w:ascii="Times New Roman" w:hAnsi="Times New Roman" w:eastAsia="方正仿宋_GBK" w:cs="Times New Roman"/>
          <w:sz w:val="32"/>
          <w:szCs w:val="32"/>
        </w:rPr>
        <w:t>%，主要原因</w:t>
      </w: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是</w:t>
      </w:r>
      <w:r>
        <w:rPr>
          <w:rFonts w:hint="default" w:ascii="Times New Roman" w:hAnsi="Times New Roman" w:eastAsia="方正仿宋_GBK" w:cs="Times New Roman"/>
          <w:sz w:val="32"/>
          <w:szCs w:val="32"/>
          <w:lang w:val="en-US" w:eastAsia="zh-CN"/>
        </w:rPr>
        <w:t>调资调标，工资、社保类人员经费增加；二是机构改革，退役军人服务站并入便民服务中心，因系统只提取到便民服务中心的数据，导致与较上年增长较大</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收入情况。202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年度收入合计</w:t>
      </w:r>
      <w:r>
        <w:rPr>
          <w:rFonts w:hint="default" w:ascii="Times New Roman" w:hAnsi="Times New Roman" w:eastAsia="方正仿宋_GBK" w:cs="Times New Roman"/>
          <w:sz w:val="32"/>
          <w:szCs w:val="32"/>
          <w:lang w:val="en-US" w:eastAsia="zh-CN"/>
        </w:rPr>
        <w:t>173.81</w:t>
      </w:r>
      <w:r>
        <w:rPr>
          <w:rFonts w:hint="default" w:ascii="Times New Roman" w:hAnsi="Times New Roman" w:eastAsia="方正仿宋_GBK" w:cs="Times New Roman"/>
          <w:sz w:val="32"/>
          <w:szCs w:val="32"/>
        </w:rPr>
        <w:t>万元，较上年决算数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78.14</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增长</w:t>
      </w:r>
      <w:r>
        <w:rPr>
          <w:rFonts w:hint="default" w:ascii="Times New Roman" w:hAnsi="Times New Roman" w:eastAsia="方正仿宋_GBK" w:cs="Times New Roman"/>
          <w:sz w:val="32"/>
          <w:szCs w:val="32"/>
          <w:lang w:val="en-US" w:eastAsia="zh-CN"/>
        </w:rPr>
        <w:t>81.67</w:t>
      </w:r>
      <w:r>
        <w:rPr>
          <w:rFonts w:hint="default" w:ascii="Times New Roman" w:hAnsi="Times New Roman" w:eastAsia="方正仿宋_GBK" w:cs="Times New Roman"/>
          <w:sz w:val="32"/>
          <w:szCs w:val="32"/>
        </w:rPr>
        <w:t>%，主要原因</w:t>
      </w: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是</w:t>
      </w:r>
      <w:r>
        <w:rPr>
          <w:rFonts w:hint="default" w:ascii="Times New Roman" w:hAnsi="Times New Roman" w:eastAsia="方正仿宋_GBK" w:cs="Times New Roman"/>
          <w:sz w:val="32"/>
          <w:szCs w:val="32"/>
          <w:lang w:val="en-US" w:eastAsia="zh-CN"/>
        </w:rPr>
        <w:t>调资调标，工资、社保类人员经费增加；二是机构改革，退役军人服务站并入便民服务中心，因系统只提取到便民服务中心的数据，导致与较上年增长较大</w:t>
      </w:r>
      <w:r>
        <w:rPr>
          <w:rFonts w:hint="default" w:ascii="Times New Roman" w:hAnsi="Times New Roman" w:eastAsia="方正仿宋_GBK" w:cs="Times New Roman"/>
          <w:sz w:val="32"/>
          <w:szCs w:val="32"/>
        </w:rPr>
        <w:t>。其中：财政拨款收入</w:t>
      </w:r>
      <w:r>
        <w:rPr>
          <w:rFonts w:hint="default" w:ascii="Times New Roman" w:hAnsi="Times New Roman" w:eastAsia="方正仿宋_GBK" w:cs="Times New Roman"/>
          <w:sz w:val="32"/>
          <w:szCs w:val="32"/>
          <w:lang w:val="en-US" w:eastAsia="zh-CN"/>
        </w:rPr>
        <w:t>173.81</w:t>
      </w:r>
      <w:r>
        <w:rPr>
          <w:rFonts w:hint="default" w:ascii="Times New Roman" w:hAnsi="Times New Roman" w:eastAsia="方正仿宋_GBK" w:cs="Times New Roman"/>
          <w:sz w:val="32"/>
          <w:szCs w:val="32"/>
        </w:rPr>
        <w:t>万元，占100.00%；事业收入0.00万元，占0.00%；经营收入0.00万元，占0.00%；其他收入0.00万元，占0.00%。此外，使用非财政拨款结余和专用结余0.00万元，年初结转和结余0.00万元。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支出情况。202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年度支出合计</w:t>
      </w:r>
      <w:r>
        <w:rPr>
          <w:rFonts w:hint="default" w:ascii="Times New Roman" w:hAnsi="Times New Roman" w:eastAsia="方正仿宋_GBK" w:cs="Times New Roman"/>
          <w:sz w:val="32"/>
          <w:szCs w:val="32"/>
          <w:lang w:val="en-US" w:eastAsia="zh-CN"/>
        </w:rPr>
        <w:t>173.81</w:t>
      </w:r>
      <w:r>
        <w:rPr>
          <w:rFonts w:hint="default" w:ascii="Times New Roman" w:hAnsi="Times New Roman" w:eastAsia="方正仿宋_GBK" w:cs="Times New Roman"/>
          <w:sz w:val="32"/>
          <w:szCs w:val="32"/>
        </w:rPr>
        <w:t>万元，较上年决算数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78.14</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增长</w:t>
      </w:r>
      <w:r>
        <w:rPr>
          <w:rFonts w:hint="default" w:ascii="Times New Roman" w:hAnsi="Times New Roman" w:eastAsia="方正仿宋_GBK" w:cs="Times New Roman"/>
          <w:sz w:val="32"/>
          <w:szCs w:val="32"/>
          <w:lang w:val="en-US" w:eastAsia="zh-CN"/>
        </w:rPr>
        <w:t>81.67</w:t>
      </w:r>
      <w:r>
        <w:rPr>
          <w:rFonts w:hint="default" w:ascii="Times New Roman" w:hAnsi="Times New Roman" w:eastAsia="方正仿宋_GBK" w:cs="Times New Roman"/>
          <w:sz w:val="32"/>
          <w:szCs w:val="32"/>
        </w:rPr>
        <w:t>%，主要原因</w:t>
      </w: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是</w:t>
      </w:r>
      <w:r>
        <w:rPr>
          <w:rFonts w:hint="default" w:ascii="Times New Roman" w:hAnsi="Times New Roman" w:eastAsia="方正仿宋_GBK" w:cs="Times New Roman"/>
          <w:sz w:val="32"/>
          <w:szCs w:val="32"/>
          <w:lang w:val="en-US" w:eastAsia="zh-CN"/>
        </w:rPr>
        <w:t>调资调标，工资、社保类人员经费增加；二是机构改革，退役军人服务站并入便民服务中心，因系统只提取到便民服务中心的数据，导致与较上年增长较大</w:t>
      </w:r>
      <w:r>
        <w:rPr>
          <w:rFonts w:hint="default" w:ascii="Times New Roman" w:hAnsi="Times New Roman" w:eastAsia="方正仿宋_GBK" w:cs="Times New Roman"/>
          <w:sz w:val="32"/>
          <w:szCs w:val="32"/>
        </w:rPr>
        <w:t>。其中：基本支出</w:t>
      </w:r>
      <w:r>
        <w:rPr>
          <w:rFonts w:hint="default" w:ascii="Times New Roman" w:hAnsi="Times New Roman" w:eastAsia="方正仿宋_GBK" w:cs="Times New Roman"/>
          <w:sz w:val="32"/>
          <w:szCs w:val="32"/>
          <w:lang w:val="en-US" w:eastAsia="zh-CN"/>
        </w:rPr>
        <w:t>173.81</w:t>
      </w:r>
      <w:r>
        <w:rPr>
          <w:rFonts w:hint="default" w:ascii="Times New Roman" w:hAnsi="Times New Roman" w:eastAsia="方正仿宋_GBK" w:cs="Times New Roman"/>
          <w:sz w:val="32"/>
          <w:szCs w:val="32"/>
        </w:rPr>
        <w:t>万元，占100.00%；项目支出0.00万元，占0.00%；经营支出0.00万元，占0.00%。此外，结余分配0.00万元。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结转结余情况。202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年度年末结转和结余0.00万元，较上年决算数无增减，主要原因是</w:t>
      </w: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lang w:val="en-US" w:eastAsia="zh-CN"/>
        </w:rPr>
        <w:t>2024年度收支持平，年末无结转结余。</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（二）财政拨款收入支出决算总体情况说明</w:t>
      </w:r>
      <w:r>
        <w:rPr>
          <w:rFonts w:hint="default" w:ascii="方正楷体_GBK" w:hAnsi="方正楷体_GBK" w:eastAsia="方正楷体_GBK" w:cs="方正楷体_GBK"/>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年度财政拨款收、支总计</w:t>
      </w:r>
      <w:r>
        <w:rPr>
          <w:rFonts w:hint="default" w:ascii="Times New Roman" w:hAnsi="Times New Roman" w:eastAsia="方正仿宋_GBK" w:cs="Times New Roman"/>
          <w:sz w:val="32"/>
          <w:szCs w:val="32"/>
          <w:lang w:val="en-US" w:eastAsia="zh-CN"/>
        </w:rPr>
        <w:t>173.81</w:t>
      </w:r>
      <w:r>
        <w:rPr>
          <w:rFonts w:hint="default" w:ascii="Times New Roman" w:hAnsi="Times New Roman" w:eastAsia="方正仿宋_GBK" w:cs="Times New Roman"/>
          <w:sz w:val="32"/>
          <w:szCs w:val="32"/>
        </w:rPr>
        <w:t>万元。与202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年相比，财政拨款收、支总计各</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78.14</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增长</w:t>
      </w:r>
      <w:r>
        <w:rPr>
          <w:rFonts w:hint="default" w:ascii="Times New Roman" w:hAnsi="Times New Roman" w:eastAsia="方正仿宋_GBK" w:cs="Times New Roman"/>
          <w:sz w:val="32"/>
          <w:szCs w:val="32"/>
          <w:lang w:val="en-US" w:eastAsia="zh-CN"/>
        </w:rPr>
        <w:t>81.67</w:t>
      </w:r>
      <w:r>
        <w:rPr>
          <w:rFonts w:hint="default" w:ascii="Times New Roman" w:hAnsi="Times New Roman" w:eastAsia="方正仿宋_GBK" w:cs="Times New Roman"/>
          <w:sz w:val="32"/>
          <w:szCs w:val="32"/>
        </w:rPr>
        <w:t>%，主要原因</w:t>
      </w: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是</w:t>
      </w:r>
      <w:r>
        <w:rPr>
          <w:rFonts w:hint="default" w:ascii="Times New Roman" w:hAnsi="Times New Roman" w:eastAsia="方正仿宋_GBK" w:cs="Times New Roman"/>
          <w:sz w:val="32"/>
          <w:szCs w:val="32"/>
          <w:lang w:val="en-US" w:eastAsia="zh-CN"/>
        </w:rPr>
        <w:t>调资调标，工资、社保类人员经费增加；二是机构改革，退役军人服务站并入便民服务中心，因系统只提取到便民服务中心的数据，导致与较上年增长较大</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w:t>
      </w:r>
      <w:r>
        <w:rPr>
          <w:rFonts w:hint="default" w:ascii="方正楷体_GBK" w:hAnsi="方正楷体_GBK" w:eastAsia="方正楷体_GBK" w:cs="方正楷体_GBK"/>
          <w:sz w:val="32"/>
          <w:szCs w:val="32"/>
        </w:rPr>
        <w:t>三）一般公共预算财政拨款收入支出决算情况说明</w:t>
      </w:r>
      <w:r>
        <w:rPr>
          <w:rFonts w:hint="default" w:ascii="方正楷体_GBK" w:hAnsi="方正楷体_GBK" w:eastAsia="方正楷体_GBK" w:cs="方正楷体_GBK"/>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收入情况。202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年度一般公共预算财政拨款收入</w:t>
      </w:r>
      <w:r>
        <w:rPr>
          <w:rFonts w:hint="default" w:ascii="Times New Roman" w:hAnsi="Times New Roman" w:eastAsia="方正仿宋_GBK" w:cs="Times New Roman"/>
          <w:sz w:val="32"/>
          <w:szCs w:val="32"/>
          <w:lang w:val="en-US" w:eastAsia="zh-CN"/>
        </w:rPr>
        <w:t>173.81</w:t>
      </w:r>
      <w:r>
        <w:rPr>
          <w:rFonts w:hint="default" w:ascii="Times New Roman" w:hAnsi="Times New Roman" w:eastAsia="方正仿宋_GBK" w:cs="Times New Roman"/>
          <w:sz w:val="32"/>
          <w:szCs w:val="32"/>
        </w:rPr>
        <w:t>万元，较上年决算数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78.14</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增长</w:t>
      </w:r>
      <w:r>
        <w:rPr>
          <w:rFonts w:hint="default" w:ascii="Times New Roman" w:hAnsi="Times New Roman" w:eastAsia="方正仿宋_GBK" w:cs="Times New Roman"/>
          <w:sz w:val="32"/>
          <w:szCs w:val="32"/>
          <w:lang w:val="en-US" w:eastAsia="zh-CN"/>
        </w:rPr>
        <w:t>81.67</w:t>
      </w:r>
      <w:r>
        <w:rPr>
          <w:rFonts w:hint="default" w:ascii="Times New Roman" w:hAnsi="Times New Roman" w:eastAsia="方正仿宋_GBK" w:cs="Times New Roman"/>
          <w:sz w:val="32"/>
          <w:szCs w:val="32"/>
        </w:rPr>
        <w:t>%，主要原因</w:t>
      </w: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是</w:t>
      </w:r>
      <w:r>
        <w:rPr>
          <w:rFonts w:hint="default" w:ascii="Times New Roman" w:hAnsi="Times New Roman" w:eastAsia="方正仿宋_GBK" w:cs="Times New Roman"/>
          <w:sz w:val="32"/>
          <w:szCs w:val="32"/>
          <w:lang w:val="en-US" w:eastAsia="zh-CN"/>
        </w:rPr>
        <w:t>调资调标，工资、社保类人员经费增加；二是机构改革，退役军人服务站并入便民服务中心，因系统只提取到便民服务中心的数据，导致与较上年增长较大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较年初预算数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21.7</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增长</w:t>
      </w:r>
      <w:r>
        <w:rPr>
          <w:rFonts w:hint="default" w:ascii="Times New Roman" w:hAnsi="Times New Roman" w:eastAsia="方正仿宋_GBK" w:cs="Times New Roman"/>
          <w:sz w:val="32"/>
          <w:szCs w:val="32"/>
          <w:lang w:val="en-US" w:eastAsia="zh-CN"/>
        </w:rPr>
        <w:t>14.27</w:t>
      </w:r>
      <w:r>
        <w:rPr>
          <w:rFonts w:hint="default" w:ascii="Times New Roman" w:hAnsi="Times New Roman" w:eastAsia="方正仿宋_GBK" w:cs="Times New Roman"/>
          <w:sz w:val="32"/>
          <w:szCs w:val="32"/>
        </w:rPr>
        <w:t>%。主要原因</w:t>
      </w:r>
      <w:r>
        <w:rPr>
          <w:rFonts w:hint="default" w:ascii="Times New Roman" w:hAnsi="Times New Roman" w:eastAsia="方正仿宋_GBK" w:cs="Times New Roman"/>
          <w:sz w:val="32"/>
          <w:szCs w:val="32"/>
          <w:lang w:eastAsia="zh-CN"/>
        </w:rPr>
        <w:t>是</w:t>
      </w:r>
      <w:r>
        <w:rPr>
          <w:rFonts w:hint="default" w:ascii="Times New Roman" w:hAnsi="Times New Roman" w:eastAsia="方正仿宋_GBK" w:cs="Times New Roman"/>
          <w:sz w:val="32"/>
          <w:szCs w:val="32"/>
          <w:lang w:val="en-US" w:eastAsia="zh-CN"/>
        </w:rPr>
        <w:t>调资调标，工资、社保类人员经费增加</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此外，年初财政拨款结转和结余0.00万元。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支出情况。202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年度一般公共预算财政拨款支出</w:t>
      </w:r>
      <w:r>
        <w:rPr>
          <w:rFonts w:hint="default" w:ascii="Times New Roman" w:hAnsi="Times New Roman" w:eastAsia="方正仿宋_GBK" w:cs="Times New Roman"/>
          <w:sz w:val="32"/>
          <w:szCs w:val="32"/>
          <w:lang w:val="en-US" w:eastAsia="zh-CN"/>
        </w:rPr>
        <w:t>173.81</w:t>
      </w:r>
      <w:r>
        <w:rPr>
          <w:rFonts w:hint="default" w:ascii="Times New Roman" w:hAnsi="Times New Roman" w:eastAsia="方正仿宋_GBK" w:cs="Times New Roman"/>
          <w:sz w:val="32"/>
          <w:szCs w:val="32"/>
        </w:rPr>
        <w:t>万元，较上年决算数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78.14</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增长</w:t>
      </w:r>
      <w:r>
        <w:rPr>
          <w:rFonts w:hint="default" w:ascii="Times New Roman" w:hAnsi="Times New Roman" w:eastAsia="方正仿宋_GBK" w:cs="Times New Roman"/>
          <w:sz w:val="32"/>
          <w:szCs w:val="32"/>
          <w:lang w:val="en-US" w:eastAsia="zh-CN"/>
        </w:rPr>
        <w:t>81.67</w:t>
      </w:r>
      <w:r>
        <w:rPr>
          <w:rFonts w:hint="default" w:ascii="Times New Roman" w:hAnsi="Times New Roman" w:eastAsia="方正仿宋_GBK" w:cs="Times New Roman"/>
          <w:sz w:val="32"/>
          <w:szCs w:val="32"/>
        </w:rPr>
        <w:t>%。主要原因</w:t>
      </w: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是</w:t>
      </w:r>
      <w:r>
        <w:rPr>
          <w:rFonts w:hint="default" w:ascii="Times New Roman" w:hAnsi="Times New Roman" w:eastAsia="方正仿宋_GBK" w:cs="Times New Roman"/>
          <w:sz w:val="32"/>
          <w:szCs w:val="32"/>
          <w:lang w:val="en-US" w:eastAsia="zh-CN"/>
        </w:rPr>
        <w:t>调资调标，工资、社保类人员经费增加；二是机构改革，退役军人服务站并入便民服务中心，因系统只提取到便民服务中心的数据，导致与较上年增长较大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较年初预算数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21.7</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增长</w:t>
      </w:r>
      <w:r>
        <w:rPr>
          <w:rFonts w:hint="default" w:ascii="Times New Roman" w:hAnsi="Times New Roman" w:eastAsia="方正仿宋_GBK" w:cs="Times New Roman"/>
          <w:sz w:val="32"/>
          <w:szCs w:val="32"/>
          <w:lang w:val="en-US" w:eastAsia="zh-CN"/>
        </w:rPr>
        <w:t>14.27</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w w:val="95"/>
          <w:sz w:val="32"/>
          <w:szCs w:val="32"/>
        </w:rPr>
        <w:t>主要原因</w:t>
      </w:r>
      <w:r>
        <w:rPr>
          <w:rFonts w:hint="default" w:ascii="Times New Roman" w:hAnsi="Times New Roman" w:eastAsia="方正仿宋_GBK" w:cs="Times New Roman"/>
          <w:w w:val="95"/>
          <w:sz w:val="32"/>
          <w:szCs w:val="32"/>
          <w:lang w:eastAsia="zh-CN"/>
        </w:rPr>
        <w:t>是</w:t>
      </w:r>
      <w:r>
        <w:rPr>
          <w:rFonts w:hint="default" w:ascii="Times New Roman" w:hAnsi="Times New Roman" w:eastAsia="方正仿宋_GBK" w:cs="Times New Roman"/>
          <w:w w:val="95"/>
          <w:sz w:val="32"/>
          <w:szCs w:val="32"/>
          <w:lang w:val="en-US" w:eastAsia="zh-CN"/>
        </w:rPr>
        <w:t>调资调标，工资、社保类人员经费增加</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结转结余情况。202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年度年末一般公共预算财政拨款结转和结余0.00万元，较上年决算数无增减，主要原因是</w:t>
      </w: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lang w:val="en-US" w:eastAsia="zh-CN"/>
        </w:rPr>
        <w:t>2024年收支持平，年末无结转结余。</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比较情况。本单位202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年度一般公共预算财政拨款支出主要用于以下几个方面：</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（1）社会保障与就业支出</w:t>
      </w:r>
      <w:r>
        <w:rPr>
          <w:rFonts w:hint="default" w:ascii="Times New Roman" w:hAnsi="Times New Roman" w:eastAsia="方正仿宋_GBK" w:cs="Times New Roman"/>
          <w:sz w:val="32"/>
          <w:szCs w:val="32"/>
          <w:lang w:val="en-US" w:eastAsia="zh-CN"/>
        </w:rPr>
        <w:t>160.16</w:t>
      </w:r>
      <w:r>
        <w:rPr>
          <w:rFonts w:hint="default" w:ascii="Times New Roman" w:hAnsi="Times New Roman" w:eastAsia="方正仿宋_GBK" w:cs="Times New Roman"/>
          <w:sz w:val="32"/>
          <w:szCs w:val="32"/>
        </w:rPr>
        <w:t>万元，占9</w:t>
      </w:r>
      <w:r>
        <w:rPr>
          <w:rFonts w:hint="default" w:ascii="Times New Roman" w:hAnsi="Times New Roman" w:eastAsia="方正仿宋_GBK" w:cs="Times New Roman"/>
          <w:sz w:val="32"/>
          <w:szCs w:val="32"/>
          <w:lang w:val="en-US" w:eastAsia="zh-CN"/>
        </w:rPr>
        <w:t>2.13</w:t>
      </w:r>
      <w:r>
        <w:rPr>
          <w:rFonts w:hint="default" w:ascii="Times New Roman" w:hAnsi="Times New Roman" w:eastAsia="方正仿宋_GBK" w:cs="Times New Roman"/>
          <w:sz w:val="32"/>
          <w:szCs w:val="32"/>
        </w:rPr>
        <w:t>%，较年初预算数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21.57</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增长</w:t>
      </w:r>
      <w:r>
        <w:rPr>
          <w:rFonts w:hint="default" w:ascii="Times New Roman" w:hAnsi="Times New Roman" w:eastAsia="方正仿宋_GBK" w:cs="Times New Roman"/>
          <w:sz w:val="32"/>
          <w:szCs w:val="32"/>
          <w:lang w:val="en-US" w:eastAsia="zh-CN"/>
        </w:rPr>
        <w:t>15.57</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调资调标，综合目标考核、绩效工资等人员经费增加</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）卫生健康支出</w:t>
      </w:r>
      <w:r>
        <w:rPr>
          <w:rFonts w:hint="default" w:ascii="Times New Roman" w:hAnsi="Times New Roman" w:eastAsia="方正仿宋_GBK" w:cs="Times New Roman"/>
          <w:sz w:val="32"/>
          <w:szCs w:val="32"/>
          <w:lang w:val="en-US" w:eastAsia="zh-CN"/>
        </w:rPr>
        <w:t>6.71</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3.87</w:t>
      </w:r>
      <w:r>
        <w:rPr>
          <w:rFonts w:hint="default" w:ascii="Times New Roman" w:hAnsi="Times New Roman" w:eastAsia="方正仿宋_GBK" w:cs="Times New Roman"/>
          <w:sz w:val="32"/>
          <w:szCs w:val="32"/>
        </w:rPr>
        <w:t>%，较年初预算数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0.06</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增长</w:t>
      </w:r>
      <w:r>
        <w:rPr>
          <w:rFonts w:hint="default" w:ascii="Times New Roman" w:hAnsi="Times New Roman" w:eastAsia="方正仿宋_GBK" w:cs="Times New Roman"/>
          <w:sz w:val="32"/>
          <w:szCs w:val="32"/>
          <w:lang w:val="en-US" w:eastAsia="zh-CN"/>
        </w:rPr>
        <w:t>0.93</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人员调整，医疗保险经费增加</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lang w:val="en-US" w:eastAsia="zh-CN"/>
        </w:rPr>
        <w:t>6.95</w:t>
      </w:r>
      <w:r>
        <w:rPr>
          <w:rFonts w:hint="default" w:ascii="Times New Roman" w:hAnsi="Times New Roman" w:eastAsia="方正仿宋_GBK" w:cs="Times New Roman"/>
          <w:sz w:val="32"/>
          <w:szCs w:val="32"/>
        </w:rPr>
        <w:t>万元，占4.</w:t>
      </w:r>
      <w:r>
        <w:rPr>
          <w:rFonts w:hint="default" w:ascii="Times New Roman" w:hAnsi="Times New Roman" w:eastAsia="方正仿宋_GBK" w:cs="Times New Roman"/>
          <w:sz w:val="32"/>
          <w:szCs w:val="32"/>
          <w:lang w:val="en-US" w:eastAsia="zh-CN"/>
        </w:rPr>
        <w:t>02</w:t>
      </w:r>
      <w:r>
        <w:rPr>
          <w:rFonts w:hint="default" w:ascii="Times New Roman" w:hAnsi="Times New Roman" w:eastAsia="方正仿宋_GBK" w:cs="Times New Roman"/>
          <w:sz w:val="32"/>
          <w:szCs w:val="32"/>
        </w:rPr>
        <w:t>%，较年初预算数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lang w:val="en-US" w:eastAsia="zh-CN"/>
        </w:rPr>
        <w:t>08</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增长</w:t>
      </w:r>
      <w:r>
        <w:rPr>
          <w:rFonts w:hint="default" w:ascii="Times New Roman" w:hAnsi="Times New Roman" w:eastAsia="方正仿宋_GBK" w:cs="Times New Roman"/>
          <w:sz w:val="32"/>
          <w:szCs w:val="32"/>
          <w:lang w:val="en-US" w:eastAsia="zh-CN"/>
        </w:rPr>
        <w:t>1.14</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人员调整，公积金经费增加。</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eastAsia" w:ascii="方正楷体_GBK" w:hAnsi="方正楷体_GBK" w:eastAsia="方正楷体_GBK" w:cs="方正楷体_GBK"/>
          <w:sz w:val="32"/>
          <w:szCs w:val="32"/>
        </w:rPr>
        <w:t>（四）一般公共预算财政拨款基本支出决算情况说明</w:t>
      </w:r>
      <w:r>
        <w:rPr>
          <w:rFonts w:hint="eastAsia" w:ascii="方正楷体_GBK" w:hAnsi="方正楷体_GBK" w:eastAsia="方正楷体_GBK" w:cs="方正楷体_GBK"/>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年度一般公共财政拨款基本支出</w:t>
      </w:r>
      <w:r>
        <w:rPr>
          <w:rFonts w:hint="default" w:ascii="Times New Roman" w:hAnsi="Times New Roman" w:eastAsia="方正仿宋_GBK" w:cs="Times New Roman"/>
          <w:sz w:val="32"/>
          <w:szCs w:val="32"/>
          <w:lang w:val="en-US" w:eastAsia="zh-CN"/>
        </w:rPr>
        <w:t>173.81</w:t>
      </w:r>
      <w:r>
        <w:rPr>
          <w:rFonts w:hint="default" w:ascii="Times New Roman" w:hAnsi="Times New Roman" w:eastAsia="方正仿宋_GBK" w:cs="Times New Roman"/>
          <w:sz w:val="32"/>
          <w:szCs w:val="32"/>
        </w:rPr>
        <w:t>万元。其中：人员经费</w:t>
      </w:r>
      <w:r>
        <w:rPr>
          <w:rFonts w:hint="default" w:ascii="Times New Roman" w:hAnsi="Times New Roman" w:eastAsia="方正仿宋_GBK" w:cs="Times New Roman"/>
          <w:sz w:val="32"/>
          <w:szCs w:val="32"/>
          <w:lang w:val="en-US" w:eastAsia="zh-CN"/>
        </w:rPr>
        <w:t>153.59</w:t>
      </w:r>
      <w:r>
        <w:rPr>
          <w:rFonts w:hint="default" w:ascii="Times New Roman" w:hAnsi="Times New Roman" w:eastAsia="方正仿宋_GBK" w:cs="Times New Roman"/>
          <w:sz w:val="32"/>
          <w:szCs w:val="32"/>
        </w:rPr>
        <w:t>万元，较上年决算数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73.77万元，</w:t>
      </w:r>
      <w:r>
        <w:rPr>
          <w:rFonts w:hint="default" w:ascii="Times New Roman" w:hAnsi="Times New Roman" w:eastAsia="方正仿宋_GBK" w:cs="Times New Roman"/>
          <w:sz w:val="32"/>
          <w:szCs w:val="32"/>
          <w:lang w:eastAsia="zh-CN"/>
        </w:rPr>
        <w:t>增长</w:t>
      </w:r>
      <w:r>
        <w:rPr>
          <w:rFonts w:hint="default" w:ascii="Times New Roman" w:hAnsi="Times New Roman" w:eastAsia="方正仿宋_GBK" w:cs="Times New Roman"/>
          <w:sz w:val="32"/>
          <w:szCs w:val="32"/>
          <w:lang w:val="en-US" w:eastAsia="zh-CN"/>
        </w:rPr>
        <w:t>92.43</w:t>
      </w:r>
      <w:r>
        <w:rPr>
          <w:rFonts w:hint="default" w:ascii="Times New Roman" w:hAnsi="Times New Roman" w:eastAsia="方正仿宋_GBK" w:cs="Times New Roman"/>
          <w:sz w:val="32"/>
          <w:szCs w:val="32"/>
        </w:rPr>
        <w:t>%，主要原因</w:t>
      </w: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是</w:t>
      </w:r>
      <w:r>
        <w:rPr>
          <w:rFonts w:hint="default" w:ascii="Times New Roman" w:hAnsi="Times New Roman" w:eastAsia="方正仿宋_GBK" w:cs="Times New Roman"/>
          <w:sz w:val="32"/>
          <w:szCs w:val="32"/>
          <w:lang w:val="en-US" w:eastAsia="zh-CN"/>
        </w:rPr>
        <w:t>调资调标，工资、社保类人员经费增加；二是机构改革，退役军人服务站并入便民服务中心，因系统只提取到便民服务中心的数据，导致与较上年增长较大</w:t>
      </w:r>
      <w:r>
        <w:rPr>
          <w:rFonts w:hint="default" w:ascii="Times New Roman" w:hAnsi="Times New Roman" w:eastAsia="方正仿宋_GBK" w:cs="Times New Roman"/>
          <w:sz w:val="32"/>
          <w:szCs w:val="32"/>
        </w:rPr>
        <w:t>。人员经费用途主要包括</w:t>
      </w:r>
      <w:r>
        <w:rPr>
          <w:rFonts w:hint="default" w:ascii="Times New Roman" w:hAnsi="Times New Roman" w:eastAsia="方正仿宋_GBK" w:cs="Times New Roman"/>
          <w:sz w:val="32"/>
          <w:szCs w:val="32"/>
          <w:lang w:eastAsia="zh-CN"/>
        </w:rPr>
        <w:t>基本工资、津补贴、绩效工资、社保公积金、职业年金等</w:t>
      </w:r>
      <w:r>
        <w:rPr>
          <w:rFonts w:hint="default" w:ascii="Times New Roman" w:hAnsi="Times New Roman" w:eastAsia="方正仿宋_GBK" w:cs="Times New Roman"/>
          <w:sz w:val="32"/>
          <w:szCs w:val="32"/>
        </w:rPr>
        <w:t>。公用经费</w:t>
      </w:r>
      <w:r>
        <w:rPr>
          <w:rFonts w:hint="default" w:ascii="Times New Roman" w:hAnsi="Times New Roman" w:eastAsia="方正仿宋_GBK" w:cs="Times New Roman"/>
          <w:sz w:val="32"/>
          <w:szCs w:val="32"/>
          <w:lang w:val="en-US" w:eastAsia="zh-CN"/>
        </w:rPr>
        <w:t>20.23</w:t>
      </w:r>
      <w:r>
        <w:rPr>
          <w:rFonts w:hint="default" w:ascii="Times New Roman" w:hAnsi="Times New Roman" w:eastAsia="方正仿宋_GBK" w:cs="Times New Roman"/>
          <w:sz w:val="32"/>
          <w:szCs w:val="32"/>
        </w:rPr>
        <w:t>万元，较上年决算数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4.37</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增长</w:t>
      </w:r>
      <w:r>
        <w:rPr>
          <w:rFonts w:hint="default" w:ascii="Times New Roman" w:hAnsi="Times New Roman" w:eastAsia="方正仿宋_GBK" w:cs="Times New Roman"/>
          <w:sz w:val="32"/>
          <w:szCs w:val="32"/>
          <w:lang w:val="en-US" w:eastAsia="zh-CN"/>
        </w:rPr>
        <w:t>27.53</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val="en-US" w:eastAsia="zh-CN"/>
        </w:rPr>
        <w:t>机构改革，退役军人服务站并入便民服务中</w:t>
      </w:r>
      <w:r>
        <w:rPr>
          <w:rFonts w:hint="default" w:ascii="Times New Roman" w:hAnsi="Times New Roman" w:eastAsia="方正仿宋_GBK" w:cs="Times New Roman"/>
          <w:w w:val="96"/>
          <w:sz w:val="32"/>
          <w:szCs w:val="32"/>
          <w:lang w:val="en-US" w:eastAsia="zh-CN"/>
        </w:rPr>
        <w:t>心，因系统只提取到便民服务中心的数据，导致与较上年增长较大</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（五）政府性基金预算收支决算情况说明</w:t>
      </w:r>
      <w:r>
        <w:rPr>
          <w:rFonts w:hint="default" w:ascii="方正楷体_GBK" w:hAnsi="方正楷体_GBK" w:eastAsia="方正楷体_GBK" w:cs="方正楷体_GBK"/>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年度无政府性基金预算财政拨款收支。</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（六）国有资本经营预算财政拨款支出决算情况说明</w:t>
      </w:r>
      <w:r>
        <w:rPr>
          <w:rFonts w:hint="default" w:ascii="方正楷体_GBK" w:hAnsi="方正楷体_GBK" w:eastAsia="方正楷体_GBK" w:cs="方正楷体_GBK"/>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年度无国有资本经营预算财政拨款支出。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w:t>
      </w:r>
      <w:r>
        <w:rPr>
          <w:rFonts w:hint="default" w:ascii="方正黑体_GBK" w:hAnsi="方正黑体_GBK" w:eastAsia="方正黑体_GBK" w:cs="方正黑体_GBK"/>
          <w:sz w:val="32"/>
          <w:szCs w:val="32"/>
        </w:rPr>
        <w:t>三公</w:t>
      </w:r>
      <w:r>
        <w:rPr>
          <w:rFonts w:hint="eastAsia" w:ascii="方正黑体_GBK" w:hAnsi="方正黑体_GBK" w:eastAsia="方正黑体_GBK" w:cs="方正黑体_GBK"/>
          <w:sz w:val="32"/>
          <w:szCs w:val="32"/>
          <w:lang w:eastAsia="zh-CN"/>
        </w:rPr>
        <w:t>”</w:t>
      </w:r>
      <w:r>
        <w:rPr>
          <w:rFonts w:hint="default" w:ascii="方正黑体_GBK" w:hAnsi="方正黑体_GBK" w:eastAsia="方正黑体_GBK" w:cs="方正黑体_GBK"/>
          <w:sz w:val="32"/>
          <w:szCs w:val="32"/>
        </w:rPr>
        <w:t>经费情况说明</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（一）</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三公</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经费支出总体情况说明</w:t>
      </w:r>
      <w:r>
        <w:rPr>
          <w:rFonts w:hint="default" w:ascii="方正楷体_GBK" w:hAnsi="方正楷体_GBK" w:eastAsia="方正楷体_GBK" w:cs="方正楷体_GBK"/>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rPr>
        <w:t>三公</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rPr>
        <w:t>经费支出共计0.00万元，较年初预算数无增减，较上年支出数无增减，主要原因是</w:t>
      </w: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lang w:val="en-US" w:eastAsia="zh-CN"/>
        </w:rPr>
        <w:t>2024年度未发生</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三公</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经费支出。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（二）</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三公</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经费分项支出情况</w:t>
      </w:r>
      <w:r>
        <w:rPr>
          <w:rFonts w:hint="default" w:ascii="方正楷体_GBK" w:hAnsi="方正楷体_GBK" w:eastAsia="方正楷体_GBK" w:cs="方正楷体_GBK"/>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年度本单位因公出国（境）费用0.00万元，费用支出较年初预算数无增减，较上年支出数无增减，主要原因是</w:t>
      </w:r>
      <w:r>
        <w:rPr>
          <w:rFonts w:hint="default" w:ascii="Times New Roman" w:hAnsi="Times New Roman" w:eastAsia="方正仿宋_GBK" w:cs="Times New Roman"/>
          <w:sz w:val="32"/>
          <w:szCs w:val="32"/>
          <w:lang w:val="en-US" w:eastAsia="zh-CN"/>
        </w:rPr>
        <w:t>2024年度未发生</w:t>
      </w:r>
      <w:r>
        <w:rPr>
          <w:rFonts w:hint="default" w:ascii="Times New Roman" w:hAnsi="Times New Roman" w:eastAsia="方正仿宋_GBK" w:cs="Times New Roman"/>
          <w:sz w:val="32"/>
          <w:szCs w:val="32"/>
        </w:rPr>
        <w:t>因公出国（境）费用</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公务车购置费0.00万元，费用支出较年初预算数无增减，较上年支出数无增减，主要原因是</w:t>
      </w: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lang w:val="en-US" w:eastAsia="zh-CN"/>
        </w:rPr>
        <w:t>2024年度未发生</w:t>
      </w:r>
      <w:r>
        <w:rPr>
          <w:rFonts w:hint="default" w:ascii="Times New Roman" w:hAnsi="Times New Roman" w:eastAsia="方正仿宋_GBK" w:cs="Times New Roman"/>
          <w:sz w:val="32"/>
          <w:szCs w:val="32"/>
        </w:rPr>
        <w:t>公务车购置费</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公务车运行维护费0.00万元，费用支出较年初预算数无增减，较上年支出数无增减，主要原因是</w:t>
      </w: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lang w:val="en-US" w:eastAsia="zh-CN"/>
        </w:rPr>
        <w:t>2024年度未发生公务车运行维护费</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公务接待费0.00万元，费用支出较年初预算数无增减，较上年支出数无增减，主要原因是</w:t>
      </w: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lang w:val="en-US" w:eastAsia="zh-CN"/>
        </w:rPr>
        <w:t>2024年度未发生公务接待费</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（三）</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三公</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经费实物量情况</w:t>
      </w:r>
      <w:r>
        <w:rPr>
          <w:rFonts w:hint="default" w:ascii="方正楷体_GBK" w:hAnsi="方正楷体_GBK" w:eastAsia="方正楷体_GBK" w:cs="方正楷体_GBK"/>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年度本单位因公出国（境）共计0个团组，0人；公务用车购置0辆，公务车保有量为0辆；国内公务接待0批次0人，其中：国内外事接待0批次，0人；国（境）外公务接待0批次，0人。202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年本单位人均接待费0元，车均购置费0万元，车均维护费0万元。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四、其他需要说明的事项</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（一）财政拨款会议费和培训费情况说明</w:t>
      </w:r>
      <w:r>
        <w:rPr>
          <w:rFonts w:hint="default" w:ascii="方正楷体_GBK" w:hAnsi="方正楷体_GBK" w:eastAsia="方正楷体_GBK" w:cs="方正楷体_GBK"/>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本年度会议费支出</w:t>
      </w:r>
      <w:r>
        <w:rPr>
          <w:rFonts w:hint="default" w:ascii="Times New Roman" w:hAnsi="Times New Roman" w:eastAsia="方正仿宋_GBK" w:cs="Times New Roman"/>
          <w:sz w:val="32"/>
          <w:szCs w:val="32"/>
          <w:lang w:val="en-US" w:eastAsia="zh-CN"/>
        </w:rPr>
        <w:t>0.25</w:t>
      </w:r>
      <w:r>
        <w:rPr>
          <w:rFonts w:hint="default" w:ascii="Times New Roman" w:hAnsi="Times New Roman" w:eastAsia="方正仿宋_GBK" w:cs="Times New Roman"/>
          <w:sz w:val="32"/>
          <w:szCs w:val="32"/>
        </w:rPr>
        <w:t>万元，较上年决算数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0.11</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增长</w:t>
      </w:r>
      <w:r>
        <w:rPr>
          <w:rFonts w:hint="default" w:ascii="Times New Roman" w:hAnsi="Times New Roman" w:eastAsia="方正仿宋_GBK" w:cs="Times New Roman"/>
          <w:sz w:val="32"/>
          <w:szCs w:val="32"/>
          <w:lang w:val="en-US" w:eastAsia="zh-CN"/>
        </w:rPr>
        <w:t>80</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val="en-US" w:eastAsia="zh-CN"/>
        </w:rPr>
        <w:t>机构改革，退役军人服务站并入便民服务中心，因系统只提取到便民服务中心的数据，导致与较上年增长较大</w:t>
      </w:r>
      <w:r>
        <w:rPr>
          <w:rFonts w:hint="default" w:ascii="Times New Roman" w:hAnsi="Times New Roman" w:eastAsia="方正仿宋_GBK" w:cs="Times New Roman"/>
          <w:sz w:val="32"/>
          <w:szCs w:val="32"/>
        </w:rPr>
        <w:t>。本年度培训费支出</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万元，较上年决算数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0.28</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增长</w:t>
      </w:r>
      <w:r>
        <w:rPr>
          <w:rFonts w:hint="default" w:ascii="Times New Roman" w:hAnsi="Times New Roman" w:eastAsia="方正仿宋_GBK" w:cs="Times New Roman"/>
          <w:sz w:val="32"/>
          <w:szCs w:val="32"/>
          <w:lang w:val="en-US" w:eastAsia="zh-CN"/>
        </w:rPr>
        <w:t>39.00</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val="en-US" w:eastAsia="zh-CN"/>
        </w:rPr>
        <w:t>机构改革，退役军人服务站并入便民服务中心，因系统只提取到便民服务中心的数据，导致与较上年增长较大。实际账务数据合并后，因厉行节俭，缩减开支，减少人员培训活动，培训费较上年是略有下降。</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（二）机关运行经费情况说明</w:t>
      </w:r>
      <w:r>
        <w:rPr>
          <w:rFonts w:hint="default" w:ascii="方正楷体_GBK" w:hAnsi="方正楷体_GBK" w:eastAsia="方正楷体_GBK" w:cs="方正楷体_GBK"/>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按照部门决算列报口径，我单位不在机关运行经费统计范围之内。</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（三）国有资产占用情况说明</w:t>
      </w:r>
      <w:r>
        <w:rPr>
          <w:rFonts w:hint="default" w:ascii="方正楷体_GBK" w:hAnsi="方正楷体_GBK" w:eastAsia="方正楷体_GBK" w:cs="方正楷体_GBK"/>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（四）政府采购支出情况说明</w:t>
      </w:r>
      <w:r>
        <w:rPr>
          <w:rFonts w:hint="default" w:ascii="方正楷体_GBK" w:hAnsi="方正楷体_GBK" w:eastAsia="方正楷体_GBK" w:cs="方正楷体_GBK"/>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年度我单位未发生政府采购事项，无相关经费支出。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lang w:eastAsia="zh-CN"/>
        </w:rPr>
        <w:t>五、</w:t>
      </w:r>
      <w:r>
        <w:rPr>
          <w:rFonts w:hint="default" w:ascii="方正黑体_GBK" w:hAnsi="方正黑体_GBK" w:eastAsia="方正黑体_GBK" w:cs="方正黑体_GBK"/>
          <w:sz w:val="32"/>
          <w:szCs w:val="32"/>
        </w:rPr>
        <w:t>预算绩效管理情况说明</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本单位为通惠街道办事处下属二级预算单位，202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年度无项目支出，未开展预算绩效管理。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六、专业名词解释</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（一）财政拨款收入：</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（二）事业收入：</w:t>
      </w:r>
      <w:r>
        <w:rPr>
          <w:rFonts w:hint="default" w:ascii="Times New Roman" w:hAnsi="Times New Roman" w:eastAsia="方正仿宋_GBK" w:cs="Times New Roman"/>
          <w:sz w:val="32"/>
          <w:szCs w:val="32"/>
        </w:rPr>
        <w:t>指事业单位开展专业业务活动及其辅助活动取得的现金流入；事业单位收到的财政专户实际核拨的教育收费等资金在此反映。</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（三）经营收入：</w:t>
      </w:r>
      <w:r>
        <w:rPr>
          <w:rFonts w:hint="default" w:ascii="Times New Roman" w:hAnsi="Times New Roman" w:eastAsia="方正仿宋_GBK" w:cs="Times New Roman"/>
          <w:sz w:val="32"/>
          <w:szCs w:val="32"/>
        </w:rPr>
        <w:t>指事业单位在专业业务活动及其辅助活动之外开展非独立核算经营活动取得的现金流入。</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（四）其他收入：</w:t>
      </w:r>
      <w:r>
        <w:rPr>
          <w:rFonts w:hint="default" w:ascii="Times New Roman" w:hAnsi="Times New Roman" w:eastAsia="方正仿宋_GBK" w:cs="Times New Roman"/>
          <w:sz w:val="32"/>
          <w:szCs w:val="32"/>
        </w:rPr>
        <w:t>指单位取得的除</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财政拨款收入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事业收入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经营收入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（五）使用非财政拨款结余：</w:t>
      </w:r>
      <w:r>
        <w:rPr>
          <w:rFonts w:hint="default" w:ascii="Times New Roman" w:hAnsi="Times New Roman" w:eastAsia="方正仿宋_GBK" w:cs="Times New Roman"/>
          <w:sz w:val="32"/>
          <w:szCs w:val="32"/>
        </w:rPr>
        <w:t>指单位在当年的</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财政拨款收入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事业收入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经营收入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其他收入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等不足以安排当年支出的情况下，使用以前年度积累的非财政拨款结余弥补本年度收支缺口的资金。</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（六）年初结转和结余：</w:t>
      </w:r>
      <w:r>
        <w:rPr>
          <w:rFonts w:hint="default" w:ascii="Times New Roman" w:hAnsi="Times New Roman" w:eastAsia="方正仿宋_GBK" w:cs="Times New Roman"/>
          <w:sz w:val="32"/>
          <w:szCs w:val="32"/>
        </w:rPr>
        <w:t>指单位上年结转本年使用的基本支出结转、项目支出结转和结余、经营结余。</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（七）结余分配：</w:t>
      </w:r>
      <w:r>
        <w:rPr>
          <w:rFonts w:hint="default" w:ascii="Times New Roman" w:hAnsi="Times New Roman" w:eastAsia="方正仿宋_GBK" w:cs="Times New Roman"/>
          <w:sz w:val="32"/>
          <w:szCs w:val="32"/>
        </w:rPr>
        <w:t>指单位按照国家有关规定，缴纳所得税、提取专用基金、转入非财政拨款结余等当年结余的分配情况。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（八）年末结转和结余：</w:t>
      </w:r>
      <w:r>
        <w:rPr>
          <w:rFonts w:hint="default" w:ascii="Times New Roman" w:hAnsi="Times New Roman" w:eastAsia="方正仿宋_GBK" w:cs="Times New Roman"/>
          <w:sz w:val="32"/>
          <w:szCs w:val="32"/>
        </w:rPr>
        <w:t>指单位结转下年的基本支出结转、项目支出结转和结余、经营结余。</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（九）基本支出：</w:t>
      </w:r>
      <w:r>
        <w:rPr>
          <w:rFonts w:hint="default" w:ascii="Times New Roman" w:hAnsi="Times New Roman" w:eastAsia="方正仿宋_GBK" w:cs="Times New Roman"/>
          <w:sz w:val="32"/>
          <w:szCs w:val="32"/>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工资福利支出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对个人和家庭的补助</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；公用经费指政府收支分类经济科目中除</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工资福利支出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对个人和家庭的补助</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外的其他支出。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（十）项目支出：</w:t>
      </w:r>
      <w:r>
        <w:rPr>
          <w:rFonts w:hint="default"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（十一）经营支出：</w:t>
      </w:r>
      <w:r>
        <w:rPr>
          <w:rFonts w:hint="default" w:ascii="Times New Roman" w:hAnsi="Times New Roman" w:eastAsia="方正仿宋_GBK" w:cs="Times New Roman"/>
          <w:sz w:val="32"/>
          <w:szCs w:val="32"/>
        </w:rPr>
        <w:t>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（十二）</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三公</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（十三）机关运行经费：</w:t>
      </w:r>
      <w:r>
        <w:rPr>
          <w:rFonts w:hint="default" w:ascii="Times New Roman" w:hAnsi="Times New Roman" w:eastAsia="方正仿宋_GBK" w:cs="Times New Roman"/>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（十四）工资福利支出（支出经济分类科目类级）：</w:t>
      </w:r>
      <w:r>
        <w:rPr>
          <w:rFonts w:hint="default" w:ascii="Times New Roman" w:hAnsi="Times New Roman" w:eastAsia="方正仿宋_GBK" w:cs="Times New Roman"/>
          <w:sz w:val="32"/>
          <w:szCs w:val="32"/>
        </w:rPr>
        <w:t>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（十五）商品和服务支出（支出经济分类科目类级）：</w:t>
      </w:r>
      <w:r>
        <w:rPr>
          <w:rFonts w:hint="default" w:ascii="Times New Roman" w:hAnsi="Times New Roman" w:eastAsia="方正仿宋_GBK" w:cs="Times New Roman"/>
          <w:sz w:val="32"/>
          <w:szCs w:val="32"/>
        </w:rPr>
        <w:t>反映单位购买商品和服务的支出（不包括用于购置固定资产的支出、战略性和应急储备支出）。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（十六）对个人和家庭的补助（支出经济分类科目类级）：</w:t>
      </w:r>
      <w:r>
        <w:rPr>
          <w:rFonts w:hint="default" w:ascii="Times New Roman" w:hAnsi="Times New Roman" w:eastAsia="方正仿宋_GBK" w:cs="Times New Roman"/>
          <w:sz w:val="32"/>
          <w:szCs w:val="32"/>
        </w:rPr>
        <w:t>反映用于对个人和家庭的补助支出。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（十七）其他资本性支出（支出经济分类科目类级）：</w:t>
      </w:r>
      <w:r>
        <w:rPr>
          <w:rFonts w:hint="default" w:ascii="Times New Roman" w:hAnsi="Times New Roman" w:eastAsia="方正仿宋_GBK" w:cs="Times New Roman"/>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七、决算公开联系方式及信息反馈渠道</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本单位决算公开信息反馈和联系</w:t>
      </w:r>
      <w:r>
        <w:rPr>
          <w:rFonts w:hint="default" w:ascii="Times New Roman" w:hAnsi="Times New Roman" w:eastAsia="方正仿宋_GBK" w:cs="Times New Roman"/>
          <w:sz w:val="32"/>
          <w:szCs w:val="32"/>
          <w:lang w:val="en-US" w:eastAsia="zh-CN"/>
        </w:rPr>
        <w:t>方式</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023-48882728</w:t>
      </w:r>
      <w:r>
        <w:rPr>
          <w:rFonts w:hint="eastAsia" w:ascii="Times New Roman" w:hAnsi="Times New Roman" w:eastAsia="方正仿宋_GBK" w:cs="Times New Roman"/>
          <w:sz w:val="32"/>
          <w:szCs w:val="32"/>
          <w:lang w:val="en-US" w:eastAsia="zh-CN"/>
        </w:rPr>
        <w:t>。</w:t>
      </w:r>
      <w:bookmarkEnd w:id="0"/>
    </w:p>
    <w:sectPr>
      <w:headerReference r:id="rId3" w:type="default"/>
      <w:footerReference r:id="rId4" w:type="default"/>
      <w:pgSz w:w="11907" w:h="16839"/>
      <w:pgMar w:top="2098" w:right="1474" w:bottom="1984" w:left="1587" w:header="850" w:footer="1474"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34"/>
    <w:family w:val="auto"/>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w:pict>
        <v:shape id="_x0000_s1029" o:spid="_x0000_s1029" o:spt="202" type="#_x0000_t202" style="position:absolute;left:0pt;margin-top:0pt;height:144pt;width:144pt;mso-position-horizontal:outside;mso-position-horizontal-relative:margin;mso-wrap-style:none;z-index:251660288;mso-width-relative:page;mso-height-relative:page;" filled="f" stroked="f" coordsize="21600,21600" o:allowoverlap="f">
          <v:path/>
          <v:fill on="f" focussize="0,0"/>
          <v:stroke on="f" weight="0.5pt"/>
          <v:imagedata o:title=""/>
          <o:lock v:ext="edit" aspectratio="f"/>
          <v:textbox inset="0mm,0mm,0mm,0mm" style="mso-fit-shape-to-text:t;">
            <w:txbxContent>
              <w:p>
                <w:pPr>
                  <w:pStyle w:val="4"/>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10</w:t>
                </w:r>
                <w:r>
                  <w:rPr>
                    <w:rFonts w:hint="default"/>
                    <w:sz w:val="28"/>
                    <w:szCs w:val="28"/>
                  </w:rPr>
                  <w:fldChar w:fldCharType="end"/>
                </w:r>
                <w:r>
                  <w:rPr>
                    <w:rFonts w:hint="default"/>
                    <w:sz w:val="28"/>
                    <w:szCs w:val="28"/>
                  </w:rPr>
                  <w:t xml:space="preserve"> —</w:t>
                </w:r>
              </w:p>
            </w:txbxContent>
          </v:textbox>
        </v:shape>
      </w:pict>
    </w:r>
    <w:r>
      <w:rPr>
        <w:rFonts w:hint="default"/>
      </w:rPr>
      <w:pict>
        <v:shape id="_x0000_s1030" o:spid="_x0000_s1030"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4"/>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HorizontalSpacing w:val="120"/>
  <w:drawingGridVerticalSpacing w:val="164"/>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NhMDRjMjE4N2ViNDQzYjVmODRhM2E2MWUyOWRlNmEifQ=="/>
    <w:docVar w:name="KSO_WPS_MARK_KEY" w:val="c404a3f9-ea12-46ed-add9-10936444df7e"/>
  </w:docVars>
  <w:rsids>
    <w:rsidRoot w:val="00B03CCD"/>
    <w:rsid w:val="001D3BB7"/>
    <w:rsid w:val="002B254B"/>
    <w:rsid w:val="00466C9B"/>
    <w:rsid w:val="00550ABE"/>
    <w:rsid w:val="00770383"/>
    <w:rsid w:val="007819D4"/>
    <w:rsid w:val="007B419D"/>
    <w:rsid w:val="007B7C4B"/>
    <w:rsid w:val="007D3D39"/>
    <w:rsid w:val="00994AF7"/>
    <w:rsid w:val="009B67B8"/>
    <w:rsid w:val="009D2B67"/>
    <w:rsid w:val="00A53015"/>
    <w:rsid w:val="00A566F9"/>
    <w:rsid w:val="00AF2751"/>
    <w:rsid w:val="00B03CCD"/>
    <w:rsid w:val="00BE2B89"/>
    <w:rsid w:val="00C10E9E"/>
    <w:rsid w:val="00C20C3E"/>
    <w:rsid w:val="00F73F90"/>
    <w:rsid w:val="01474EBF"/>
    <w:rsid w:val="01F3521E"/>
    <w:rsid w:val="02D82FBB"/>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7A4477"/>
    <w:rsid w:val="098305D0"/>
    <w:rsid w:val="0A3317EA"/>
    <w:rsid w:val="0A5C4B69"/>
    <w:rsid w:val="0A86124A"/>
    <w:rsid w:val="0AB54CC0"/>
    <w:rsid w:val="0B9335CE"/>
    <w:rsid w:val="0BC8771C"/>
    <w:rsid w:val="0BF2311A"/>
    <w:rsid w:val="0C553E89"/>
    <w:rsid w:val="0C7927C4"/>
    <w:rsid w:val="0C9B098C"/>
    <w:rsid w:val="0D673E11"/>
    <w:rsid w:val="0DDA54E4"/>
    <w:rsid w:val="0E3A5F83"/>
    <w:rsid w:val="0EE02FCE"/>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51D4537"/>
    <w:rsid w:val="163A6CEE"/>
    <w:rsid w:val="173708E3"/>
    <w:rsid w:val="17C374FC"/>
    <w:rsid w:val="182E4AB6"/>
    <w:rsid w:val="189079DC"/>
    <w:rsid w:val="189B0D0B"/>
    <w:rsid w:val="18B43F7C"/>
    <w:rsid w:val="18E35B95"/>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172EB5"/>
    <w:rsid w:val="1F2C5189"/>
    <w:rsid w:val="1F3F70AB"/>
    <w:rsid w:val="1F4B0B02"/>
    <w:rsid w:val="1FBB35CD"/>
    <w:rsid w:val="1FCD26AF"/>
    <w:rsid w:val="20642787"/>
    <w:rsid w:val="210B5C89"/>
    <w:rsid w:val="21556F04"/>
    <w:rsid w:val="21964A27"/>
    <w:rsid w:val="21C15FD6"/>
    <w:rsid w:val="222B4109"/>
    <w:rsid w:val="22403BD3"/>
    <w:rsid w:val="238B1303"/>
    <w:rsid w:val="24B92327"/>
    <w:rsid w:val="24C14514"/>
    <w:rsid w:val="2533755C"/>
    <w:rsid w:val="25791755"/>
    <w:rsid w:val="26396DF4"/>
    <w:rsid w:val="27167136"/>
    <w:rsid w:val="271B442C"/>
    <w:rsid w:val="27B23302"/>
    <w:rsid w:val="29014FED"/>
    <w:rsid w:val="29310A5F"/>
    <w:rsid w:val="29C37A35"/>
    <w:rsid w:val="2A076083"/>
    <w:rsid w:val="2A73162E"/>
    <w:rsid w:val="2B167953"/>
    <w:rsid w:val="2B200583"/>
    <w:rsid w:val="2B8209DE"/>
    <w:rsid w:val="2C636760"/>
    <w:rsid w:val="2C6762A3"/>
    <w:rsid w:val="2D1951FD"/>
    <w:rsid w:val="2D7F1DD8"/>
    <w:rsid w:val="2E7D38EB"/>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6A5533"/>
    <w:rsid w:val="38BE4696"/>
    <w:rsid w:val="3939115E"/>
    <w:rsid w:val="39B82A39"/>
    <w:rsid w:val="39C42CA8"/>
    <w:rsid w:val="39DC4FD6"/>
    <w:rsid w:val="39F03D7A"/>
    <w:rsid w:val="39F33306"/>
    <w:rsid w:val="3A2C1C67"/>
    <w:rsid w:val="3ADD7F09"/>
    <w:rsid w:val="3B1705E5"/>
    <w:rsid w:val="3B18334B"/>
    <w:rsid w:val="3B36794F"/>
    <w:rsid w:val="3B6F6EE0"/>
    <w:rsid w:val="3B936B4F"/>
    <w:rsid w:val="3C566AD6"/>
    <w:rsid w:val="3C594871"/>
    <w:rsid w:val="3C6A5B02"/>
    <w:rsid w:val="3D2757A1"/>
    <w:rsid w:val="3D3D4FC4"/>
    <w:rsid w:val="3DDF3AB1"/>
    <w:rsid w:val="3DF52F89"/>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BA0E65"/>
    <w:rsid w:val="42E86A87"/>
    <w:rsid w:val="43000F6E"/>
    <w:rsid w:val="43307B09"/>
    <w:rsid w:val="439A3EB9"/>
    <w:rsid w:val="43BB152F"/>
    <w:rsid w:val="44C37687"/>
    <w:rsid w:val="45CB699A"/>
    <w:rsid w:val="465B470D"/>
    <w:rsid w:val="469D6AD4"/>
    <w:rsid w:val="46D14EBB"/>
    <w:rsid w:val="46F006F8"/>
    <w:rsid w:val="471E6C84"/>
    <w:rsid w:val="4748792B"/>
    <w:rsid w:val="475D719D"/>
    <w:rsid w:val="47674801"/>
    <w:rsid w:val="48225EF7"/>
    <w:rsid w:val="488F422B"/>
    <w:rsid w:val="48E36915"/>
    <w:rsid w:val="48EB6572"/>
    <w:rsid w:val="495C4A24"/>
    <w:rsid w:val="496833C9"/>
    <w:rsid w:val="497135DF"/>
    <w:rsid w:val="4A263DF2"/>
    <w:rsid w:val="4A6F6675"/>
    <w:rsid w:val="4B135857"/>
    <w:rsid w:val="4B7951CB"/>
    <w:rsid w:val="4B7C315C"/>
    <w:rsid w:val="4DAC4ACA"/>
    <w:rsid w:val="4DBE01D2"/>
    <w:rsid w:val="4F0C6BA3"/>
    <w:rsid w:val="4F186D58"/>
    <w:rsid w:val="4F361BAB"/>
    <w:rsid w:val="50F06B6E"/>
    <w:rsid w:val="50FE1712"/>
    <w:rsid w:val="51D21804"/>
    <w:rsid w:val="51EA3F60"/>
    <w:rsid w:val="52234D33"/>
    <w:rsid w:val="522F6E0C"/>
    <w:rsid w:val="52463BA1"/>
    <w:rsid w:val="52F163D4"/>
    <w:rsid w:val="531A2DB4"/>
    <w:rsid w:val="53C0244D"/>
    <w:rsid w:val="53DD4D4E"/>
    <w:rsid w:val="53E578CE"/>
    <w:rsid w:val="541330F0"/>
    <w:rsid w:val="54272666"/>
    <w:rsid w:val="543B029D"/>
    <w:rsid w:val="54861779"/>
    <w:rsid w:val="54CE4EFE"/>
    <w:rsid w:val="54FB1595"/>
    <w:rsid w:val="552256E1"/>
    <w:rsid w:val="554A389F"/>
    <w:rsid w:val="554E5773"/>
    <w:rsid w:val="555829E0"/>
    <w:rsid w:val="555A3CBC"/>
    <w:rsid w:val="5582012B"/>
    <w:rsid w:val="558E4E05"/>
    <w:rsid w:val="55BE2E85"/>
    <w:rsid w:val="56530F5D"/>
    <w:rsid w:val="567700D3"/>
    <w:rsid w:val="56FF7E9E"/>
    <w:rsid w:val="578867FC"/>
    <w:rsid w:val="5842572D"/>
    <w:rsid w:val="5A3B59D6"/>
    <w:rsid w:val="5A4E903F"/>
    <w:rsid w:val="5AD134D8"/>
    <w:rsid w:val="5C263CE4"/>
    <w:rsid w:val="5C5D2777"/>
    <w:rsid w:val="5CBF101D"/>
    <w:rsid w:val="5CF66BF3"/>
    <w:rsid w:val="5D290C69"/>
    <w:rsid w:val="5EA762EA"/>
    <w:rsid w:val="5F2D4A41"/>
    <w:rsid w:val="60C74F6C"/>
    <w:rsid w:val="60E27AAD"/>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AE10DD5"/>
    <w:rsid w:val="6B474EF5"/>
    <w:rsid w:val="6C0A5AC5"/>
    <w:rsid w:val="6C4E4660"/>
    <w:rsid w:val="6C560CAE"/>
    <w:rsid w:val="6C576495"/>
    <w:rsid w:val="6C706660"/>
    <w:rsid w:val="6C8870A8"/>
    <w:rsid w:val="6D903FF5"/>
    <w:rsid w:val="6DA955B8"/>
    <w:rsid w:val="6DD864C0"/>
    <w:rsid w:val="6DE346AB"/>
    <w:rsid w:val="6DE5391A"/>
    <w:rsid w:val="6EFD1324"/>
    <w:rsid w:val="6F5A53AC"/>
    <w:rsid w:val="6F6F69B0"/>
    <w:rsid w:val="6FAC003D"/>
    <w:rsid w:val="6FE55E12"/>
    <w:rsid w:val="6FFB2E76"/>
    <w:rsid w:val="708F6F7F"/>
    <w:rsid w:val="70D94BD3"/>
    <w:rsid w:val="71C34D91"/>
    <w:rsid w:val="72DB435C"/>
    <w:rsid w:val="72E2613A"/>
    <w:rsid w:val="72F771F4"/>
    <w:rsid w:val="732D19AE"/>
    <w:rsid w:val="73934AD2"/>
    <w:rsid w:val="750837F0"/>
    <w:rsid w:val="754758CF"/>
    <w:rsid w:val="75996C0A"/>
    <w:rsid w:val="764F62AB"/>
    <w:rsid w:val="765C45EC"/>
    <w:rsid w:val="768A7619"/>
    <w:rsid w:val="76FB321F"/>
    <w:rsid w:val="772E1EBA"/>
    <w:rsid w:val="781926BC"/>
    <w:rsid w:val="796D60A4"/>
    <w:rsid w:val="79A031D5"/>
    <w:rsid w:val="7A1525F7"/>
    <w:rsid w:val="7B2A6819"/>
    <w:rsid w:val="7B420052"/>
    <w:rsid w:val="7BD06A28"/>
    <w:rsid w:val="7C3A7C0B"/>
    <w:rsid w:val="7C46764A"/>
    <w:rsid w:val="7C5248E4"/>
    <w:rsid w:val="7C566698"/>
    <w:rsid w:val="7C5866A3"/>
    <w:rsid w:val="7D7406BB"/>
    <w:rsid w:val="7DE94331"/>
    <w:rsid w:val="7E235535"/>
    <w:rsid w:val="7EA67F14"/>
    <w:rsid w:val="7F446A19"/>
    <w:rsid w:val="7F7452B9"/>
    <w:rsid w:val="AEFF9D64"/>
    <w:rsid w:val="FB45F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ind w:leftChars="100" w:rightChars="100"/>
    </w:pPr>
  </w:style>
  <w:style w:type="paragraph" w:styleId="3">
    <w:name w:val="Balloon Text"/>
    <w:basedOn w:val="1"/>
    <w:link w:val="18"/>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一级标题"/>
    <w:basedOn w:val="1"/>
    <w:qFormat/>
    <w:uiPriority w:val="0"/>
    <w:pPr>
      <w:spacing w:line="600" w:lineRule="exact"/>
    </w:pPr>
    <w:rPr>
      <w:rFonts w:ascii="Calibri" w:hAnsi="Calibri" w:eastAsia="方正黑体_GBK" w:cs="宋体"/>
      <w:szCs w:val="32"/>
    </w:rPr>
  </w:style>
  <w:style w:type="paragraph" w:customStyle="1" w:styleId="13">
    <w:name w:val="公文正文"/>
    <w:basedOn w:val="12"/>
    <w:qFormat/>
    <w:uiPriority w:val="0"/>
    <w:rPr>
      <w:rFonts w:eastAsia="方正仿宋_GBK"/>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0"/>
    <w:link w:val="3"/>
    <w:qFormat/>
    <w:uiPriority w:val="0"/>
    <w:rPr>
      <w:rFonts w:ascii="宋体" w:hAnsi="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8087</Words>
  <Characters>9568</Characters>
  <Lines>190</Lines>
  <Paragraphs>53</Paragraphs>
  <TotalTime>7</TotalTime>
  <ScaleCrop>false</ScaleCrop>
  <LinksUpToDate>false</LinksUpToDate>
  <CharactersWithSpaces>10581</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2024-07-12T02:00:00Z</dcterms:created>
  <dc:creator>Administrator</dc:creator>
  <cp:lastModifiedBy>guest</cp:lastModifiedBy>
  <cp:lastPrinted>2025-10-21T23:27:00Z</cp:lastPrinted>
  <dcterms:modified xsi:type="dcterms:W3CDTF">2025-10-22T10:28:56Z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BB46EABDBB2749749395447164B066B3_12</vt:lpwstr>
  </property>
</Properties>
</file>