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jc w:val="center"/>
        <w:textAlignment w:val="auto"/>
        <w:rPr>
          <w:rFonts w:hint="eastAsia" w:ascii="方正小标宋_GBK" w:hAnsi="方正小标宋_GBK" w:eastAsia="方正小标宋_GBK" w:cs="方正小标宋_GBK"/>
          <w:kern w:val="0"/>
          <w:sz w:val="44"/>
          <w:szCs w:val="44"/>
        </w:rPr>
      </w:pPr>
      <w:r>
        <w:rPr>
          <w:rStyle w:val="18"/>
          <w:rFonts w:hint="eastAsia" w:ascii="方正小标宋_GBK" w:hAnsi="方正小标宋_GBK" w:eastAsia="方正小标宋_GBK" w:cs="方正小标宋_GBK"/>
          <w:b/>
          <w:bCs/>
          <w:sz w:val="44"/>
          <w:szCs w:val="44"/>
          <w:shd w:val="clear" w:fill="FFFFFF"/>
        </w:rPr>
        <w:t>重庆市綦江区通惠街道综合行政执法大队</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jc w:val="center"/>
        <w:textAlignment w:val="auto"/>
        <w:rPr>
          <w:rFonts w:hint="eastAsia" w:ascii="方正小标宋_GBK" w:hAnsi="方正小标宋_GBK" w:eastAsia="方正小标宋_GBK" w:cs="方正小标宋_GBK"/>
          <w:kern w:val="0"/>
          <w:sz w:val="44"/>
          <w:szCs w:val="44"/>
        </w:rPr>
      </w:pPr>
      <w:r>
        <w:rPr>
          <w:rStyle w:val="18"/>
          <w:rFonts w:hint="eastAsia" w:ascii="方正小标宋_GBK" w:hAnsi="方正小标宋_GBK" w:eastAsia="方正小标宋_GBK" w:cs="方正小标宋_GBK"/>
          <w:b/>
          <w:bCs/>
          <w:sz w:val="44"/>
          <w:szCs w:val="44"/>
          <w:shd w:val="clear" w:fill="FFFFFF"/>
        </w:rPr>
        <w:t>2022年度部门决算情况说明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一、部门基本情况</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（一）职能职责</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根据《中共重庆市綦江区委机构编制委员会关于印发</w:t>
      </w:r>
      <w:r>
        <w:rPr>
          <w:rFonts w:hint="default" w:ascii="Times New Roman" w:hAnsi="Times New Roman" w:eastAsia="方正仿宋_GBK" w:cs="Times New Roman"/>
          <w:kern w:val="0"/>
          <w:sz w:val="32"/>
          <w:szCs w:val="32"/>
          <w:shd w:val="clear" w:fill="FFFFFF"/>
        </w:rPr>
        <w:t>&lt;</w:t>
      </w:r>
      <w:r>
        <w:rPr>
          <w:rFonts w:hint="eastAsia" w:ascii="方正仿宋_GBK" w:hAnsi="方正仿宋_GBK" w:eastAsia="方正仿宋_GBK" w:cs="方正仿宋_GBK"/>
          <w:kern w:val="0"/>
          <w:sz w:val="32"/>
          <w:szCs w:val="32"/>
          <w:shd w:val="clear" w:fill="FFFFFF"/>
        </w:rPr>
        <w:t>重庆市綦江区通惠街道综合办事机构和事业单位机构编制方案</w:t>
      </w:r>
      <w:r>
        <w:rPr>
          <w:rFonts w:hint="default" w:ascii="Times New Roman" w:hAnsi="Times New Roman" w:eastAsia="方正仿宋_GBK" w:cs="Times New Roman"/>
          <w:kern w:val="0"/>
          <w:sz w:val="32"/>
          <w:szCs w:val="32"/>
          <w:shd w:val="clear" w:fill="FFFFFF"/>
        </w:rPr>
        <w:t>&gt;</w:t>
      </w:r>
      <w:r>
        <w:rPr>
          <w:rFonts w:hint="eastAsia" w:ascii="方正仿宋_GBK" w:hAnsi="方正仿宋_GBK" w:eastAsia="方正仿宋_GBK" w:cs="方正仿宋_GBK"/>
          <w:kern w:val="0"/>
          <w:sz w:val="32"/>
          <w:szCs w:val="32"/>
          <w:shd w:val="clear" w:fill="FFFFFF"/>
        </w:rPr>
        <w:t>的通知》（綦委编</w:t>
      </w:r>
      <w:r>
        <w:rPr>
          <w:rFonts w:hint="default" w:ascii="Times New Roman" w:hAnsi="Times New Roman" w:eastAsia="方正仿宋_GBK" w:cs="Times New Roman"/>
          <w:kern w:val="0"/>
          <w:sz w:val="32"/>
          <w:szCs w:val="32"/>
          <w:shd w:val="clear" w:fill="FFFFFF"/>
        </w:rPr>
        <w:t>[2020]2</w:t>
      </w:r>
      <w:r>
        <w:rPr>
          <w:rFonts w:hint="eastAsia" w:ascii="方正仿宋_GBK" w:hAnsi="方正仿宋_GBK" w:eastAsia="方正仿宋_GBK" w:cs="方正仿宋_GBK"/>
          <w:kern w:val="0"/>
          <w:sz w:val="32"/>
          <w:szCs w:val="32"/>
          <w:shd w:val="clear" w:fill="FFFFFF"/>
        </w:rPr>
        <w:t>号）文件精神，本单位主要职能职责有：</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主要负责集中行使依法授权或委托的农林水利、规划建设、卫生健康、环境保护、文化旅游等领域的行政执法权。综合行政执法办公室与综合行政执法大队统筹运行。</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（二）机构设置</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根据《中共重庆市綦江区委机构编制委员会关于印发</w:t>
      </w:r>
      <w:r>
        <w:rPr>
          <w:rFonts w:hint="default" w:ascii="Times New Roman" w:hAnsi="Times New Roman" w:eastAsia="方正仿宋_GBK" w:cs="Times New Roman"/>
          <w:kern w:val="0"/>
          <w:sz w:val="32"/>
          <w:szCs w:val="32"/>
          <w:shd w:val="clear" w:fill="FFFFFF"/>
        </w:rPr>
        <w:t>&lt;</w:t>
      </w:r>
      <w:r>
        <w:rPr>
          <w:rFonts w:hint="eastAsia" w:ascii="方正仿宋_GBK" w:hAnsi="方正仿宋_GBK" w:eastAsia="方正仿宋_GBK" w:cs="方正仿宋_GBK"/>
          <w:kern w:val="0"/>
          <w:sz w:val="32"/>
          <w:szCs w:val="32"/>
          <w:shd w:val="clear" w:fill="FFFFFF"/>
        </w:rPr>
        <w:t>重庆市綦江区通惠街道综合办事机构和事业单位机构编制方案</w:t>
      </w:r>
      <w:r>
        <w:rPr>
          <w:rFonts w:hint="default" w:ascii="Times New Roman" w:hAnsi="Times New Roman" w:eastAsia="方正仿宋_GBK" w:cs="Times New Roman"/>
          <w:kern w:val="0"/>
          <w:sz w:val="32"/>
          <w:szCs w:val="32"/>
          <w:shd w:val="clear" w:fill="FFFFFF"/>
        </w:rPr>
        <w:t>&gt;</w:t>
      </w:r>
      <w:r>
        <w:rPr>
          <w:rFonts w:hint="eastAsia" w:ascii="方正仿宋_GBK" w:hAnsi="方正仿宋_GBK" w:eastAsia="方正仿宋_GBK" w:cs="方正仿宋_GBK"/>
          <w:kern w:val="0"/>
          <w:sz w:val="32"/>
          <w:szCs w:val="32"/>
          <w:shd w:val="clear" w:fill="FFFFFF"/>
        </w:rPr>
        <w:t>的通知》（綦委编</w:t>
      </w:r>
      <w:r>
        <w:rPr>
          <w:rFonts w:hint="default" w:ascii="Times New Roman" w:hAnsi="Times New Roman" w:eastAsia="方正仿宋_GBK" w:cs="Times New Roman"/>
          <w:kern w:val="0"/>
          <w:sz w:val="32"/>
          <w:szCs w:val="32"/>
          <w:shd w:val="clear" w:fill="FFFFFF"/>
        </w:rPr>
        <w:t>[2020]2</w:t>
      </w:r>
      <w:r>
        <w:rPr>
          <w:rFonts w:hint="eastAsia" w:ascii="方正仿宋_GBK" w:hAnsi="方正仿宋_GBK" w:eastAsia="方正仿宋_GBK" w:cs="方正仿宋_GBK"/>
          <w:kern w:val="0"/>
          <w:sz w:val="32"/>
          <w:szCs w:val="32"/>
          <w:shd w:val="clear" w:fill="FFFFFF"/>
        </w:rPr>
        <w:t>号）文件精神，本单位设事业单位</w:t>
      </w: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个，是综合行政执法大队。</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二、部门决算情况说明</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（一）收入支出决算总体情况说明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总体情况。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年度收入总计</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万元，支出总计</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万元。收支较上年决算数增加</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收入情况。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年度收入合计</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，主要原因是为衔接预算管理一体化，乡镇由统一核算改为独立核算，本年度为新增单位，无上年度数据。其中：财政拨款收入</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100%</w:t>
      </w:r>
      <w:r>
        <w:rPr>
          <w:rFonts w:hint="eastAsia" w:ascii="方正仿宋_GBK" w:hAnsi="方正仿宋_GBK" w:eastAsia="方正仿宋_GBK" w:cs="方正仿宋_GBK"/>
          <w:kern w:val="0"/>
          <w:sz w:val="32"/>
          <w:szCs w:val="32"/>
          <w:shd w:val="clear" w:fill="FFFFFF"/>
        </w:rPr>
        <w:t>。此外，使用非财政拨款结余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万元，年初结转和结余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支出情况。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年度支出合计</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万元，较上年决算增加</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，主要原因是为衔接预算管理一体化，乡镇由统一核算改为独立核算，本年度为新增单位，无上年度数据。其中：基本支出</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100%</w:t>
      </w:r>
      <w:r>
        <w:rPr>
          <w:rFonts w:hint="eastAsia" w:ascii="方正仿宋_GBK" w:hAnsi="方正仿宋_GBK" w:eastAsia="方正仿宋_GBK" w:cs="方正仿宋_GBK"/>
          <w:kern w:val="0"/>
          <w:sz w:val="32"/>
          <w:szCs w:val="32"/>
          <w:shd w:val="clear" w:fill="FFFFFF"/>
        </w:rPr>
        <w:t>。此外，结余分配</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结转结余情况。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年度年末无结转结余。</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（二）财政拨款收入支出决算总体情况说明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年度财政拨款收、支总计</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万元。与</w:t>
      </w:r>
      <w:r>
        <w:rPr>
          <w:rFonts w:hint="default" w:ascii="Times New Roman" w:hAnsi="Times New Roman" w:eastAsia="方正仿宋_GBK" w:cs="Times New Roman"/>
          <w:kern w:val="0"/>
          <w:sz w:val="32"/>
          <w:szCs w:val="32"/>
          <w:shd w:val="clear" w:fill="FFFFFF"/>
        </w:rPr>
        <w:t>2021</w:t>
      </w:r>
      <w:r>
        <w:rPr>
          <w:rFonts w:hint="eastAsia" w:ascii="方正仿宋_GBK" w:hAnsi="方正仿宋_GBK" w:eastAsia="方正仿宋_GBK" w:cs="方正仿宋_GBK"/>
          <w:kern w:val="0"/>
          <w:sz w:val="32"/>
          <w:szCs w:val="32"/>
          <w:shd w:val="clear" w:fill="FFFFFF"/>
        </w:rPr>
        <w:t>年相比，财政拨款收、支总计各增加</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（三）一般公共预算财政拨款收入支出决算情况说明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收入情况。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年度一般公共预算财政拨款收入</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。主要原因是为衔接预算管理一体化，乡镇由统一核算改为独立核算，本年度为新增单位，无上年度数据。较年初预算数增加</w:t>
      </w:r>
      <w:r>
        <w:rPr>
          <w:rFonts w:hint="default" w:ascii="Times New Roman" w:hAnsi="Times New Roman" w:eastAsia="方正仿宋_GBK" w:cs="Times New Roman"/>
          <w:kern w:val="0"/>
          <w:sz w:val="32"/>
          <w:szCs w:val="32"/>
          <w:shd w:val="clear" w:fill="FFFFFF"/>
        </w:rPr>
        <w:t>12.92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16.2%</w:t>
      </w:r>
      <w:r>
        <w:rPr>
          <w:rFonts w:hint="eastAsia" w:ascii="方正仿宋_GBK" w:hAnsi="方正仿宋_GBK" w:eastAsia="方正仿宋_GBK" w:cs="方正仿宋_GBK"/>
          <w:kern w:val="0"/>
          <w:sz w:val="32"/>
          <w:szCs w:val="32"/>
          <w:shd w:val="clear" w:fill="FFFFFF"/>
        </w:rPr>
        <w:t>。主要原因是</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年度调标增资，相关工资、五险一金等人员类经费增加。此外，年初财政拨款结转和结余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支出情况。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年度一般公共预算财政拨款支出</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。主要原因是为衔接预算管理一体化，乡镇由统一核算改为独立核算，本年度为新增单位，无上年度数据。较年初预算数增加</w:t>
      </w:r>
      <w:r>
        <w:rPr>
          <w:rFonts w:hint="default" w:ascii="Times New Roman" w:hAnsi="Times New Roman" w:eastAsia="方正仿宋_GBK" w:cs="Times New Roman"/>
          <w:kern w:val="0"/>
          <w:sz w:val="32"/>
          <w:szCs w:val="32"/>
          <w:shd w:val="clear" w:fill="FFFFFF"/>
        </w:rPr>
        <w:t>12.92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16.2%</w:t>
      </w:r>
      <w:r>
        <w:rPr>
          <w:rFonts w:hint="eastAsia" w:ascii="方正仿宋_GBK" w:hAnsi="方正仿宋_GBK" w:eastAsia="方正仿宋_GBK" w:cs="方正仿宋_GBK"/>
          <w:kern w:val="0"/>
          <w:sz w:val="32"/>
          <w:szCs w:val="32"/>
          <w:shd w:val="clear" w:fill="FFFFFF"/>
        </w:rPr>
        <w:t>。主要原因是</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年度调标增资，相关工资、五险一金等人员类经费增加。</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结转结余情况。</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年度年末一般公共预算财政拨款结转和结余</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年度年末无一般公共预算财政拨款结转和结余。</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比较情况。本部门</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年度一般公共预算财政拨款支出主要用于以下几个方面：</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）社会保障与就业支出</w:t>
      </w:r>
      <w:r>
        <w:rPr>
          <w:rFonts w:hint="default" w:ascii="Times New Roman" w:hAnsi="Times New Roman" w:eastAsia="方正仿宋_GBK" w:cs="Times New Roman"/>
          <w:kern w:val="0"/>
          <w:sz w:val="32"/>
          <w:szCs w:val="32"/>
          <w:shd w:val="clear" w:fill="FFFFFF"/>
        </w:rPr>
        <w:t>9.16</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9.9%</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1.32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16.8%</w:t>
      </w:r>
      <w:r>
        <w:rPr>
          <w:rFonts w:hint="eastAsia" w:ascii="方正仿宋_GBK" w:hAnsi="方正仿宋_GBK" w:eastAsia="方正仿宋_GBK" w:cs="方正仿宋_GBK"/>
          <w:kern w:val="0"/>
          <w:sz w:val="32"/>
          <w:szCs w:val="32"/>
          <w:shd w:val="clear" w:fill="FFFFFF"/>
        </w:rPr>
        <w:t>，主要原因是养老保险支出较年初预算数增加。</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）卫生健康支出</w:t>
      </w:r>
      <w:r>
        <w:rPr>
          <w:rFonts w:hint="default" w:ascii="Times New Roman" w:hAnsi="Times New Roman" w:eastAsia="方正仿宋_GBK" w:cs="Times New Roman"/>
          <w:kern w:val="0"/>
          <w:sz w:val="32"/>
          <w:szCs w:val="32"/>
          <w:shd w:val="clear" w:fill="FFFFFF"/>
        </w:rPr>
        <w:t>4.27</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4.6%</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0.76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21.7%</w:t>
      </w:r>
      <w:r>
        <w:rPr>
          <w:rFonts w:hint="eastAsia" w:ascii="方正仿宋_GBK" w:hAnsi="方正仿宋_GBK" w:eastAsia="方正仿宋_GBK" w:cs="方正仿宋_GBK"/>
          <w:kern w:val="0"/>
          <w:sz w:val="32"/>
          <w:szCs w:val="32"/>
          <w:shd w:val="clear" w:fill="FFFFFF"/>
        </w:rPr>
        <w:t>，主要原因是医疗保险支出较年初预算数增加。</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）城乡社区支出</w:t>
      </w:r>
      <w:r>
        <w:rPr>
          <w:rFonts w:hint="default" w:ascii="Times New Roman" w:hAnsi="Times New Roman" w:eastAsia="方正仿宋_GBK" w:cs="Times New Roman"/>
          <w:kern w:val="0"/>
          <w:sz w:val="32"/>
          <w:szCs w:val="32"/>
          <w:shd w:val="clear" w:fill="FFFFFF"/>
        </w:rPr>
        <w:t>74.73</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80.6%</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9.88</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15.2%</w:t>
      </w:r>
      <w:r>
        <w:rPr>
          <w:rFonts w:hint="eastAsia" w:ascii="方正仿宋_GBK" w:hAnsi="方正仿宋_GBK" w:eastAsia="方正仿宋_GBK" w:cs="方正仿宋_GBK"/>
          <w:kern w:val="0"/>
          <w:sz w:val="32"/>
          <w:szCs w:val="32"/>
          <w:shd w:val="clear" w:fill="FFFFFF"/>
        </w:rPr>
        <w:t>，主要原因是调标增资，相关薪酬类人员经费支出增加。</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）住房保障支出</w:t>
      </w:r>
      <w:r>
        <w:rPr>
          <w:rFonts w:hint="default" w:ascii="Times New Roman" w:hAnsi="Times New Roman" w:eastAsia="方正仿宋_GBK" w:cs="Times New Roman"/>
          <w:kern w:val="0"/>
          <w:sz w:val="32"/>
          <w:szCs w:val="32"/>
          <w:shd w:val="clear" w:fill="FFFFFF"/>
        </w:rPr>
        <w:t>4.58</w:t>
      </w:r>
      <w:r>
        <w:rPr>
          <w:rFonts w:hint="eastAsia" w:ascii="方正仿宋_GBK" w:hAnsi="方正仿宋_GBK" w:eastAsia="方正仿宋_GBK" w:cs="方正仿宋_GBK"/>
          <w:kern w:val="0"/>
          <w:sz w:val="32"/>
          <w:szCs w:val="32"/>
          <w:shd w:val="clear" w:fill="FFFFFF"/>
        </w:rPr>
        <w:t>万元，占</w:t>
      </w:r>
      <w:r>
        <w:rPr>
          <w:rFonts w:hint="default" w:ascii="Times New Roman" w:hAnsi="Times New Roman" w:eastAsia="方正仿宋_GBK" w:cs="Times New Roman"/>
          <w:kern w:val="0"/>
          <w:sz w:val="32"/>
          <w:szCs w:val="32"/>
          <w:shd w:val="clear" w:fill="FFFFFF"/>
        </w:rPr>
        <w:t>4.9%</w:t>
      </w:r>
      <w:r>
        <w:rPr>
          <w:rFonts w:hint="eastAsia" w:ascii="方正仿宋_GBK" w:hAnsi="方正仿宋_GBK" w:eastAsia="方正仿宋_GBK" w:cs="方正仿宋_GBK"/>
          <w:kern w:val="0"/>
          <w:sz w:val="32"/>
          <w:szCs w:val="32"/>
          <w:shd w:val="clear" w:fill="FFFFFF"/>
        </w:rPr>
        <w:t>，较年初预算数增加</w:t>
      </w:r>
      <w:r>
        <w:rPr>
          <w:rFonts w:hint="default" w:ascii="Times New Roman" w:hAnsi="Times New Roman" w:eastAsia="方正仿宋_GBK" w:cs="Times New Roman"/>
          <w:kern w:val="0"/>
          <w:sz w:val="32"/>
          <w:szCs w:val="32"/>
          <w:shd w:val="clear" w:fill="FFFFFF"/>
        </w:rPr>
        <w:t>0.96</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26.5%</w:t>
      </w:r>
      <w:r>
        <w:rPr>
          <w:rFonts w:hint="eastAsia" w:ascii="方正仿宋_GBK" w:hAnsi="方正仿宋_GBK" w:eastAsia="方正仿宋_GBK" w:cs="方正仿宋_GBK"/>
          <w:kern w:val="0"/>
          <w:sz w:val="32"/>
          <w:szCs w:val="32"/>
          <w:shd w:val="clear" w:fill="FFFFFF"/>
        </w:rPr>
        <w:t>，主要原因是住房公积金支出较年初预算数增加。</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（四）一般公共预算财政拨款基本支出决算情况说明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年度一般公共预算财政拨款基本支出</w:t>
      </w:r>
      <w:r>
        <w:rPr>
          <w:rFonts w:hint="default" w:ascii="Times New Roman" w:hAnsi="Times New Roman" w:eastAsia="方正仿宋_GBK" w:cs="Times New Roman"/>
          <w:kern w:val="0"/>
          <w:sz w:val="32"/>
          <w:szCs w:val="32"/>
          <w:shd w:val="clear" w:fill="FFFFFF"/>
        </w:rPr>
        <w:t>92.74</w:t>
      </w:r>
      <w:r>
        <w:rPr>
          <w:rFonts w:hint="eastAsia" w:ascii="方正仿宋_GBK" w:hAnsi="方正仿宋_GBK" w:eastAsia="方正仿宋_GBK" w:cs="方正仿宋_GBK"/>
          <w:kern w:val="0"/>
          <w:sz w:val="32"/>
          <w:szCs w:val="32"/>
          <w:shd w:val="clear" w:fill="FFFFFF"/>
        </w:rPr>
        <w:t>万元。其中：人员经费</w:t>
      </w:r>
      <w:r>
        <w:rPr>
          <w:rFonts w:hint="default" w:ascii="Times New Roman" w:hAnsi="Times New Roman" w:eastAsia="方正仿宋_GBK" w:cs="Times New Roman"/>
          <w:kern w:val="0"/>
          <w:sz w:val="32"/>
          <w:szCs w:val="32"/>
          <w:shd w:val="clear" w:fill="FFFFFF"/>
        </w:rPr>
        <w:t>79.25</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79.25</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，主要原因是为衔接预算管理一体化，乡镇由统一核算改为独立核算，本年度为新增单位，无上年度数据。人员经费用途主要包括人员工资、绩效、津补贴、社保和公积金等。公用经费</w:t>
      </w:r>
      <w:r>
        <w:rPr>
          <w:rFonts w:hint="default" w:ascii="Times New Roman" w:hAnsi="Times New Roman" w:eastAsia="方正仿宋_GBK" w:cs="Times New Roman"/>
          <w:kern w:val="0"/>
          <w:sz w:val="32"/>
          <w:szCs w:val="32"/>
          <w:shd w:val="clear" w:fill="FFFFFF"/>
        </w:rPr>
        <w:t>13.50</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13.50</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，主要原因是为衔接预算管理一体化，乡镇由统一核算改为独立核算，本年度为新增单位，无上年度数据。公用经费用途主要包括办公费、会议费、培训费、印刷费、工会经费等。</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（五）政府性基金预算收支决算情况说明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年度无政府性基金预算财政拨款收支。</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（六）国有资本经营预算财政拨款支出决算情况说明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年度无国有资本经营预算财政拨款支出。</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三、“三公”经费情况说明</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（一）“三公”经费支出总体情况说明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年度“三公”经费支出共计</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年度未发生“三公”经费支出。</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（二）“三公”经费分项支出情况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年度本部门因公出国（境）费用</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年度未发生因公出国（境）费用。</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公务车购置费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年度未发生公务车购置费用。</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公务车运行维护费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年度未发生公务车运行维护费用。</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公务接待费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万元，费用支出较年初预算数增加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万元，较上年支出数增加</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万元，本单位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年度未发生公务接待费用。</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（三）“三公”经费实物量情况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年度本部门因公出国（境）共计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个团组，</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人；公务用车购置</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辆，公务车保有量为</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辆；国内公务接待</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批次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人，其中：国内外事接待</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批次，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人；国（境）外公务接待</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批次，</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人。</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年本部门人均接待费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元，车均购置费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万元，车均维护费</w:t>
      </w:r>
      <w:r>
        <w:rPr>
          <w:rFonts w:hint="default"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四、其他需要说明的事项</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（一）财政拨款会议费和培训费情况说明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本年度会议费支出</w:t>
      </w:r>
      <w:r>
        <w:rPr>
          <w:rFonts w:hint="default" w:ascii="Times New Roman" w:hAnsi="Times New Roman" w:eastAsia="方正仿宋_GBK" w:cs="Times New Roman"/>
          <w:kern w:val="0"/>
          <w:sz w:val="32"/>
          <w:szCs w:val="32"/>
          <w:shd w:val="clear" w:fill="FFFFFF"/>
        </w:rPr>
        <w:t>0.12</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0.12</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，主要原因是为衔接预算管理一体化，乡镇由统一核算改为独立核算，本年度为新增单位，无上年度数据。本年度培训费支出</w:t>
      </w:r>
      <w:r>
        <w:rPr>
          <w:rFonts w:hint="default" w:ascii="Times New Roman" w:hAnsi="Times New Roman" w:eastAsia="方正仿宋_GBK" w:cs="Times New Roman"/>
          <w:kern w:val="0"/>
          <w:sz w:val="32"/>
          <w:szCs w:val="32"/>
          <w:shd w:val="clear" w:fill="FFFFFF"/>
        </w:rPr>
        <w:t>0.57</w:t>
      </w:r>
      <w:r>
        <w:rPr>
          <w:rFonts w:hint="eastAsia" w:ascii="方正仿宋_GBK" w:hAnsi="方正仿宋_GBK" w:eastAsia="方正仿宋_GBK" w:cs="方正仿宋_GBK"/>
          <w:kern w:val="0"/>
          <w:sz w:val="32"/>
          <w:szCs w:val="32"/>
          <w:shd w:val="clear" w:fill="FFFFFF"/>
        </w:rPr>
        <w:t>万元，较上年决算数增加</w:t>
      </w:r>
      <w:r>
        <w:rPr>
          <w:rFonts w:hint="default" w:ascii="Times New Roman" w:hAnsi="Times New Roman" w:eastAsia="方正仿宋_GBK" w:cs="Times New Roman"/>
          <w:kern w:val="0"/>
          <w:sz w:val="32"/>
          <w:szCs w:val="32"/>
          <w:shd w:val="clear" w:fill="FFFFFF"/>
        </w:rPr>
        <w:t>0.57</w:t>
      </w:r>
      <w:r>
        <w:rPr>
          <w:rFonts w:hint="eastAsia" w:ascii="方正仿宋_GBK" w:hAnsi="方正仿宋_GBK" w:eastAsia="方正仿宋_GBK" w:cs="方正仿宋_GBK"/>
          <w:kern w:val="0"/>
          <w:sz w:val="32"/>
          <w:szCs w:val="32"/>
          <w:shd w:val="clear" w:fill="FFFFFF"/>
        </w:rPr>
        <w:t>万元，增长</w:t>
      </w:r>
      <w:r>
        <w:rPr>
          <w:rFonts w:hint="default" w:ascii="Times New Roman" w:hAnsi="Times New Roman" w:eastAsia="方正仿宋_GBK" w:cs="Times New Roman"/>
          <w:kern w:val="0"/>
          <w:sz w:val="32"/>
          <w:szCs w:val="32"/>
          <w:shd w:val="clear" w:fill="FFFFFF"/>
        </w:rPr>
        <w:t>100.0%</w:t>
      </w:r>
      <w:r>
        <w:rPr>
          <w:rFonts w:hint="eastAsia" w:ascii="方正仿宋_GBK" w:hAnsi="方正仿宋_GBK" w:eastAsia="方正仿宋_GBK" w:cs="方正仿宋_GBK"/>
          <w:kern w:val="0"/>
          <w:sz w:val="32"/>
          <w:szCs w:val="32"/>
          <w:shd w:val="clear" w:fill="FFFFFF"/>
        </w:rPr>
        <w:t>，主要原因是为衔接预算管理一体化，乡镇由统一核算改为独立核算，本年度为新增单位，无上年度数据。</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（二）机关运行经费支出情况说明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（三）国有资产占用情况说明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截至</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w:t>
      </w:r>
      <w:r>
        <w:rPr>
          <w:rFonts w:hint="default" w:ascii="Times New Roman" w:hAnsi="Times New Roman" w:eastAsia="方正仿宋_GBK" w:cs="Times New Roman"/>
          <w:kern w:val="0"/>
          <w:sz w:val="32"/>
          <w:szCs w:val="32"/>
          <w:shd w:val="clear" w:fill="FFFFFF"/>
        </w:rPr>
        <w:t>12</w:t>
      </w:r>
      <w:r>
        <w:rPr>
          <w:rFonts w:hint="eastAsia" w:ascii="方正仿宋_GBK" w:hAnsi="方正仿宋_GBK" w:eastAsia="方正仿宋_GBK" w:cs="方正仿宋_GBK"/>
          <w:kern w:val="0"/>
          <w:sz w:val="32"/>
          <w:szCs w:val="32"/>
          <w:shd w:val="clear" w:fill="FFFFFF"/>
        </w:rPr>
        <w:t>月</w:t>
      </w:r>
      <w:r>
        <w:rPr>
          <w:rFonts w:hint="default" w:ascii="Times New Roman" w:hAnsi="Times New Roman" w:eastAsia="方正仿宋_GBK" w:cs="Times New Roman"/>
          <w:kern w:val="0"/>
          <w:sz w:val="32"/>
          <w:szCs w:val="32"/>
          <w:shd w:val="clear" w:fill="FFFFFF"/>
        </w:rPr>
        <w:t>31</w:t>
      </w:r>
      <w:r>
        <w:rPr>
          <w:rFonts w:hint="eastAsia" w:ascii="方正仿宋_GBK" w:hAnsi="方正仿宋_GBK" w:eastAsia="方正仿宋_GBK" w:cs="方正仿宋_GBK"/>
          <w:kern w:val="0"/>
          <w:sz w:val="32"/>
          <w:szCs w:val="32"/>
          <w:shd w:val="clear" w:fill="FFFFFF"/>
        </w:rPr>
        <w:t>日，本部门共有车辆</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辆，其中，副部（省）级及以上领导用车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辆、主要领导干部用车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辆、机要通信用车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辆、应急保障用车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辆、执法执勤用车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辆，特种专业技术用车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辆，离退休干部用车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辆，其他用车</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辆，单价</w:t>
      </w:r>
      <w:r>
        <w:rPr>
          <w:rFonts w:hint="default" w:ascii="Times New Roman" w:hAnsi="Times New Roman" w:eastAsia="方正仿宋_GBK" w:cs="Times New Roman"/>
          <w:kern w:val="0"/>
          <w:sz w:val="32"/>
          <w:szCs w:val="32"/>
          <w:shd w:val="clear" w:fill="FFFFFF"/>
        </w:rPr>
        <w:t>100</w:t>
      </w:r>
      <w:r>
        <w:rPr>
          <w:rFonts w:hint="eastAsia" w:ascii="方正仿宋_GBK" w:hAnsi="方正仿宋_GBK" w:eastAsia="方正仿宋_GBK" w:cs="方正仿宋_GBK"/>
          <w:kern w:val="0"/>
          <w:sz w:val="32"/>
          <w:szCs w:val="32"/>
          <w:shd w:val="clear" w:fill="FFFFFF"/>
        </w:rPr>
        <w:t>万元（含）以上设备（不含车辆）</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台（套）。</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楷体_GBK" w:cs="Times New Roman"/>
          <w:kern w:val="0"/>
          <w:sz w:val="32"/>
          <w:szCs w:val="32"/>
          <w:shd w:val="clear" w:fill="FFFFFF"/>
        </w:rPr>
      </w:pPr>
      <w:r>
        <w:rPr>
          <w:rFonts w:hint="eastAsia" w:ascii="方正楷体_GBK" w:hAnsi="方正楷体_GBK" w:eastAsia="方正楷体_GBK" w:cs="方正楷体_GBK"/>
          <w:kern w:val="0"/>
          <w:sz w:val="32"/>
          <w:szCs w:val="32"/>
          <w:shd w:val="clear" w:fill="FFFFFF"/>
        </w:rPr>
        <w:t>（四）政府采购支出说明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年度我单位未发生政府采购事项，无相关经费支出。</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五、预算绩效管理情况说明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本单位为通惠街道办事处下属二级预算单位，</w:t>
      </w:r>
      <w:r>
        <w:rPr>
          <w:rFonts w:hint="default" w:ascii="Times New Roman" w:hAnsi="Times New Roman" w:eastAsia="方正仿宋_GBK" w:cs="Times New Roman"/>
          <w:kern w:val="0"/>
          <w:sz w:val="32"/>
          <w:szCs w:val="32"/>
          <w:shd w:val="clear" w:fill="FFFFFF"/>
        </w:rPr>
        <w:t>2022</w:t>
      </w:r>
      <w:r>
        <w:rPr>
          <w:rFonts w:hint="eastAsia" w:ascii="方正仿宋_GBK" w:hAnsi="方正仿宋_GBK" w:eastAsia="方正仿宋_GBK" w:cs="方正仿宋_GBK"/>
          <w:kern w:val="0"/>
          <w:sz w:val="32"/>
          <w:szCs w:val="32"/>
          <w:shd w:val="clear" w:fill="FFFFFF"/>
        </w:rPr>
        <w:t>年度无项目支出，未开展预算绩效管理。</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六、专业名词解释</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（一）财政拨款收入：指本年度从本级财政部门取得的财政拨款，包括一般公共预算财政拨款和政府性基金预算财政拨款。</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（二）事业收入：指事业单位开展专业业务活动及其辅助活动取得的现金流入；事业单位收到的财政专户实际核拨的教育收费等资金在此反映。</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（三）经营收入：指事业单位在专业业务活动及其辅助活动之外开展非独立核算经营活动取得的现金流入。</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（五）使用非财政拨款结余：指单位在当年的“财政拨款收入”、“事业收入”、“经营收入”、“其他收入”等不足以安排当年支出的情况下，使用以前年度积累的非财政拨款结余弥补本年度收支缺口的资金。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（六）年初结转和结余：指单位上年结转本年使用的基本支出结转、项目支出结转和结余、经营结余。</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（七）结余分配：指单位按照国家有关规定，缴纳所得税、提取专用基金、转入非财政拨款结余等当年结余的分配情况。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（八）年末结转和结余：指单位结转下年的基本支出结转、项目支出结转和结余、经营结余。</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（十）项目支出：指在基本支出之外为完成特定行政任务和事业发展目标所发生的支出。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（十一）经营支出：指事业单位在专业业务活动及其辅助活动之外开展非独立核算经营活动发生的支出。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（十四）工资福利支出（支出经济分类科目类级）：反映单位开支的在职职工和编制外长期聘用人员的各类劳动报酬，以及为上述人员缴纳的各项社会保险费等。</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（十五）商品和服务支出（支出经济分类科目类级）：反映单位购买商品和服务的支出（不包括用于购置固定资产的支出、战略性和应急储备支出）。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（十六）对个人和家庭的补助（支出经济分类科目类级）：反映用于对个人和家庭的补助支出。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黑体_GBK" w:cs="Times New Roman"/>
          <w:kern w:val="0"/>
          <w:sz w:val="32"/>
          <w:szCs w:val="32"/>
          <w:shd w:val="clear" w:fill="FFFFFF"/>
        </w:rPr>
      </w:pPr>
      <w:r>
        <w:rPr>
          <w:rFonts w:hint="eastAsia" w:ascii="方正黑体_GBK" w:hAnsi="方正黑体_GBK" w:eastAsia="方正黑体_GBK" w:cs="方正黑体_GBK"/>
          <w:kern w:val="0"/>
          <w:sz w:val="32"/>
          <w:szCs w:val="32"/>
          <w:shd w:val="clear" w:fill="FFFFFF"/>
        </w:rPr>
        <w:t>七、决算公开联系方式及信息反馈渠道</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right="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朱梦婷</w:t>
      </w:r>
      <w:r>
        <w:rPr>
          <w:rFonts w:hint="default" w:ascii="Times New Roman" w:hAnsi="Times New Roman" w:eastAsia="方正仿宋_GBK" w:cs="Times New Roman"/>
          <w:kern w:val="0"/>
          <w:sz w:val="32"/>
          <w:szCs w:val="32"/>
          <w:shd w:val="clear" w:fill="FFFFFF"/>
        </w:rPr>
        <w:t xml:space="preserve">   023-48882728</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2ZhZjUzMmMwOTEyMjZkYzM4ODMyNTY5ODBhYzQifQ=="/>
  </w:docVars>
  <w:rsids>
    <w:rsidRoot w:val="00000000"/>
    <w:rsid w:val="03B024F5"/>
    <w:rsid w:val="524C5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3">
    <w:name w:val="p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4">
    <w:name w:val="公文正文"/>
    <w:basedOn w:val="15"/>
    <w:uiPriority w:val="0"/>
    <w:pPr>
      <w:shd w:val="clear" w:fill="FFFFFF"/>
      <w:spacing w:before="0" w:beforeAutospacing="0" w:after="0" w:afterAutospacing="1" w:line="600" w:lineRule="exact"/>
      <w:ind w:left="0" w:right="0" w:firstLine="880" w:firstLineChars="200"/>
      <w:jc w:val="left"/>
    </w:pPr>
    <w:rPr>
      <w:rFonts w:hint="eastAsia" w:ascii="Times New Roman" w:hAnsi="Times New Roman" w:eastAsia="方正仿宋_GBK" w:cs="Times New Roman"/>
      <w:kern w:val="0"/>
      <w:sz w:val="32"/>
      <w:szCs w:val="32"/>
      <w:shd w:val="clear" w:fill="auto"/>
      <w:lang w:val="en-US" w:eastAsia="zh-CN" w:bidi="ar"/>
    </w:rPr>
  </w:style>
  <w:style w:type="paragraph" w:customStyle="1" w:styleId="15">
    <w:name w:val="一级标题"/>
    <w:basedOn w:val="1"/>
    <w:uiPriority w:val="0"/>
    <w:pPr>
      <w:shd w:val="clear" w:fill="FFFFFF"/>
      <w:spacing w:before="0" w:beforeAutospacing="0" w:after="0" w:afterAutospacing="1" w:line="600" w:lineRule="atLeast"/>
      <w:ind w:left="0" w:right="0" w:firstLine="880" w:firstLineChars="200"/>
      <w:jc w:val="left"/>
    </w:pPr>
    <w:rPr>
      <w:rFonts w:hint="eastAsia" w:ascii="Times New Roman" w:hAnsi="Times New Roman" w:eastAsia="方正黑体_GBK" w:cs="Times New Roman"/>
      <w:kern w:val="0"/>
      <w:sz w:val="32"/>
      <w:szCs w:val="32"/>
      <w:lang w:val="en-US" w:eastAsia="zh-CN" w:bidi="ar"/>
    </w:rPr>
  </w:style>
  <w:style w:type="character" w:customStyle="1" w:styleId="16">
    <w:name w:val="16"/>
    <w:basedOn w:val="11"/>
    <w:uiPriority w:val="0"/>
    <w:rPr>
      <w:rFonts w:hint="default" w:ascii="Times New Roman" w:hAnsi="Times New Roman" w:eastAsia="方正仿宋_GBK" w:cs="Times New Roman"/>
    </w:rPr>
  </w:style>
  <w:style w:type="character" w:customStyle="1" w:styleId="17">
    <w:name w:val="10"/>
    <w:basedOn w:val="11"/>
    <w:uiPriority w:val="0"/>
    <w:rPr>
      <w:rFonts w:hint="default" w:ascii="Times New Roman" w:hAnsi="Times New Roman" w:cs="Times New Roman"/>
    </w:rPr>
  </w:style>
  <w:style w:type="character" w:customStyle="1" w:styleId="18">
    <w:name w:val="15"/>
    <w:basedOn w:val="11"/>
    <w:uiPriority w:val="0"/>
    <w:rPr>
      <w:rFonts w:hint="default" w:ascii="Times New Roman" w:hAnsi="Times New Roman" w:cs="Times New Roman"/>
      <w:b/>
      <w:bCs/>
    </w:rPr>
  </w:style>
  <w:style w:type="character" w:customStyle="1" w:styleId="19">
    <w:name w:val="17"/>
    <w:basedOn w:val="11"/>
    <w:uiPriority w:val="0"/>
    <w:rPr>
      <w:rFonts w:hint="default" w:ascii="Times New Roman" w:hAnsi="Times New Roman" w:cs="Times New Roman"/>
    </w:rPr>
  </w:style>
  <w:style w:type="paragraph" w:customStyle="1" w:styleId="20">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1">
    <w:name w:val="二级标题"/>
    <w:basedOn w:val="1"/>
    <w:next w:val="1"/>
    <w:uiPriority w:val="0"/>
    <w:pPr>
      <w:shd w:val="clear" w:fill="FFFFFF"/>
      <w:spacing w:before="0" w:beforeAutospacing="0" w:after="0" w:afterAutospacing="1" w:line="600" w:lineRule="exact"/>
      <w:ind w:left="0" w:right="0" w:firstLine="880" w:firstLineChars="200"/>
      <w:jc w:val="left"/>
    </w:pPr>
    <w:rPr>
      <w:rFonts w:hint="eastAsia" w:ascii="Times New Roman" w:hAnsi="Times New Roman" w:eastAsia="方正楷体_GBK"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2023-10-26T08:35:35Z</dcterms:created>
  <dc:creator>Data</dc:creator>
  <cp:lastModifiedBy>asus</cp:lastModifiedBy>
  <dcterms:modified xsi:type="dcterms:W3CDTF">2023-10-26T08:35:57Z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9CC4CDEA5A1448908561C8B0F144B5FE_13</vt:lpwstr>
  </property>
</Properties>
</file>