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0" w:beforeAutospacing="0" w:after="0" w:afterAutospacing="0" w:line="596" w:lineRule="exact"/>
        <w:jc w:val="center"/>
        <w:rPr>
          <w:rFonts w:ascii="方正小标宋_GBK" w:hAnsi="方正小标宋_GBK" w:eastAsia="方正小标宋_GBK" w:cs="方正小标宋_GBK"/>
          <w:b w:val="0"/>
          <w:bCs w:val="0"/>
          <w:sz w:val="44"/>
          <w:szCs w:val="44"/>
        </w:rPr>
      </w:pPr>
      <w:r>
        <w:rPr>
          <w:rFonts w:ascii="方正小标宋_GBK" w:hAnsi="方正小标宋_GBK" w:eastAsia="方正小标宋_GBK" w:cs="方正小标宋_GBK"/>
          <w:b w:val="0"/>
          <w:bCs w:val="0"/>
          <w:sz w:val="44"/>
          <w:szCs w:val="44"/>
        </w:rPr>
        <w:t>重庆市綦江区三江街道便民服务中心（退役军人服务站）</w:t>
      </w:r>
    </w:p>
    <w:p>
      <w:pPr>
        <w:pStyle w:val="6"/>
        <w:spacing w:before="0" w:beforeAutospacing="0" w:after="0" w:afterAutospacing="0" w:line="596" w:lineRule="exact"/>
        <w:jc w:val="center"/>
        <w:rPr>
          <w:rFonts w:hint="default" w:ascii="方正小标宋_GBK" w:hAnsi="方正小标宋_GBK" w:eastAsia="方正小标宋_GBK" w:cs="方正小标宋_GBK"/>
          <w:b w:val="0"/>
          <w:bCs w:val="0"/>
          <w:sz w:val="44"/>
          <w:szCs w:val="44"/>
          <w:shd w:val="clear" w:color="auto" w:fill="FFFFFF"/>
        </w:rPr>
      </w:pPr>
      <w:r>
        <w:rPr>
          <w:rFonts w:hint="default" w:ascii="Times New Roman" w:hAnsi="Times New Roman" w:eastAsia="方正小标宋_GBK"/>
          <w:b w:val="0"/>
          <w:bCs w:val="0"/>
          <w:sz w:val="44"/>
          <w:szCs w:val="44"/>
          <w:shd w:val="clear" w:color="auto" w:fill="FFFFFF"/>
        </w:rPr>
        <w:t>2024</w:t>
      </w:r>
      <w:r>
        <w:rPr>
          <w:rFonts w:ascii="方正小标宋_GBK" w:hAnsi="方正小标宋_GBK" w:eastAsia="方正小标宋_GBK" w:cs="方正小标宋_GBK"/>
          <w:b w:val="0"/>
          <w:bCs w:val="0"/>
          <w:sz w:val="44"/>
          <w:szCs w:val="44"/>
          <w:shd w:val="clear" w:color="auto" w:fill="FFFFFF"/>
        </w:rPr>
        <w:t>年度决算公开说明</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一、</w:t>
      </w:r>
      <w:r>
        <w:rPr>
          <w:rStyle w:val="10"/>
          <w:rFonts w:hint="eastAsia" w:ascii="黑体" w:hAnsi="黑体" w:eastAsia="黑体" w:cs="黑体"/>
          <w:sz w:val="32"/>
          <w:szCs w:val="32"/>
          <w:shd w:val="clear" w:color="auto" w:fill="FFFFFF"/>
          <w:lang w:eastAsia="zh-CN"/>
        </w:rPr>
        <w:t>部门</w:t>
      </w:r>
      <w:r>
        <w:rPr>
          <w:rStyle w:val="10"/>
          <w:rFonts w:ascii="黑体" w:hAnsi="黑体" w:eastAsia="黑体" w:cs="黑体"/>
          <w:sz w:val="32"/>
          <w:szCs w:val="32"/>
          <w:shd w:val="clear" w:color="auto" w:fill="FFFFFF"/>
        </w:rPr>
        <w:t>基本情况</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1．主要职能。</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主要负责劳动就业、社会保障、城乡医保、退休人员社会化服务和管理等工作。负责宣传贯彻落实社会保障、劳动就业等相关法律法规政策；承担农村劳务综合开发、管理工作；承担城乡医保、城乡养老的参保筹资工作；协助开展劳动监察执法、劳动争议调解等劳动权益保障服务工作；指导村、社区开展退休人员社会化管理服务工作；指导村、社区开展劳动就业与社会保障工作。</w:t>
      </w:r>
    </w:p>
    <w:p>
      <w:pPr>
        <w:numPr>
          <w:ilvl w:val="0"/>
          <w:numId w:val="1"/>
        </w:num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机构情况，包括当年变动情况及原因。</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Style w:val="10"/>
          <w:rFonts w:hint="eastAsia" w:ascii="方正仿宋_GBK" w:hAnsi="方正仿宋_GBK" w:eastAsia="方正仿宋_GBK" w:cs="方正仿宋_GBK"/>
          <w:b w:val="0"/>
          <w:bCs/>
          <w:sz w:val="32"/>
          <w:szCs w:val="32"/>
          <w:shd w:val="clear" w:color="auto" w:fill="FFFFFF"/>
        </w:rPr>
      </w:pPr>
      <w:r>
        <w:rPr>
          <w:rFonts w:hint="eastAsia" w:ascii="方正仿宋_GBK" w:hAnsi="方正仿宋_GBK" w:eastAsia="方正仿宋_GBK" w:cs="方正仿宋_GBK"/>
          <w:color w:val="auto"/>
          <w:sz w:val="32"/>
          <w:szCs w:val="32"/>
          <w:shd w:val="clear" w:color="auto" w:fill="auto"/>
        </w:rPr>
        <w:t>本单位设事业单位1个，是便民服务中心（退役军人服务站）。</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二、</w:t>
      </w:r>
      <w:r>
        <w:rPr>
          <w:rStyle w:val="10"/>
          <w:rFonts w:hint="eastAsia" w:ascii="黑体" w:hAnsi="黑体" w:eastAsia="黑体" w:cs="黑体"/>
          <w:sz w:val="32"/>
          <w:szCs w:val="32"/>
          <w:shd w:val="clear" w:color="auto" w:fill="FFFFFF"/>
          <w:lang w:eastAsia="zh-CN"/>
        </w:rPr>
        <w:t>部门</w:t>
      </w:r>
      <w:r>
        <w:rPr>
          <w:rStyle w:val="10"/>
          <w:rFonts w:ascii="黑体" w:hAnsi="黑体" w:eastAsia="黑体" w:cs="黑体"/>
          <w:sz w:val="32"/>
          <w:szCs w:val="32"/>
          <w:shd w:val="clear" w:color="auto" w:fill="FFFFFF"/>
        </w:rPr>
        <w:t>决算</w:t>
      </w:r>
      <w:r>
        <w:rPr>
          <w:rStyle w:val="10"/>
          <w:rFonts w:hint="eastAsia" w:ascii="黑体" w:hAnsi="黑体" w:eastAsia="黑体" w:cs="黑体"/>
          <w:sz w:val="32"/>
          <w:szCs w:val="32"/>
          <w:shd w:val="clear" w:color="auto" w:fill="FFFFFF"/>
          <w:lang w:eastAsia="zh-CN"/>
        </w:rPr>
        <w:t>收支</w:t>
      </w:r>
      <w:r>
        <w:rPr>
          <w:rStyle w:val="10"/>
          <w:rFonts w:ascii="黑体" w:hAnsi="黑体" w:eastAsia="黑体" w:cs="黑体"/>
          <w:sz w:val="32"/>
          <w:szCs w:val="32"/>
          <w:shd w:val="clear" w:color="auto" w:fill="FFFFFF"/>
        </w:rPr>
        <w:t>情况说明</w:t>
      </w:r>
    </w:p>
    <w:p>
      <w:pPr>
        <w:snapToGrid w:val="0"/>
        <w:spacing w:line="520" w:lineRule="exact"/>
        <w:ind w:firstLine="643" w:firstLineChars="200"/>
        <w:rPr>
          <w:rFonts w:ascii="楷体_GB2312" w:hAnsi="仿宋" w:eastAsia="楷体_GB2312"/>
          <w:b/>
          <w:sz w:val="32"/>
          <w:szCs w:val="32"/>
        </w:rPr>
      </w:pPr>
      <w:r>
        <w:rPr>
          <w:rFonts w:hint="eastAsia" w:ascii="楷体_GB2312" w:hAnsi="仿宋" w:eastAsia="楷体_GB2312"/>
          <w:b/>
          <w:sz w:val="32"/>
          <w:szCs w:val="32"/>
        </w:rPr>
        <w:t>（一）</w:t>
      </w:r>
      <w:r>
        <w:rPr>
          <w:rFonts w:hint="eastAsia" w:ascii="方正楷体_GBK" w:hAnsi="方正楷体_GBK" w:eastAsia="方正楷体_GBK" w:cs="方正楷体_GBK"/>
          <w:b/>
          <w:bCs/>
          <w:color w:val="auto"/>
          <w:sz w:val="32"/>
          <w:szCs w:val="32"/>
          <w:shd w:val="clear" w:color="auto" w:fill="auto"/>
        </w:rPr>
        <w:t>收入支出决算总体情况说明</w:t>
      </w:r>
    </w:p>
    <w:p>
      <w:pPr>
        <w:snapToGrid w:val="0"/>
        <w:spacing w:line="520" w:lineRule="exact"/>
        <w:ind w:firstLine="643" w:firstLineChars="200"/>
        <w:rPr>
          <w:rFonts w:hint="eastAsia" w:ascii="方正仿宋_GBK" w:hAnsi="方正仿宋_GBK" w:eastAsia="方正仿宋_GBK" w:cs="方正仿宋_GBK"/>
          <w:color w:val="auto"/>
          <w:sz w:val="32"/>
          <w:szCs w:val="32"/>
          <w:lang w:val="en-US" w:eastAsia="zh-CN"/>
        </w:rPr>
      </w:pPr>
      <w:r>
        <w:rPr>
          <w:rStyle w:val="10"/>
          <w:rFonts w:hint="eastAsia" w:ascii="方正仿宋_GBK" w:hAnsi="方正仿宋_GBK" w:eastAsia="方正仿宋_GBK" w:cs="方正仿宋_GBK"/>
          <w:color w:val="auto"/>
          <w:sz w:val="32"/>
          <w:szCs w:val="32"/>
        </w:rPr>
        <w:t>1.总体情况。</w:t>
      </w:r>
      <w:r>
        <w:rPr>
          <w:rFonts w:hint="eastAsia" w:ascii="方正仿宋_GBK" w:hAnsi="方正仿宋_GBK" w:eastAsia="方正仿宋_GBK" w:cs="方正仿宋_GBK"/>
          <w:color w:val="auto"/>
          <w:sz w:val="32"/>
          <w:szCs w:val="32"/>
        </w:rPr>
        <w:t>202</w:t>
      </w:r>
      <w:r>
        <w:rPr>
          <w:rFonts w:hint="eastAsia" w:ascii="方正仿宋_GBK" w:hAnsi="方正仿宋_GBK" w:eastAsia="方正仿宋_GBK" w:cs="方正仿宋_GBK"/>
          <w:color w:val="auto"/>
          <w:sz w:val="32"/>
          <w:szCs w:val="32"/>
          <w:lang w:val="en-US" w:eastAsia="zh-CN"/>
        </w:rPr>
        <w:t>4</w:t>
      </w:r>
      <w:r>
        <w:rPr>
          <w:rFonts w:hint="eastAsia" w:ascii="方正仿宋_GBK" w:hAnsi="方正仿宋_GBK" w:eastAsia="方正仿宋_GBK" w:cs="方正仿宋_GBK"/>
          <w:color w:val="auto"/>
          <w:sz w:val="32"/>
          <w:szCs w:val="32"/>
        </w:rPr>
        <w:t>度收入总计</w:t>
      </w:r>
      <w:r>
        <w:rPr>
          <w:rFonts w:hint="eastAsia" w:ascii="仿宋_GB2312" w:hAnsi="仿宋" w:eastAsia="仿宋_GB2312"/>
          <w:sz w:val="32"/>
          <w:szCs w:val="32"/>
          <w:lang w:val="en-US" w:eastAsia="zh-CN"/>
        </w:rPr>
        <w:t>212.32</w:t>
      </w:r>
      <w:r>
        <w:rPr>
          <w:rFonts w:hint="eastAsia" w:ascii="方正仿宋_GBK" w:hAnsi="方正仿宋_GBK" w:eastAsia="方正仿宋_GBK" w:cs="方正仿宋_GBK"/>
          <w:color w:val="auto"/>
          <w:sz w:val="32"/>
          <w:szCs w:val="32"/>
        </w:rPr>
        <w:t>万元，支出总计</w:t>
      </w:r>
      <w:r>
        <w:rPr>
          <w:rFonts w:hint="eastAsia" w:ascii="仿宋_GB2312" w:hAnsi="仿宋" w:eastAsia="仿宋_GB2312"/>
          <w:sz w:val="32"/>
          <w:szCs w:val="32"/>
          <w:lang w:val="en-US" w:eastAsia="zh-CN"/>
        </w:rPr>
        <w:t>212.32</w:t>
      </w:r>
      <w:r>
        <w:rPr>
          <w:rFonts w:hint="eastAsia" w:ascii="方正仿宋_GBK" w:hAnsi="方正仿宋_GBK" w:eastAsia="方正仿宋_GBK" w:cs="方正仿宋_GBK"/>
          <w:color w:val="auto"/>
          <w:sz w:val="32"/>
          <w:szCs w:val="32"/>
        </w:rPr>
        <w:t>万元。收支较上年决算数</w:t>
      </w:r>
      <w:r>
        <w:rPr>
          <w:rFonts w:hint="eastAsia" w:ascii="仿宋_GB2312" w:hAnsi="仿宋" w:eastAsia="仿宋_GB2312"/>
          <w:sz w:val="32"/>
          <w:szCs w:val="32"/>
          <w:lang w:val="en-US" w:eastAsia="zh-CN"/>
        </w:rPr>
        <w:t>增加100.52</w:t>
      </w:r>
      <w:r>
        <w:rPr>
          <w:rFonts w:hint="eastAsia" w:ascii="仿宋_GB2312" w:hAnsi="仿宋" w:eastAsia="仿宋_GB2312"/>
          <w:sz w:val="32"/>
          <w:szCs w:val="32"/>
        </w:rPr>
        <w:t>万元，</w:t>
      </w:r>
      <w:r>
        <w:rPr>
          <w:rFonts w:hint="eastAsia" w:ascii="仿宋_GB2312" w:hAnsi="仿宋" w:eastAsia="仿宋_GB2312"/>
          <w:sz w:val="32"/>
          <w:szCs w:val="32"/>
          <w:lang w:val="en-US" w:eastAsia="zh-CN"/>
        </w:rPr>
        <w:t>上升89.91</w:t>
      </w:r>
      <w:r>
        <w:rPr>
          <w:rFonts w:hint="eastAsia" w:ascii="仿宋_GB2312" w:hAnsi="仿宋" w:eastAsia="仿宋_GB2312"/>
          <w:sz w:val="32"/>
          <w:szCs w:val="32"/>
        </w:rPr>
        <w:t>%，主要原因是今年上级政府性一般公共预算拨款数额增加，因此比去年上升。</w:t>
      </w:r>
    </w:p>
    <w:p>
      <w:pPr>
        <w:snapToGrid w:val="0"/>
        <w:spacing w:line="520" w:lineRule="exact"/>
        <w:ind w:firstLine="643" w:firstLineChars="200"/>
        <w:rPr>
          <w:rFonts w:hint="eastAsia" w:ascii="方正仿宋_GBK" w:hAnsi="方正仿宋_GBK" w:eastAsia="方正仿宋_GBK" w:cs="方正仿宋_GBK"/>
          <w:color w:val="auto"/>
          <w:sz w:val="32"/>
          <w:szCs w:val="32"/>
        </w:rPr>
      </w:pPr>
      <w:r>
        <w:rPr>
          <w:rStyle w:val="10"/>
          <w:rFonts w:hint="eastAsia" w:ascii="方正仿宋_GBK" w:hAnsi="方正仿宋_GBK" w:eastAsia="方正仿宋_GBK" w:cs="方正仿宋_GBK"/>
          <w:color w:val="auto"/>
          <w:sz w:val="32"/>
          <w:szCs w:val="32"/>
        </w:rPr>
        <w:t>2.收入情况。</w:t>
      </w:r>
      <w:r>
        <w:rPr>
          <w:rFonts w:hint="eastAsia" w:ascii="仿宋_GB2312" w:hAnsi="仿宋" w:eastAsia="仿宋_GB2312"/>
          <w:sz w:val="32"/>
          <w:szCs w:val="32"/>
        </w:rPr>
        <w:t>202</w:t>
      </w:r>
      <w:r>
        <w:rPr>
          <w:rFonts w:hint="eastAsia" w:ascii="仿宋_GB2312" w:hAnsi="仿宋" w:eastAsia="仿宋_GB2312"/>
          <w:sz w:val="32"/>
          <w:szCs w:val="32"/>
          <w:lang w:val="en-US" w:eastAsia="zh-CN"/>
        </w:rPr>
        <w:t>4</w:t>
      </w:r>
      <w:r>
        <w:rPr>
          <w:rFonts w:hint="eastAsia" w:ascii="仿宋_GB2312" w:hAnsi="仿宋" w:eastAsia="仿宋_GB2312"/>
          <w:sz w:val="32"/>
          <w:szCs w:val="32"/>
        </w:rPr>
        <w:t>年全年收入</w:t>
      </w:r>
      <w:r>
        <w:rPr>
          <w:rFonts w:hint="eastAsia" w:ascii="仿宋_GB2312" w:hAnsi="仿宋" w:eastAsia="仿宋_GB2312"/>
          <w:sz w:val="32"/>
          <w:szCs w:val="32"/>
          <w:lang w:val="en-US" w:eastAsia="zh-CN"/>
        </w:rPr>
        <w:t>212.32</w:t>
      </w:r>
      <w:r>
        <w:rPr>
          <w:rFonts w:hint="eastAsia" w:ascii="仿宋_GB2312" w:hAnsi="仿宋" w:eastAsia="仿宋_GB2312"/>
          <w:sz w:val="32"/>
          <w:szCs w:val="32"/>
        </w:rPr>
        <w:t>万元，比上年</w:t>
      </w:r>
      <w:r>
        <w:rPr>
          <w:rFonts w:hint="eastAsia" w:ascii="仿宋_GB2312" w:hAnsi="仿宋" w:eastAsia="仿宋_GB2312"/>
          <w:sz w:val="32"/>
          <w:szCs w:val="32"/>
          <w:lang w:val="en-US" w:eastAsia="zh-CN"/>
        </w:rPr>
        <w:t>增加100.52</w:t>
      </w:r>
      <w:r>
        <w:rPr>
          <w:rFonts w:hint="eastAsia" w:ascii="仿宋_GB2312" w:hAnsi="仿宋" w:eastAsia="仿宋_GB2312"/>
          <w:sz w:val="32"/>
          <w:szCs w:val="32"/>
        </w:rPr>
        <w:t>万元，</w:t>
      </w:r>
      <w:r>
        <w:rPr>
          <w:rFonts w:hint="eastAsia" w:ascii="仿宋_GB2312" w:hAnsi="仿宋" w:eastAsia="仿宋_GB2312"/>
          <w:sz w:val="32"/>
          <w:szCs w:val="32"/>
          <w:lang w:val="en-US" w:eastAsia="zh-CN"/>
        </w:rPr>
        <w:t>上升89.91</w:t>
      </w:r>
      <w:r>
        <w:rPr>
          <w:rFonts w:hint="eastAsia" w:ascii="仿宋_GB2312" w:hAnsi="仿宋" w:eastAsia="仿宋_GB2312"/>
          <w:sz w:val="32"/>
          <w:szCs w:val="32"/>
        </w:rPr>
        <w:t>%，主要原因是今年上级政府性一般公共预算拨款数额增加，因此比去年上升</w:t>
      </w:r>
      <w:r>
        <w:rPr>
          <w:rFonts w:hint="eastAsia" w:ascii="仿宋_GB2312" w:hAnsi="仿宋" w:eastAsia="仿宋_GB2312"/>
          <w:sz w:val="32"/>
          <w:szCs w:val="32"/>
          <w:lang w:eastAsia="zh-CN"/>
        </w:rPr>
        <w:t>。</w:t>
      </w:r>
    </w:p>
    <w:p>
      <w:pPr>
        <w:snapToGrid w:val="0"/>
        <w:spacing w:line="520" w:lineRule="exact"/>
        <w:ind w:firstLine="643" w:firstLineChars="200"/>
        <w:rPr>
          <w:rFonts w:hint="eastAsia" w:ascii="方正仿宋_GBK" w:hAnsi="方正仿宋_GBK" w:eastAsia="方正仿宋_GBK" w:cs="方正仿宋_GBK"/>
          <w:color w:val="auto"/>
          <w:sz w:val="32"/>
          <w:szCs w:val="32"/>
        </w:rPr>
      </w:pPr>
      <w:r>
        <w:rPr>
          <w:rStyle w:val="10"/>
          <w:rFonts w:hint="eastAsia" w:ascii="方正仿宋_GBK" w:hAnsi="方正仿宋_GBK" w:eastAsia="方正仿宋_GBK" w:cs="方正仿宋_GBK"/>
          <w:color w:val="auto"/>
          <w:sz w:val="32"/>
          <w:szCs w:val="32"/>
        </w:rPr>
        <w:t>3.支出情况。</w:t>
      </w:r>
      <w:r>
        <w:rPr>
          <w:rFonts w:hint="eastAsia" w:ascii="仿宋_GB2312" w:hAnsi="仿宋" w:eastAsia="仿宋_GB2312"/>
          <w:sz w:val="32"/>
          <w:szCs w:val="32"/>
        </w:rPr>
        <w:t>202</w:t>
      </w:r>
      <w:r>
        <w:rPr>
          <w:rFonts w:hint="eastAsia" w:ascii="仿宋_GB2312" w:hAnsi="仿宋" w:eastAsia="仿宋_GB2312"/>
          <w:sz w:val="32"/>
          <w:szCs w:val="32"/>
          <w:lang w:val="en-US" w:eastAsia="zh-CN"/>
        </w:rPr>
        <w:t>4</w:t>
      </w:r>
      <w:r>
        <w:rPr>
          <w:rFonts w:hint="eastAsia" w:ascii="仿宋_GB2312" w:hAnsi="仿宋" w:eastAsia="仿宋_GB2312"/>
          <w:sz w:val="32"/>
          <w:szCs w:val="32"/>
        </w:rPr>
        <w:t>年全年支出</w:t>
      </w:r>
      <w:r>
        <w:rPr>
          <w:rFonts w:hint="eastAsia" w:ascii="仿宋_GB2312" w:hAnsi="仿宋" w:eastAsia="仿宋_GB2312"/>
          <w:sz w:val="32"/>
          <w:szCs w:val="32"/>
          <w:lang w:val="en-US" w:eastAsia="zh-CN"/>
        </w:rPr>
        <w:t>212.32</w:t>
      </w:r>
      <w:r>
        <w:rPr>
          <w:rFonts w:hint="eastAsia" w:ascii="仿宋_GB2312" w:hAnsi="仿宋" w:eastAsia="仿宋_GB2312"/>
          <w:sz w:val="32"/>
          <w:szCs w:val="32"/>
        </w:rPr>
        <w:t>万元，比上年</w:t>
      </w:r>
      <w:r>
        <w:rPr>
          <w:rFonts w:hint="eastAsia" w:ascii="仿宋_GB2312" w:hAnsi="仿宋" w:eastAsia="仿宋_GB2312"/>
          <w:sz w:val="32"/>
          <w:szCs w:val="32"/>
          <w:lang w:val="en-US" w:eastAsia="zh-CN"/>
        </w:rPr>
        <w:t>增加100.52</w:t>
      </w:r>
      <w:r>
        <w:rPr>
          <w:rFonts w:hint="eastAsia" w:ascii="仿宋_GB2312" w:hAnsi="仿宋" w:eastAsia="仿宋_GB2312"/>
          <w:sz w:val="32"/>
          <w:szCs w:val="32"/>
        </w:rPr>
        <w:t>万元，</w:t>
      </w:r>
      <w:r>
        <w:rPr>
          <w:rFonts w:hint="eastAsia" w:ascii="仿宋_GB2312" w:hAnsi="仿宋" w:eastAsia="仿宋_GB2312"/>
          <w:sz w:val="32"/>
          <w:szCs w:val="32"/>
          <w:lang w:val="en-US" w:eastAsia="zh-CN"/>
        </w:rPr>
        <w:t>上升89.91</w:t>
      </w:r>
      <w:r>
        <w:rPr>
          <w:rFonts w:hint="eastAsia" w:ascii="仿宋_GB2312" w:hAnsi="仿宋" w:eastAsia="仿宋_GB2312"/>
          <w:sz w:val="32"/>
          <w:szCs w:val="32"/>
        </w:rPr>
        <w:t>%，主要原因是今年上级政府性一般公共预算拨款数额增加，因此比去年上升。</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方正仿宋_GBK" w:hAnsi="方正仿宋_GBK" w:eastAsia="方正仿宋_GBK" w:cs="方正仿宋_GBK"/>
          <w:color w:val="auto"/>
          <w:sz w:val="32"/>
          <w:szCs w:val="32"/>
        </w:rPr>
      </w:pPr>
      <w:r>
        <w:rPr>
          <w:rStyle w:val="10"/>
          <w:rFonts w:hint="eastAsia" w:ascii="方正仿宋_GBK" w:hAnsi="方正仿宋_GBK" w:eastAsia="方正仿宋_GBK" w:cs="方正仿宋_GBK"/>
          <w:color w:val="auto"/>
          <w:sz w:val="32"/>
          <w:szCs w:val="32"/>
        </w:rPr>
        <w:t>4.结转结余情况。</w:t>
      </w:r>
      <w:r>
        <w:rPr>
          <w:rFonts w:hint="eastAsia" w:ascii="方正仿宋_GBK" w:hAnsi="方正仿宋_GBK" w:eastAsia="方正仿宋_GBK" w:cs="方正仿宋_GBK"/>
          <w:color w:val="auto"/>
          <w:sz w:val="32"/>
          <w:szCs w:val="32"/>
        </w:rPr>
        <w:t>202</w:t>
      </w:r>
      <w:r>
        <w:rPr>
          <w:rFonts w:hint="eastAsia" w:ascii="方正仿宋_GBK" w:hAnsi="方正仿宋_GBK" w:eastAsia="方正仿宋_GBK" w:cs="方正仿宋_GBK"/>
          <w:color w:val="auto"/>
          <w:sz w:val="32"/>
          <w:szCs w:val="32"/>
          <w:lang w:val="en-US" w:eastAsia="zh-CN"/>
        </w:rPr>
        <w:t>4</w:t>
      </w:r>
      <w:r>
        <w:rPr>
          <w:rFonts w:hint="eastAsia" w:ascii="方正仿宋_GBK" w:hAnsi="方正仿宋_GBK" w:eastAsia="方正仿宋_GBK" w:cs="方正仿宋_GBK"/>
          <w:color w:val="auto"/>
          <w:sz w:val="32"/>
          <w:szCs w:val="32"/>
        </w:rPr>
        <w:t>年度年末结转和结余0.00万元，较上年决算数增加0.00万元，增长</w:t>
      </w:r>
      <w:r>
        <w:rPr>
          <w:rFonts w:hint="eastAsia" w:ascii="方正仿宋_GBK" w:hAnsi="方正仿宋_GBK" w:eastAsia="方正仿宋_GBK" w:cs="方正仿宋_GBK"/>
          <w:color w:val="auto"/>
          <w:sz w:val="32"/>
          <w:szCs w:val="32"/>
          <w:lang w:val="en-US" w:eastAsia="zh-CN"/>
        </w:rPr>
        <w:t>0</w:t>
      </w:r>
      <w:r>
        <w:rPr>
          <w:rFonts w:hint="eastAsia" w:ascii="方正仿宋_GBK" w:hAnsi="方正仿宋_GBK" w:eastAsia="方正仿宋_GBK" w:cs="方正仿宋_GBK"/>
          <w:color w:val="auto"/>
          <w:sz w:val="32"/>
          <w:szCs w:val="32"/>
        </w:rPr>
        <w:t>%。</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方正楷体_GBK" w:hAnsi="方正楷体_GBK" w:eastAsia="方正楷体_GBK" w:cs="方正楷体_GBK"/>
          <w:b/>
          <w:bCs/>
          <w:color w:val="auto"/>
          <w:sz w:val="32"/>
          <w:szCs w:val="32"/>
          <w:shd w:val="clear" w:color="auto" w:fill="auto"/>
        </w:rPr>
      </w:pPr>
      <w:r>
        <w:rPr>
          <w:rFonts w:hint="eastAsia" w:ascii="方正楷体_GBK" w:hAnsi="方正楷体_GBK" w:eastAsia="方正楷体_GBK" w:cs="方正楷体_GBK"/>
          <w:b/>
          <w:bCs/>
          <w:color w:val="auto"/>
          <w:sz w:val="32"/>
          <w:szCs w:val="32"/>
          <w:shd w:val="clear" w:color="auto" w:fill="auto"/>
        </w:rPr>
        <w:t>（二）财政拨款收入支出决算总体情况说明</w:t>
      </w:r>
    </w:p>
    <w:p>
      <w:pPr>
        <w:snapToGrid w:val="0"/>
        <w:spacing w:line="520" w:lineRule="exact"/>
        <w:ind w:firstLine="640" w:firstLineChars="200"/>
        <w:rPr>
          <w:rFonts w:hint="eastAsia" w:ascii="仿宋_GB2312" w:hAnsi="仿宋" w:eastAsia="仿宋_GB2312"/>
          <w:sz w:val="32"/>
          <w:szCs w:val="32"/>
        </w:rPr>
      </w:pPr>
      <w:r>
        <w:rPr>
          <w:rFonts w:hint="eastAsia" w:ascii="方正仿宋_GBK" w:hAnsi="方正仿宋_GBK" w:eastAsia="方正仿宋_GBK" w:cs="方正仿宋_GBK"/>
          <w:color w:val="auto"/>
          <w:sz w:val="32"/>
          <w:szCs w:val="32"/>
        </w:rPr>
        <w:t>202</w:t>
      </w:r>
      <w:r>
        <w:rPr>
          <w:rFonts w:hint="eastAsia" w:ascii="方正仿宋_GBK" w:hAnsi="方正仿宋_GBK" w:eastAsia="方正仿宋_GBK" w:cs="方正仿宋_GBK"/>
          <w:color w:val="auto"/>
          <w:sz w:val="32"/>
          <w:szCs w:val="32"/>
          <w:lang w:val="en-US" w:eastAsia="zh-CN"/>
        </w:rPr>
        <w:t>4</w:t>
      </w:r>
      <w:r>
        <w:rPr>
          <w:rFonts w:hint="eastAsia" w:ascii="方正仿宋_GBK" w:hAnsi="方正仿宋_GBK" w:eastAsia="方正仿宋_GBK" w:cs="方正仿宋_GBK"/>
          <w:color w:val="auto"/>
          <w:sz w:val="32"/>
          <w:szCs w:val="32"/>
        </w:rPr>
        <w:t>年度财政拨款收、支总计</w:t>
      </w:r>
      <w:r>
        <w:rPr>
          <w:rFonts w:hint="eastAsia" w:ascii="仿宋_GB2312" w:hAnsi="仿宋" w:eastAsia="仿宋_GB2312"/>
          <w:sz w:val="32"/>
          <w:szCs w:val="32"/>
          <w:lang w:val="en-US" w:eastAsia="zh-CN"/>
        </w:rPr>
        <w:t>212.32</w:t>
      </w:r>
      <w:r>
        <w:rPr>
          <w:rFonts w:hint="eastAsia" w:ascii="方正仿宋_GBK" w:hAnsi="方正仿宋_GBK" w:eastAsia="方正仿宋_GBK" w:cs="方正仿宋_GBK"/>
          <w:color w:val="auto"/>
          <w:sz w:val="32"/>
          <w:szCs w:val="32"/>
        </w:rPr>
        <w:t>万元。与202</w:t>
      </w:r>
      <w:r>
        <w:rPr>
          <w:rFonts w:hint="eastAsia" w:ascii="方正仿宋_GBK" w:hAnsi="方正仿宋_GBK" w:eastAsia="方正仿宋_GBK" w:cs="方正仿宋_GBK"/>
          <w:color w:val="auto"/>
          <w:sz w:val="32"/>
          <w:szCs w:val="32"/>
          <w:lang w:val="en-US" w:eastAsia="zh-CN"/>
        </w:rPr>
        <w:t>3</w:t>
      </w:r>
      <w:r>
        <w:rPr>
          <w:rFonts w:hint="eastAsia" w:ascii="方正仿宋_GBK" w:hAnsi="方正仿宋_GBK" w:eastAsia="方正仿宋_GBK" w:cs="方正仿宋_GBK"/>
          <w:color w:val="auto"/>
          <w:sz w:val="32"/>
          <w:szCs w:val="32"/>
        </w:rPr>
        <w:t>年相比，财政拨款收、支总计各</w:t>
      </w:r>
      <w:r>
        <w:rPr>
          <w:rFonts w:hint="eastAsia" w:ascii="仿宋_GB2312" w:hAnsi="仿宋" w:eastAsia="仿宋_GB2312"/>
          <w:sz w:val="32"/>
          <w:szCs w:val="32"/>
          <w:lang w:val="en-US" w:eastAsia="zh-CN"/>
        </w:rPr>
        <w:t>增加100.52</w:t>
      </w:r>
      <w:r>
        <w:rPr>
          <w:rFonts w:hint="eastAsia" w:ascii="仿宋_GB2312" w:hAnsi="仿宋" w:eastAsia="仿宋_GB2312"/>
          <w:sz w:val="32"/>
          <w:szCs w:val="32"/>
        </w:rPr>
        <w:t>万元，</w:t>
      </w:r>
      <w:r>
        <w:rPr>
          <w:rFonts w:hint="eastAsia" w:ascii="仿宋_GB2312" w:hAnsi="仿宋" w:eastAsia="仿宋_GB2312"/>
          <w:sz w:val="32"/>
          <w:szCs w:val="32"/>
          <w:lang w:val="en-US" w:eastAsia="zh-CN"/>
        </w:rPr>
        <w:t>上升89.91</w:t>
      </w:r>
      <w:r>
        <w:rPr>
          <w:rFonts w:hint="eastAsia" w:ascii="仿宋_GB2312" w:hAnsi="仿宋" w:eastAsia="仿宋_GB2312"/>
          <w:sz w:val="32"/>
          <w:szCs w:val="32"/>
        </w:rPr>
        <w:t>%，主要原因是今年上级政府性一般公共预算拨款数额增加，因此比去年上升。</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方正楷体_GBK" w:hAnsi="方正楷体_GBK" w:eastAsia="方正楷体_GBK" w:cs="方正楷体_GBK"/>
          <w:b/>
          <w:bCs/>
          <w:color w:val="auto"/>
          <w:sz w:val="32"/>
          <w:szCs w:val="32"/>
          <w:shd w:val="clear" w:color="auto" w:fill="auto"/>
        </w:rPr>
      </w:pPr>
      <w:r>
        <w:rPr>
          <w:rFonts w:hint="eastAsia" w:ascii="方正楷体_GBK" w:hAnsi="方正楷体_GBK" w:eastAsia="方正楷体_GBK" w:cs="方正楷体_GBK"/>
          <w:b/>
          <w:bCs/>
          <w:color w:val="auto"/>
          <w:sz w:val="32"/>
          <w:szCs w:val="32"/>
          <w:shd w:val="clear" w:color="auto" w:fill="auto"/>
        </w:rPr>
        <w:t>（三）一般公共预算财政拨款收入支出决算情况说明</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方正仿宋_GBK" w:hAnsi="方正仿宋_GBK" w:eastAsia="方正仿宋_GBK" w:cs="方正仿宋_GBK"/>
          <w:color w:val="auto"/>
          <w:sz w:val="32"/>
          <w:szCs w:val="32"/>
        </w:rPr>
      </w:pPr>
      <w:r>
        <w:rPr>
          <w:rStyle w:val="10"/>
          <w:rFonts w:hint="eastAsia" w:ascii="方正仿宋_GBK" w:hAnsi="方正仿宋_GBK" w:eastAsia="方正仿宋_GBK" w:cs="方正仿宋_GBK"/>
          <w:color w:val="auto"/>
          <w:sz w:val="32"/>
          <w:szCs w:val="32"/>
        </w:rPr>
        <w:t>1.收入情况。</w:t>
      </w:r>
      <w:r>
        <w:rPr>
          <w:rFonts w:hint="eastAsia" w:ascii="方正仿宋_GBK" w:hAnsi="方正仿宋_GBK" w:eastAsia="方正仿宋_GBK" w:cs="方正仿宋_GBK"/>
          <w:color w:val="auto"/>
          <w:sz w:val="32"/>
          <w:szCs w:val="32"/>
        </w:rPr>
        <w:t>202</w:t>
      </w:r>
      <w:r>
        <w:rPr>
          <w:rFonts w:hint="eastAsia" w:ascii="方正仿宋_GBK" w:hAnsi="方正仿宋_GBK" w:eastAsia="方正仿宋_GBK" w:cs="方正仿宋_GBK"/>
          <w:color w:val="auto"/>
          <w:sz w:val="32"/>
          <w:szCs w:val="32"/>
          <w:lang w:val="en-US" w:eastAsia="zh-CN"/>
        </w:rPr>
        <w:t>4</w:t>
      </w:r>
      <w:r>
        <w:rPr>
          <w:rFonts w:hint="eastAsia" w:ascii="方正仿宋_GBK" w:hAnsi="方正仿宋_GBK" w:eastAsia="方正仿宋_GBK" w:cs="方正仿宋_GBK"/>
          <w:color w:val="auto"/>
          <w:sz w:val="32"/>
          <w:szCs w:val="32"/>
        </w:rPr>
        <w:t>年度一般公共预算财政拨款收入</w:t>
      </w:r>
      <w:r>
        <w:rPr>
          <w:rFonts w:hint="eastAsia" w:ascii="仿宋_GB2312" w:hAnsi="仿宋" w:eastAsia="仿宋_GB2312"/>
          <w:sz w:val="32"/>
          <w:szCs w:val="32"/>
          <w:lang w:val="en-US" w:eastAsia="zh-CN"/>
        </w:rPr>
        <w:t>212.32</w:t>
      </w:r>
      <w:r>
        <w:rPr>
          <w:rFonts w:hint="eastAsia" w:ascii="方正仿宋_GBK" w:hAnsi="方正仿宋_GBK" w:eastAsia="方正仿宋_GBK" w:cs="方正仿宋_GBK"/>
          <w:color w:val="auto"/>
          <w:sz w:val="32"/>
          <w:szCs w:val="32"/>
        </w:rPr>
        <w:t>万元，较上年决算数增加</w:t>
      </w:r>
      <w:r>
        <w:rPr>
          <w:rFonts w:hint="eastAsia" w:ascii="仿宋_GB2312" w:hAnsi="仿宋" w:eastAsia="仿宋_GB2312"/>
          <w:sz w:val="32"/>
          <w:szCs w:val="32"/>
          <w:lang w:val="en-US" w:eastAsia="zh-CN"/>
        </w:rPr>
        <w:t>100.52</w:t>
      </w:r>
      <w:r>
        <w:rPr>
          <w:rFonts w:hint="eastAsia" w:ascii="仿宋_GB2312" w:hAnsi="仿宋" w:eastAsia="仿宋_GB2312"/>
          <w:sz w:val="32"/>
          <w:szCs w:val="32"/>
        </w:rPr>
        <w:t>万元，</w:t>
      </w:r>
      <w:r>
        <w:rPr>
          <w:rFonts w:hint="eastAsia" w:ascii="仿宋_GB2312" w:hAnsi="仿宋" w:eastAsia="仿宋_GB2312"/>
          <w:sz w:val="32"/>
          <w:szCs w:val="32"/>
          <w:lang w:val="en-US" w:eastAsia="zh-CN"/>
        </w:rPr>
        <w:t>上升89.91</w:t>
      </w:r>
      <w:r>
        <w:rPr>
          <w:rFonts w:hint="eastAsia" w:ascii="仿宋_GB2312" w:hAnsi="仿宋" w:eastAsia="仿宋_GB2312"/>
          <w:sz w:val="32"/>
          <w:szCs w:val="32"/>
        </w:rPr>
        <w:t>%</w:t>
      </w:r>
      <w:r>
        <w:rPr>
          <w:rFonts w:hint="eastAsia" w:ascii="方正仿宋_GBK" w:hAnsi="方正仿宋_GBK" w:eastAsia="方正仿宋_GBK" w:cs="方正仿宋_GBK"/>
          <w:color w:val="auto"/>
          <w:sz w:val="32"/>
          <w:szCs w:val="32"/>
        </w:rPr>
        <w:t>。主要原因是今年上级政府性一般公共预算拨款数额增加，因此比去年上升</w:t>
      </w:r>
      <w:r>
        <w:rPr>
          <w:rFonts w:hint="eastAsia" w:ascii="仿宋_GB2312" w:hAnsi="仿宋" w:eastAsia="仿宋_GB2312"/>
          <w:sz w:val="32"/>
          <w:szCs w:val="32"/>
          <w:lang w:eastAsia="zh-CN"/>
        </w:rPr>
        <w:t>。</w:t>
      </w:r>
      <w:r>
        <w:rPr>
          <w:rFonts w:hint="eastAsia" w:ascii="方正仿宋_GBK" w:hAnsi="方正仿宋_GBK" w:eastAsia="方正仿宋_GBK" w:cs="方正仿宋_GBK"/>
          <w:color w:val="auto"/>
          <w:sz w:val="32"/>
          <w:szCs w:val="32"/>
        </w:rPr>
        <w:t>较年初预算数</w:t>
      </w:r>
      <w:r>
        <w:rPr>
          <w:rFonts w:hint="eastAsia" w:ascii="方正仿宋_GBK" w:hAnsi="方正仿宋_GBK" w:eastAsia="方正仿宋_GBK" w:cs="方正仿宋_GBK"/>
          <w:color w:val="auto"/>
          <w:sz w:val="32"/>
          <w:szCs w:val="32"/>
          <w:lang w:val="en-US" w:eastAsia="zh-CN"/>
        </w:rPr>
        <w:t>增加20.54</w:t>
      </w:r>
      <w:r>
        <w:rPr>
          <w:rFonts w:hint="eastAsia" w:ascii="方正仿宋_GBK" w:hAnsi="方正仿宋_GBK" w:eastAsia="方正仿宋_GBK" w:cs="方正仿宋_GBK"/>
          <w:color w:val="auto"/>
          <w:sz w:val="32"/>
          <w:szCs w:val="32"/>
        </w:rPr>
        <w:t>万元，</w:t>
      </w:r>
      <w:r>
        <w:rPr>
          <w:rFonts w:hint="eastAsia" w:ascii="方正仿宋_GBK" w:hAnsi="方正仿宋_GBK" w:eastAsia="方正仿宋_GBK" w:cs="方正仿宋_GBK"/>
          <w:color w:val="auto"/>
          <w:sz w:val="32"/>
          <w:szCs w:val="32"/>
          <w:lang w:val="en-US" w:eastAsia="zh-CN"/>
        </w:rPr>
        <w:t>上升10.71</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sz w:val="32"/>
          <w:szCs w:val="32"/>
        </w:rPr>
        <w:t>主要原因是</w:t>
      </w:r>
      <w:r>
        <w:rPr>
          <w:rFonts w:hint="eastAsia" w:ascii="仿宋_GB2312" w:hAnsi="仿宋" w:eastAsia="仿宋_GB2312"/>
          <w:sz w:val="32"/>
          <w:szCs w:val="32"/>
          <w:lang w:val="en-US" w:eastAsia="zh-CN"/>
        </w:rPr>
        <w:t>社会保障和就业</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住房保障</w:t>
      </w:r>
      <w:r>
        <w:rPr>
          <w:rFonts w:hint="eastAsia" w:ascii="方正仿宋_GBK" w:hAnsi="方正仿宋_GBK" w:eastAsia="方正仿宋_GBK" w:cs="方正仿宋_GBK"/>
          <w:sz w:val="32"/>
          <w:szCs w:val="32"/>
        </w:rPr>
        <w:t>支出增加。此外，年初财政拨款结转和结余</w:t>
      </w:r>
      <w:r>
        <w:rPr>
          <w:rFonts w:hint="eastAsia" w:ascii="方正仿宋_GBK" w:hAnsi="方正仿宋_GBK" w:eastAsia="方正仿宋_GBK" w:cs="方正仿宋_GBK"/>
          <w:sz w:val="32"/>
          <w:szCs w:val="32"/>
          <w:lang w:val="en-US" w:eastAsia="zh-CN"/>
        </w:rPr>
        <w:t>0</w:t>
      </w:r>
      <w:r>
        <w:rPr>
          <w:rFonts w:hint="eastAsia" w:ascii="方正仿宋_GBK" w:hAnsi="方正仿宋_GBK" w:eastAsia="方正仿宋_GBK" w:cs="方正仿宋_GBK"/>
          <w:sz w:val="32"/>
          <w:szCs w:val="32"/>
        </w:rPr>
        <w:t>万元。</w:t>
      </w:r>
    </w:p>
    <w:p>
      <w:pPr>
        <w:snapToGrid w:val="0"/>
        <w:spacing w:line="520" w:lineRule="exact"/>
        <w:ind w:firstLine="643" w:firstLineChars="200"/>
        <w:rPr>
          <w:rFonts w:hint="eastAsia" w:ascii="方正仿宋_GBK" w:hAnsi="方正仿宋_GBK" w:eastAsia="方正仿宋_GBK" w:cs="方正仿宋_GBK"/>
          <w:color w:val="auto"/>
          <w:sz w:val="32"/>
          <w:szCs w:val="32"/>
        </w:rPr>
      </w:pPr>
      <w:r>
        <w:rPr>
          <w:rStyle w:val="10"/>
          <w:rFonts w:hint="eastAsia" w:ascii="方正仿宋_GBK" w:hAnsi="方正仿宋_GBK" w:eastAsia="方正仿宋_GBK" w:cs="方正仿宋_GBK"/>
          <w:color w:val="auto"/>
          <w:sz w:val="32"/>
          <w:szCs w:val="32"/>
        </w:rPr>
        <w:t>2.支出情况。</w:t>
      </w:r>
      <w:r>
        <w:rPr>
          <w:rFonts w:hint="eastAsia" w:ascii="方正仿宋_GBK" w:hAnsi="方正仿宋_GBK" w:eastAsia="方正仿宋_GBK" w:cs="方正仿宋_GBK"/>
          <w:color w:val="auto"/>
          <w:sz w:val="32"/>
          <w:szCs w:val="32"/>
        </w:rPr>
        <w:t>202</w:t>
      </w:r>
      <w:r>
        <w:rPr>
          <w:rFonts w:hint="eastAsia" w:ascii="方正仿宋_GBK" w:hAnsi="方正仿宋_GBK" w:eastAsia="方正仿宋_GBK" w:cs="方正仿宋_GBK"/>
          <w:color w:val="auto"/>
          <w:sz w:val="32"/>
          <w:szCs w:val="32"/>
          <w:lang w:val="en-US" w:eastAsia="zh-CN"/>
        </w:rPr>
        <w:t>4</w:t>
      </w:r>
      <w:r>
        <w:rPr>
          <w:rFonts w:hint="eastAsia" w:ascii="方正仿宋_GBK" w:hAnsi="方正仿宋_GBK" w:eastAsia="方正仿宋_GBK" w:cs="方正仿宋_GBK"/>
          <w:color w:val="auto"/>
          <w:sz w:val="32"/>
          <w:szCs w:val="32"/>
        </w:rPr>
        <w:t>年度一般公共预算财政拨款支出</w:t>
      </w:r>
      <w:r>
        <w:rPr>
          <w:rFonts w:hint="eastAsia" w:ascii="仿宋_GB2312" w:hAnsi="仿宋" w:eastAsia="仿宋_GB2312"/>
          <w:sz w:val="32"/>
          <w:szCs w:val="32"/>
          <w:lang w:val="en-US" w:eastAsia="zh-CN"/>
        </w:rPr>
        <w:t>212.32</w:t>
      </w:r>
      <w:r>
        <w:rPr>
          <w:rFonts w:hint="eastAsia" w:ascii="方正仿宋_GBK" w:hAnsi="方正仿宋_GBK" w:eastAsia="方正仿宋_GBK" w:cs="方正仿宋_GBK"/>
          <w:color w:val="auto"/>
          <w:sz w:val="32"/>
          <w:szCs w:val="32"/>
        </w:rPr>
        <w:t>万元，较上年决算数增加</w:t>
      </w:r>
      <w:r>
        <w:rPr>
          <w:rFonts w:hint="eastAsia" w:ascii="仿宋_GB2312" w:hAnsi="仿宋" w:eastAsia="仿宋_GB2312"/>
          <w:sz w:val="32"/>
          <w:szCs w:val="32"/>
          <w:lang w:val="en-US" w:eastAsia="zh-CN"/>
        </w:rPr>
        <w:t>100.52</w:t>
      </w:r>
      <w:r>
        <w:rPr>
          <w:rFonts w:hint="eastAsia" w:ascii="仿宋_GB2312" w:hAnsi="仿宋" w:eastAsia="仿宋_GB2312"/>
          <w:sz w:val="32"/>
          <w:szCs w:val="32"/>
        </w:rPr>
        <w:t>万元，</w:t>
      </w:r>
      <w:r>
        <w:rPr>
          <w:rFonts w:hint="eastAsia" w:ascii="仿宋_GB2312" w:hAnsi="仿宋" w:eastAsia="仿宋_GB2312"/>
          <w:sz w:val="32"/>
          <w:szCs w:val="32"/>
          <w:lang w:val="en-US" w:eastAsia="zh-CN"/>
        </w:rPr>
        <w:t>上升89.91</w:t>
      </w:r>
      <w:r>
        <w:rPr>
          <w:rFonts w:hint="eastAsia" w:ascii="仿宋_GB2312" w:hAnsi="仿宋" w:eastAsia="仿宋_GB2312"/>
          <w:sz w:val="32"/>
          <w:szCs w:val="32"/>
        </w:rPr>
        <w:t>%</w:t>
      </w:r>
      <w:r>
        <w:rPr>
          <w:rFonts w:hint="eastAsia" w:ascii="方正仿宋_GBK" w:hAnsi="方正仿宋_GBK" w:eastAsia="方正仿宋_GBK" w:cs="方正仿宋_GBK"/>
          <w:color w:val="auto"/>
          <w:sz w:val="32"/>
          <w:szCs w:val="32"/>
        </w:rPr>
        <w:t>。主要原因是今年上级政府性一般公共预算拨款数额增加，因此比去年上升</w:t>
      </w:r>
      <w:r>
        <w:rPr>
          <w:rFonts w:hint="eastAsia" w:ascii="仿宋_GB2312" w:hAnsi="仿宋" w:eastAsia="仿宋_GB2312"/>
          <w:sz w:val="32"/>
          <w:szCs w:val="32"/>
        </w:rPr>
        <w:t>。</w:t>
      </w:r>
      <w:r>
        <w:rPr>
          <w:rFonts w:hint="eastAsia" w:ascii="方正仿宋_GBK" w:hAnsi="方正仿宋_GBK" w:eastAsia="方正仿宋_GBK" w:cs="方正仿宋_GBK"/>
          <w:color w:val="auto"/>
          <w:sz w:val="32"/>
          <w:szCs w:val="32"/>
        </w:rPr>
        <w:t>较年初预算数</w:t>
      </w:r>
      <w:r>
        <w:rPr>
          <w:rFonts w:hint="eastAsia" w:ascii="方正仿宋_GBK" w:hAnsi="方正仿宋_GBK" w:eastAsia="方正仿宋_GBK" w:cs="方正仿宋_GBK"/>
          <w:color w:val="auto"/>
          <w:sz w:val="32"/>
          <w:szCs w:val="32"/>
          <w:lang w:val="en-US" w:eastAsia="zh-CN"/>
        </w:rPr>
        <w:t>增加20.54</w:t>
      </w:r>
      <w:r>
        <w:rPr>
          <w:rFonts w:hint="eastAsia" w:ascii="方正仿宋_GBK" w:hAnsi="方正仿宋_GBK" w:eastAsia="方正仿宋_GBK" w:cs="方正仿宋_GBK"/>
          <w:color w:val="auto"/>
          <w:sz w:val="32"/>
          <w:szCs w:val="32"/>
        </w:rPr>
        <w:t>万元，</w:t>
      </w:r>
      <w:r>
        <w:rPr>
          <w:rFonts w:hint="eastAsia" w:ascii="方正仿宋_GBK" w:hAnsi="方正仿宋_GBK" w:eastAsia="方正仿宋_GBK" w:cs="方正仿宋_GBK"/>
          <w:color w:val="auto"/>
          <w:sz w:val="32"/>
          <w:szCs w:val="32"/>
          <w:lang w:val="en-US" w:eastAsia="zh-CN"/>
        </w:rPr>
        <w:t>上升10.71</w:t>
      </w:r>
      <w:r>
        <w:rPr>
          <w:rFonts w:hint="eastAsia" w:ascii="方正仿宋_GBK" w:hAnsi="方正仿宋_GBK" w:eastAsia="方正仿宋_GBK" w:cs="方正仿宋_GBK"/>
          <w:color w:val="auto"/>
          <w:sz w:val="32"/>
          <w:szCs w:val="32"/>
        </w:rPr>
        <w:t>%。主要原因是</w:t>
      </w:r>
      <w:r>
        <w:rPr>
          <w:rFonts w:hint="eastAsia" w:ascii="仿宋_GB2312" w:hAnsi="仿宋" w:eastAsia="仿宋_GB2312"/>
          <w:sz w:val="32"/>
          <w:szCs w:val="32"/>
          <w:lang w:val="en-US" w:eastAsia="zh-CN"/>
        </w:rPr>
        <w:t>社会保障和就业</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住房保障</w:t>
      </w:r>
      <w:r>
        <w:rPr>
          <w:rFonts w:hint="eastAsia" w:ascii="方正仿宋_GBK" w:hAnsi="方正仿宋_GBK" w:eastAsia="方正仿宋_GBK" w:cs="方正仿宋_GBK"/>
          <w:sz w:val="32"/>
          <w:szCs w:val="32"/>
        </w:rPr>
        <w:t>支出增加</w:t>
      </w:r>
      <w:r>
        <w:rPr>
          <w:rFonts w:hint="eastAsia" w:ascii="方正仿宋_GBK" w:hAnsi="方正仿宋_GBK" w:eastAsia="方正仿宋_GBK" w:cs="方正仿宋_GBK"/>
          <w:color w:val="auto"/>
          <w:sz w:val="32"/>
          <w:szCs w:val="32"/>
        </w:rPr>
        <w:t>。</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方正仿宋_GBK" w:hAnsi="方正仿宋_GBK" w:eastAsia="方正仿宋_GBK" w:cs="方正仿宋_GBK"/>
          <w:color w:val="auto"/>
          <w:sz w:val="32"/>
          <w:szCs w:val="32"/>
        </w:rPr>
      </w:pPr>
      <w:r>
        <w:rPr>
          <w:rStyle w:val="10"/>
          <w:rFonts w:hint="eastAsia" w:ascii="方正仿宋_GBK" w:hAnsi="方正仿宋_GBK" w:eastAsia="方正仿宋_GBK" w:cs="方正仿宋_GBK"/>
          <w:color w:val="auto"/>
          <w:sz w:val="32"/>
          <w:szCs w:val="32"/>
        </w:rPr>
        <w:t>3.结转结余情况。</w:t>
      </w:r>
      <w:r>
        <w:rPr>
          <w:rFonts w:hint="eastAsia" w:ascii="方正仿宋_GBK" w:hAnsi="方正仿宋_GBK" w:eastAsia="方正仿宋_GBK" w:cs="方正仿宋_GBK"/>
          <w:color w:val="auto"/>
          <w:sz w:val="32"/>
          <w:szCs w:val="32"/>
        </w:rPr>
        <w:t>202</w:t>
      </w:r>
      <w:r>
        <w:rPr>
          <w:rFonts w:hint="eastAsia" w:ascii="方正仿宋_GBK" w:hAnsi="方正仿宋_GBK" w:eastAsia="方正仿宋_GBK" w:cs="方正仿宋_GBK"/>
          <w:color w:val="auto"/>
          <w:sz w:val="32"/>
          <w:szCs w:val="32"/>
          <w:lang w:val="en-US" w:eastAsia="zh-CN"/>
        </w:rPr>
        <w:t>4</w:t>
      </w:r>
      <w:r>
        <w:rPr>
          <w:rFonts w:hint="eastAsia" w:ascii="方正仿宋_GBK" w:hAnsi="方正仿宋_GBK" w:eastAsia="方正仿宋_GBK" w:cs="方正仿宋_GBK"/>
          <w:color w:val="auto"/>
          <w:sz w:val="32"/>
          <w:szCs w:val="32"/>
        </w:rPr>
        <w:t>年度年末一般公共预算财政拨款结转和结余0.00万元，较上年决算数增加0.00万元，增长</w:t>
      </w:r>
      <w:r>
        <w:rPr>
          <w:rFonts w:hint="eastAsia" w:ascii="方正仿宋_GBK" w:hAnsi="方正仿宋_GBK" w:eastAsia="方正仿宋_GBK" w:cs="方正仿宋_GBK"/>
          <w:color w:val="auto"/>
          <w:sz w:val="32"/>
          <w:szCs w:val="32"/>
          <w:lang w:val="en-US" w:eastAsia="zh-CN"/>
        </w:rPr>
        <w:t>0</w:t>
      </w:r>
      <w:r>
        <w:rPr>
          <w:rFonts w:hint="eastAsia" w:ascii="方正仿宋_GBK" w:hAnsi="方正仿宋_GBK" w:eastAsia="方正仿宋_GBK" w:cs="方正仿宋_GBK"/>
          <w:color w:val="auto"/>
          <w:sz w:val="32"/>
          <w:szCs w:val="32"/>
        </w:rPr>
        <w:t>%。</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方正仿宋_GBK" w:hAnsi="方正仿宋_GBK" w:eastAsia="方正仿宋_GBK" w:cs="方正仿宋_GBK"/>
          <w:color w:val="auto"/>
          <w:sz w:val="32"/>
          <w:szCs w:val="32"/>
        </w:rPr>
      </w:pPr>
      <w:r>
        <w:rPr>
          <w:rStyle w:val="10"/>
          <w:rFonts w:hint="eastAsia" w:ascii="方正仿宋_GBK" w:hAnsi="方正仿宋_GBK" w:eastAsia="方正仿宋_GBK" w:cs="方正仿宋_GBK"/>
          <w:color w:val="auto"/>
          <w:sz w:val="32"/>
          <w:szCs w:val="32"/>
        </w:rPr>
        <w:t>4.比较情况。</w:t>
      </w:r>
      <w:r>
        <w:rPr>
          <w:rFonts w:hint="eastAsia" w:ascii="方正仿宋_GBK" w:hAnsi="方正仿宋_GBK" w:eastAsia="方正仿宋_GBK" w:cs="方正仿宋_GBK"/>
          <w:color w:val="auto"/>
          <w:sz w:val="32"/>
          <w:szCs w:val="32"/>
        </w:rPr>
        <w:t>本部门202</w:t>
      </w:r>
      <w:r>
        <w:rPr>
          <w:rFonts w:hint="eastAsia" w:ascii="方正仿宋_GBK" w:hAnsi="方正仿宋_GBK" w:eastAsia="方正仿宋_GBK" w:cs="方正仿宋_GBK"/>
          <w:color w:val="auto"/>
          <w:sz w:val="32"/>
          <w:szCs w:val="32"/>
          <w:lang w:val="en-US" w:eastAsia="zh-CN"/>
        </w:rPr>
        <w:t>4</w:t>
      </w:r>
      <w:r>
        <w:rPr>
          <w:rFonts w:hint="eastAsia" w:ascii="方正仿宋_GBK" w:hAnsi="方正仿宋_GBK" w:eastAsia="方正仿宋_GBK" w:cs="方正仿宋_GBK"/>
          <w:color w:val="auto"/>
          <w:sz w:val="32"/>
          <w:szCs w:val="32"/>
        </w:rPr>
        <w:t>年度一般公共预算财政拨款支出主要用于以下几个方面：</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rPr>
        <w:t>）社会保障与就业支出</w:t>
      </w:r>
      <w:r>
        <w:rPr>
          <w:rFonts w:hint="eastAsia" w:ascii="方正仿宋_GBK" w:hAnsi="方正仿宋_GBK" w:eastAsia="方正仿宋_GBK" w:cs="方正仿宋_GBK"/>
          <w:color w:val="auto"/>
          <w:sz w:val="32"/>
          <w:szCs w:val="32"/>
          <w:lang w:val="en-US" w:eastAsia="zh-CN"/>
        </w:rPr>
        <w:t>192.07</w:t>
      </w:r>
      <w:r>
        <w:rPr>
          <w:rFonts w:hint="eastAsia" w:ascii="方正仿宋_GBK" w:hAnsi="方正仿宋_GBK" w:eastAsia="方正仿宋_GBK" w:cs="方正仿宋_GBK"/>
          <w:color w:val="auto"/>
          <w:sz w:val="32"/>
          <w:szCs w:val="32"/>
        </w:rPr>
        <w:t>万元，占</w:t>
      </w:r>
      <w:r>
        <w:rPr>
          <w:rFonts w:hint="eastAsia" w:ascii="方正仿宋_GBK" w:hAnsi="方正仿宋_GBK" w:eastAsia="方正仿宋_GBK" w:cs="方正仿宋_GBK"/>
          <w:color w:val="auto"/>
          <w:sz w:val="32"/>
          <w:szCs w:val="32"/>
          <w:lang w:val="en-US" w:eastAsia="zh-CN"/>
        </w:rPr>
        <w:t>90.46</w:t>
      </w:r>
      <w:r>
        <w:rPr>
          <w:rFonts w:hint="eastAsia" w:ascii="方正仿宋_GBK" w:hAnsi="方正仿宋_GBK" w:eastAsia="方正仿宋_GBK" w:cs="方正仿宋_GBK"/>
          <w:color w:val="auto"/>
          <w:sz w:val="32"/>
          <w:szCs w:val="32"/>
        </w:rPr>
        <w:t>%，较年初预算数</w:t>
      </w:r>
      <w:r>
        <w:rPr>
          <w:rFonts w:hint="eastAsia" w:ascii="方正仿宋_GBK" w:hAnsi="方正仿宋_GBK" w:eastAsia="方正仿宋_GBK" w:cs="方正仿宋_GBK"/>
          <w:color w:val="auto"/>
          <w:sz w:val="32"/>
          <w:szCs w:val="32"/>
          <w:lang w:val="en-US" w:eastAsia="zh-CN"/>
        </w:rPr>
        <w:t>增加17.75</w:t>
      </w:r>
      <w:r>
        <w:rPr>
          <w:rFonts w:hint="eastAsia" w:ascii="方正仿宋_GBK" w:hAnsi="方正仿宋_GBK" w:eastAsia="方正仿宋_GBK" w:cs="方正仿宋_GBK"/>
          <w:color w:val="auto"/>
          <w:sz w:val="32"/>
          <w:szCs w:val="32"/>
        </w:rPr>
        <w:t>万元，</w:t>
      </w:r>
      <w:r>
        <w:rPr>
          <w:rFonts w:hint="eastAsia" w:ascii="方正仿宋_GBK" w:hAnsi="方正仿宋_GBK" w:eastAsia="方正仿宋_GBK" w:cs="方正仿宋_GBK"/>
          <w:color w:val="auto"/>
          <w:sz w:val="32"/>
          <w:szCs w:val="32"/>
          <w:lang w:val="en-US" w:eastAsia="zh-CN"/>
        </w:rPr>
        <w:t>上升10.18</w:t>
      </w:r>
      <w:r>
        <w:rPr>
          <w:rFonts w:hint="eastAsia" w:ascii="方正仿宋_GBK" w:hAnsi="方正仿宋_GBK" w:eastAsia="方正仿宋_GBK" w:cs="方正仿宋_GBK"/>
          <w:color w:val="auto"/>
          <w:sz w:val="32"/>
          <w:szCs w:val="32"/>
        </w:rPr>
        <w:t>%，主要原因是</w:t>
      </w:r>
      <w:r>
        <w:rPr>
          <w:rFonts w:hint="eastAsia" w:ascii="方正仿宋_GBK" w:hAnsi="方正仿宋_GBK" w:eastAsia="方正仿宋_GBK" w:cs="方正仿宋_GBK"/>
          <w:color w:val="auto"/>
          <w:sz w:val="32"/>
          <w:szCs w:val="32"/>
          <w:shd w:val="clear" w:color="auto" w:fill="auto"/>
          <w:lang w:val="en-US" w:eastAsia="zh-CN"/>
        </w:rPr>
        <w:t>增加了人员的社保费用</w:t>
      </w:r>
      <w:r>
        <w:rPr>
          <w:rFonts w:hint="eastAsia" w:ascii="方正仿宋_GBK" w:hAnsi="方正仿宋_GBK" w:eastAsia="方正仿宋_GBK" w:cs="方正仿宋_GBK"/>
          <w:color w:val="auto"/>
          <w:sz w:val="32"/>
          <w:szCs w:val="32"/>
        </w:rPr>
        <w:t>。</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rPr>
        <w:t>）住房保障支出</w:t>
      </w:r>
      <w:r>
        <w:rPr>
          <w:rFonts w:hint="eastAsia" w:ascii="方正仿宋_GBK" w:hAnsi="方正仿宋_GBK" w:eastAsia="方正仿宋_GBK" w:cs="方正仿宋_GBK"/>
          <w:color w:val="auto"/>
          <w:sz w:val="32"/>
          <w:szCs w:val="32"/>
          <w:lang w:val="en-US" w:eastAsia="zh-CN"/>
        </w:rPr>
        <w:t>10.44</w:t>
      </w:r>
      <w:r>
        <w:rPr>
          <w:rFonts w:hint="eastAsia" w:ascii="方正仿宋_GBK" w:hAnsi="方正仿宋_GBK" w:eastAsia="方正仿宋_GBK" w:cs="方正仿宋_GBK"/>
          <w:color w:val="auto"/>
          <w:sz w:val="32"/>
          <w:szCs w:val="32"/>
        </w:rPr>
        <w:t>万元，占</w:t>
      </w:r>
      <w:r>
        <w:rPr>
          <w:rFonts w:hint="eastAsia" w:ascii="方正仿宋_GBK" w:hAnsi="方正仿宋_GBK" w:eastAsia="方正仿宋_GBK" w:cs="方正仿宋_GBK"/>
          <w:color w:val="auto"/>
          <w:sz w:val="32"/>
          <w:szCs w:val="32"/>
          <w:lang w:val="en-US" w:eastAsia="zh-CN"/>
        </w:rPr>
        <w:t>4.92</w:t>
      </w:r>
      <w:r>
        <w:rPr>
          <w:rFonts w:hint="eastAsia" w:ascii="方正仿宋_GBK" w:hAnsi="方正仿宋_GBK" w:eastAsia="方正仿宋_GBK" w:cs="方正仿宋_GBK"/>
          <w:color w:val="auto"/>
          <w:sz w:val="32"/>
          <w:szCs w:val="32"/>
        </w:rPr>
        <w:t>%，较年初预算数</w:t>
      </w:r>
      <w:r>
        <w:rPr>
          <w:rFonts w:hint="eastAsia" w:ascii="方正仿宋_GBK" w:hAnsi="方正仿宋_GBK" w:eastAsia="方正仿宋_GBK" w:cs="方正仿宋_GBK"/>
          <w:color w:val="auto"/>
          <w:sz w:val="32"/>
          <w:szCs w:val="32"/>
          <w:lang w:val="en-US" w:eastAsia="zh-CN"/>
        </w:rPr>
        <w:t>增加1.98</w:t>
      </w:r>
      <w:r>
        <w:rPr>
          <w:rFonts w:hint="eastAsia" w:ascii="方正仿宋_GBK" w:hAnsi="方正仿宋_GBK" w:eastAsia="方正仿宋_GBK" w:cs="方正仿宋_GBK"/>
          <w:color w:val="auto"/>
          <w:sz w:val="32"/>
          <w:szCs w:val="32"/>
        </w:rPr>
        <w:t>万元，</w:t>
      </w:r>
      <w:r>
        <w:rPr>
          <w:rFonts w:hint="eastAsia" w:ascii="方正仿宋_GBK" w:hAnsi="方正仿宋_GBK" w:eastAsia="方正仿宋_GBK" w:cs="方正仿宋_GBK"/>
          <w:color w:val="auto"/>
          <w:sz w:val="32"/>
          <w:szCs w:val="32"/>
          <w:lang w:val="en-US" w:eastAsia="zh-CN"/>
        </w:rPr>
        <w:t>上升23.4</w:t>
      </w:r>
      <w:r>
        <w:rPr>
          <w:rFonts w:hint="eastAsia" w:ascii="方正仿宋_GBK" w:hAnsi="方正仿宋_GBK" w:eastAsia="方正仿宋_GBK" w:cs="方正仿宋_GBK"/>
          <w:color w:val="auto"/>
          <w:sz w:val="32"/>
          <w:szCs w:val="32"/>
        </w:rPr>
        <w:t>%，主要原因是</w:t>
      </w:r>
      <w:r>
        <w:rPr>
          <w:rFonts w:hint="eastAsia" w:ascii="方正仿宋_GBK" w:hAnsi="方正仿宋_GBK" w:eastAsia="方正仿宋_GBK" w:cs="方正仿宋_GBK"/>
          <w:color w:val="auto"/>
          <w:sz w:val="32"/>
          <w:szCs w:val="32"/>
          <w:lang w:val="en-US" w:eastAsia="zh-CN"/>
        </w:rPr>
        <w:t>调整了住房公积金的</w:t>
      </w:r>
      <w:r>
        <w:rPr>
          <w:rFonts w:hint="eastAsia" w:ascii="方正仿宋_GBK" w:hAnsi="方正仿宋_GBK" w:eastAsia="方正仿宋_GBK" w:cs="方正仿宋_GBK"/>
          <w:color w:val="auto"/>
          <w:sz w:val="32"/>
          <w:szCs w:val="32"/>
          <w:shd w:val="clear" w:color="auto" w:fill="auto"/>
          <w:lang w:val="en-US" w:eastAsia="zh-CN"/>
        </w:rPr>
        <w:t>费用</w:t>
      </w:r>
      <w:r>
        <w:rPr>
          <w:rFonts w:hint="eastAsia" w:ascii="方正仿宋_GBK" w:hAnsi="方正仿宋_GBK" w:eastAsia="方正仿宋_GBK" w:cs="方正仿宋_GBK"/>
          <w:color w:val="auto"/>
          <w:sz w:val="32"/>
          <w:szCs w:val="32"/>
        </w:rPr>
        <w:t>。</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方正楷体_GBK" w:hAnsi="方正楷体_GBK" w:eastAsia="方正楷体_GBK" w:cs="方正楷体_GBK"/>
          <w:b/>
          <w:bCs/>
          <w:color w:val="auto"/>
          <w:sz w:val="32"/>
          <w:szCs w:val="32"/>
          <w:shd w:val="clear" w:color="auto" w:fill="auto"/>
        </w:rPr>
      </w:pPr>
      <w:r>
        <w:rPr>
          <w:rFonts w:hint="eastAsia" w:ascii="方正楷体_GBK" w:hAnsi="方正楷体_GBK" w:eastAsia="方正楷体_GBK" w:cs="方正楷体_GBK"/>
          <w:b/>
          <w:bCs/>
          <w:color w:val="auto"/>
          <w:sz w:val="32"/>
          <w:szCs w:val="32"/>
          <w:shd w:val="clear" w:color="auto" w:fill="auto"/>
        </w:rPr>
        <w:t>（四）一般公共预算财政拨款基本支出决算情况说明</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方正仿宋_GBK" w:hAnsi="方正仿宋_GBK" w:eastAsia="方正仿宋_GBK" w:cs="方正仿宋_GBK"/>
          <w:color w:val="auto"/>
          <w:sz w:val="32"/>
          <w:szCs w:val="32"/>
          <w:shd w:val="clear" w:color="auto" w:fill="auto"/>
        </w:rPr>
      </w:pPr>
      <w:r>
        <w:rPr>
          <w:rFonts w:hint="eastAsia" w:ascii="方正仿宋_GBK" w:hAnsi="方正仿宋_GBK" w:eastAsia="方正仿宋_GBK" w:cs="方正仿宋_GBK"/>
          <w:color w:val="auto"/>
          <w:sz w:val="32"/>
          <w:szCs w:val="32"/>
        </w:rPr>
        <w:t>202</w:t>
      </w:r>
      <w:r>
        <w:rPr>
          <w:rFonts w:hint="eastAsia" w:ascii="方正仿宋_GBK" w:hAnsi="方正仿宋_GBK" w:eastAsia="方正仿宋_GBK" w:cs="方正仿宋_GBK"/>
          <w:color w:val="auto"/>
          <w:sz w:val="32"/>
          <w:szCs w:val="32"/>
          <w:lang w:val="en-US" w:eastAsia="zh-CN"/>
        </w:rPr>
        <w:t>4</w:t>
      </w:r>
      <w:r>
        <w:rPr>
          <w:rFonts w:hint="eastAsia" w:ascii="方正仿宋_GBK" w:hAnsi="方正仿宋_GBK" w:eastAsia="方正仿宋_GBK" w:cs="方正仿宋_GBK"/>
          <w:color w:val="auto"/>
          <w:sz w:val="32"/>
          <w:szCs w:val="32"/>
        </w:rPr>
        <w:t>年度一般公共预算财政拨款基本支出</w:t>
      </w:r>
      <w:r>
        <w:rPr>
          <w:rFonts w:hint="eastAsia" w:ascii="仿宋_GB2312" w:hAnsi="仿宋" w:eastAsia="仿宋_GB2312"/>
          <w:sz w:val="32"/>
          <w:szCs w:val="32"/>
          <w:lang w:val="en-US" w:eastAsia="zh-CN"/>
        </w:rPr>
        <w:t>212.32</w:t>
      </w:r>
      <w:r>
        <w:rPr>
          <w:rFonts w:hint="eastAsia" w:ascii="方正仿宋_GBK" w:hAnsi="方正仿宋_GBK" w:eastAsia="方正仿宋_GBK" w:cs="方正仿宋_GBK"/>
          <w:color w:val="auto"/>
          <w:sz w:val="32"/>
          <w:szCs w:val="32"/>
        </w:rPr>
        <w:t>万元。其中：人员经费</w:t>
      </w:r>
      <w:r>
        <w:rPr>
          <w:rFonts w:hint="eastAsia" w:ascii="方正仿宋_GBK" w:hAnsi="方正仿宋_GBK" w:eastAsia="方正仿宋_GBK" w:cs="方正仿宋_GBK"/>
          <w:color w:val="auto"/>
          <w:sz w:val="32"/>
          <w:szCs w:val="32"/>
          <w:lang w:val="en-US" w:eastAsia="zh-CN"/>
        </w:rPr>
        <w:t>185.89</w:t>
      </w:r>
      <w:r>
        <w:rPr>
          <w:rFonts w:hint="eastAsia" w:ascii="方正仿宋_GBK" w:hAnsi="方正仿宋_GBK" w:eastAsia="方正仿宋_GBK" w:cs="方正仿宋_GBK"/>
          <w:color w:val="auto"/>
          <w:sz w:val="32"/>
          <w:szCs w:val="32"/>
        </w:rPr>
        <w:t>万元，较上年决算数</w:t>
      </w:r>
      <w:r>
        <w:rPr>
          <w:rFonts w:hint="eastAsia" w:ascii="方正仿宋_GBK" w:hAnsi="方正仿宋_GBK" w:eastAsia="方正仿宋_GBK" w:cs="方正仿宋_GBK"/>
          <w:color w:val="auto"/>
          <w:sz w:val="32"/>
          <w:szCs w:val="32"/>
          <w:lang w:val="en-US" w:eastAsia="zh-CN"/>
        </w:rPr>
        <w:t>增加22.27</w:t>
      </w:r>
      <w:r>
        <w:rPr>
          <w:rFonts w:hint="eastAsia" w:ascii="方正仿宋_GBK" w:hAnsi="方正仿宋_GBK" w:eastAsia="方正仿宋_GBK" w:cs="方正仿宋_GBK"/>
          <w:color w:val="auto"/>
          <w:sz w:val="32"/>
          <w:szCs w:val="32"/>
        </w:rPr>
        <w:t>万元，</w:t>
      </w:r>
      <w:r>
        <w:rPr>
          <w:rFonts w:hint="eastAsia" w:ascii="方正仿宋_GBK" w:hAnsi="方正仿宋_GBK" w:eastAsia="方正仿宋_GBK" w:cs="方正仿宋_GBK"/>
          <w:color w:val="auto"/>
          <w:sz w:val="32"/>
          <w:szCs w:val="32"/>
          <w:lang w:val="en-US" w:eastAsia="zh-CN"/>
        </w:rPr>
        <w:t>上升13.61</w:t>
      </w:r>
      <w:r>
        <w:rPr>
          <w:rFonts w:hint="eastAsia" w:ascii="方正仿宋_GBK" w:hAnsi="方正仿宋_GBK" w:eastAsia="方正仿宋_GBK" w:cs="方正仿宋_GBK"/>
          <w:color w:val="auto"/>
          <w:sz w:val="32"/>
          <w:szCs w:val="32"/>
        </w:rPr>
        <w:t>%，主要原因是</w:t>
      </w:r>
      <w:r>
        <w:rPr>
          <w:rFonts w:hint="eastAsia" w:ascii="仿宋_GB2312" w:hAnsi="仿宋" w:eastAsia="仿宋_GB2312"/>
          <w:sz w:val="32"/>
          <w:szCs w:val="32"/>
        </w:rPr>
        <w:t>单位工作人员、工资调整等变动</w:t>
      </w:r>
      <w:r>
        <w:rPr>
          <w:rFonts w:hint="eastAsia" w:ascii="方正仿宋_GBK" w:hAnsi="方正仿宋_GBK" w:eastAsia="方正仿宋_GBK" w:cs="方正仿宋_GBK"/>
          <w:color w:val="auto"/>
          <w:sz w:val="32"/>
          <w:szCs w:val="32"/>
        </w:rPr>
        <w:t>。人员经费用途主要包括</w:t>
      </w:r>
      <w:r>
        <w:rPr>
          <w:rFonts w:hint="eastAsia" w:ascii="方正仿宋_GBK" w:hAnsi="方正仿宋_GBK" w:eastAsia="方正仿宋_GBK" w:cs="方正仿宋_GBK"/>
          <w:color w:val="auto"/>
          <w:sz w:val="32"/>
          <w:szCs w:val="32"/>
          <w:shd w:val="clear" w:color="auto" w:fill="auto"/>
        </w:rPr>
        <w:t>工资、绩效、补助等</w:t>
      </w:r>
      <w:r>
        <w:rPr>
          <w:rFonts w:hint="eastAsia" w:ascii="方正仿宋_GBK" w:hAnsi="方正仿宋_GBK" w:eastAsia="方正仿宋_GBK" w:cs="方正仿宋_GBK"/>
          <w:color w:val="auto"/>
          <w:sz w:val="32"/>
          <w:szCs w:val="32"/>
        </w:rPr>
        <w:t>。公用经费</w:t>
      </w:r>
      <w:r>
        <w:rPr>
          <w:rFonts w:hint="eastAsia" w:ascii="方正仿宋_GBK" w:hAnsi="方正仿宋_GBK" w:eastAsia="方正仿宋_GBK" w:cs="方正仿宋_GBK"/>
          <w:color w:val="auto"/>
          <w:sz w:val="32"/>
          <w:szCs w:val="32"/>
          <w:lang w:val="en-US" w:eastAsia="zh-CN"/>
        </w:rPr>
        <w:t>26.44</w:t>
      </w:r>
      <w:r>
        <w:rPr>
          <w:rFonts w:hint="eastAsia" w:ascii="方正仿宋_GBK" w:hAnsi="方正仿宋_GBK" w:eastAsia="方正仿宋_GBK" w:cs="方正仿宋_GBK"/>
          <w:color w:val="auto"/>
          <w:sz w:val="32"/>
          <w:szCs w:val="32"/>
        </w:rPr>
        <w:t>万元，较上年决算数</w:t>
      </w:r>
      <w:r>
        <w:rPr>
          <w:rFonts w:hint="eastAsia" w:ascii="方正仿宋_GBK" w:hAnsi="方正仿宋_GBK" w:eastAsia="方正仿宋_GBK" w:cs="方正仿宋_GBK"/>
          <w:color w:val="auto"/>
          <w:sz w:val="32"/>
          <w:szCs w:val="32"/>
          <w:lang w:val="en-US" w:eastAsia="zh-CN"/>
        </w:rPr>
        <w:t>减少1.73</w:t>
      </w:r>
      <w:r>
        <w:rPr>
          <w:rFonts w:hint="eastAsia" w:ascii="方正仿宋_GBK" w:hAnsi="方正仿宋_GBK" w:eastAsia="方正仿宋_GBK" w:cs="方正仿宋_GBK"/>
          <w:color w:val="auto"/>
          <w:sz w:val="32"/>
          <w:szCs w:val="32"/>
        </w:rPr>
        <w:t>万元，</w:t>
      </w:r>
      <w:r>
        <w:rPr>
          <w:rFonts w:hint="eastAsia" w:ascii="方正仿宋_GBK" w:hAnsi="方正仿宋_GBK" w:eastAsia="方正仿宋_GBK" w:cs="方正仿宋_GBK"/>
          <w:color w:val="auto"/>
          <w:sz w:val="32"/>
          <w:szCs w:val="32"/>
          <w:lang w:val="en-US" w:eastAsia="zh-CN"/>
        </w:rPr>
        <w:t>下降6.14</w:t>
      </w:r>
      <w:r>
        <w:rPr>
          <w:rFonts w:hint="eastAsia" w:ascii="方正仿宋_GBK" w:hAnsi="方正仿宋_GBK" w:eastAsia="方正仿宋_GBK" w:cs="方正仿宋_GBK"/>
          <w:color w:val="auto"/>
          <w:sz w:val="32"/>
          <w:szCs w:val="32"/>
        </w:rPr>
        <w:t>%，主要原因是</w:t>
      </w:r>
      <w:r>
        <w:rPr>
          <w:rFonts w:hint="eastAsia" w:ascii="仿宋_GB2312" w:hAnsi="仿宋" w:eastAsia="仿宋_GB2312"/>
          <w:sz w:val="32"/>
          <w:szCs w:val="32"/>
        </w:rPr>
        <w:t>单位工作人员、工资调整等变动</w:t>
      </w:r>
      <w:r>
        <w:rPr>
          <w:rFonts w:hint="eastAsia" w:ascii="方正仿宋_GBK" w:hAnsi="方正仿宋_GBK" w:eastAsia="方正仿宋_GBK" w:cs="方正仿宋_GBK"/>
          <w:color w:val="auto"/>
          <w:sz w:val="32"/>
          <w:szCs w:val="32"/>
        </w:rPr>
        <w:t>。公用经费用途主要包括</w:t>
      </w:r>
      <w:r>
        <w:rPr>
          <w:rFonts w:hint="eastAsia" w:ascii="方正仿宋_GBK" w:hAnsi="方正仿宋_GBK" w:eastAsia="方正仿宋_GBK" w:cs="方正仿宋_GBK"/>
          <w:color w:val="auto"/>
          <w:sz w:val="32"/>
          <w:szCs w:val="32"/>
          <w:shd w:val="clear" w:color="auto" w:fill="auto"/>
        </w:rPr>
        <w:t>办公费用、三公经费、伙食费、印刷费、水电费等。</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方正楷体_GBK" w:hAnsi="方正楷体_GBK" w:eastAsia="方正楷体_GBK" w:cs="方正楷体_GBK"/>
          <w:b/>
          <w:bCs/>
          <w:color w:val="auto"/>
          <w:sz w:val="32"/>
          <w:szCs w:val="32"/>
          <w:shd w:val="clear" w:color="auto" w:fill="auto"/>
        </w:rPr>
      </w:pPr>
      <w:r>
        <w:rPr>
          <w:rFonts w:hint="eastAsia" w:ascii="方正楷体_GBK" w:hAnsi="方正楷体_GBK" w:eastAsia="方正楷体_GBK" w:cs="方正楷体_GBK"/>
          <w:b/>
          <w:bCs/>
          <w:color w:val="auto"/>
          <w:sz w:val="32"/>
          <w:szCs w:val="32"/>
          <w:shd w:val="clear" w:color="auto" w:fill="auto"/>
        </w:rPr>
        <w:t>（五）政府性基金预算收支决算情况说明</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202</w:t>
      </w:r>
      <w:r>
        <w:rPr>
          <w:rFonts w:hint="eastAsia" w:ascii="方正仿宋_GBK" w:hAnsi="方正仿宋_GBK" w:eastAsia="方正仿宋_GBK" w:cs="方正仿宋_GBK"/>
          <w:color w:val="auto"/>
          <w:sz w:val="32"/>
          <w:szCs w:val="32"/>
          <w:lang w:val="en-US" w:eastAsia="zh-CN"/>
        </w:rPr>
        <w:t>4</w:t>
      </w:r>
      <w:r>
        <w:rPr>
          <w:rFonts w:hint="eastAsia" w:ascii="方正仿宋_GBK" w:hAnsi="方正仿宋_GBK" w:eastAsia="方正仿宋_GBK" w:cs="方正仿宋_GBK"/>
          <w:color w:val="auto"/>
          <w:sz w:val="32"/>
          <w:szCs w:val="32"/>
        </w:rPr>
        <w:t>年度政府性基金预算财政拨款年初结转结余0.00万元，年末结转结余0.00万元。本年收入</w:t>
      </w:r>
      <w:r>
        <w:rPr>
          <w:rFonts w:hint="eastAsia" w:ascii="方正仿宋_GBK" w:hAnsi="方正仿宋_GBK" w:eastAsia="方正仿宋_GBK" w:cs="方正仿宋_GBK"/>
          <w:color w:val="auto"/>
          <w:sz w:val="32"/>
          <w:szCs w:val="32"/>
          <w:lang w:val="en-US" w:eastAsia="zh-CN"/>
        </w:rPr>
        <w:t>0</w:t>
      </w:r>
      <w:r>
        <w:rPr>
          <w:rFonts w:hint="eastAsia" w:ascii="方正仿宋_GBK" w:hAnsi="方正仿宋_GBK" w:eastAsia="方正仿宋_GBK" w:cs="方正仿宋_GBK"/>
          <w:color w:val="auto"/>
          <w:sz w:val="32"/>
          <w:szCs w:val="32"/>
        </w:rPr>
        <w:t>万元，较上年决算数</w:t>
      </w:r>
      <w:r>
        <w:rPr>
          <w:rFonts w:hint="eastAsia" w:ascii="方正仿宋_GBK" w:hAnsi="方正仿宋_GBK" w:eastAsia="方正仿宋_GBK" w:cs="方正仿宋_GBK"/>
          <w:color w:val="auto"/>
          <w:sz w:val="32"/>
          <w:szCs w:val="32"/>
          <w:lang w:val="en-US" w:eastAsia="zh-CN"/>
        </w:rPr>
        <w:t>增加0</w:t>
      </w:r>
      <w:r>
        <w:rPr>
          <w:rFonts w:hint="eastAsia" w:ascii="方正仿宋_GBK" w:hAnsi="方正仿宋_GBK" w:eastAsia="方正仿宋_GBK" w:cs="方正仿宋_GBK"/>
          <w:color w:val="auto"/>
          <w:sz w:val="32"/>
          <w:szCs w:val="32"/>
        </w:rPr>
        <w:t>万元，</w:t>
      </w:r>
      <w:r>
        <w:rPr>
          <w:rFonts w:hint="eastAsia" w:ascii="方正仿宋_GBK" w:hAnsi="方正仿宋_GBK" w:eastAsia="方正仿宋_GBK" w:cs="方正仿宋_GBK"/>
          <w:color w:val="auto"/>
          <w:sz w:val="32"/>
          <w:szCs w:val="32"/>
          <w:lang w:val="en-US" w:eastAsia="zh-CN"/>
        </w:rPr>
        <w:t>上升0</w:t>
      </w:r>
      <w:r>
        <w:rPr>
          <w:rFonts w:hint="eastAsia" w:ascii="方正仿宋_GBK" w:hAnsi="方正仿宋_GBK" w:eastAsia="方正仿宋_GBK" w:cs="方正仿宋_GBK"/>
          <w:color w:val="auto"/>
          <w:sz w:val="32"/>
          <w:szCs w:val="32"/>
        </w:rPr>
        <w:t>%，主要原因是</w:t>
      </w:r>
      <w:r>
        <w:rPr>
          <w:rFonts w:hint="eastAsia" w:ascii="方正仿宋_GBK" w:hAnsi="方正仿宋_GBK" w:eastAsia="方正仿宋_GBK" w:cs="方正仿宋_GBK"/>
          <w:color w:val="auto"/>
          <w:sz w:val="32"/>
          <w:szCs w:val="32"/>
          <w:lang w:val="en-US" w:eastAsia="zh-CN"/>
        </w:rPr>
        <w:t>本单位无政府性基金预算。</w:t>
      </w:r>
      <w:r>
        <w:rPr>
          <w:rFonts w:hint="eastAsia" w:ascii="方正仿宋_GBK" w:hAnsi="方正仿宋_GBK" w:eastAsia="方正仿宋_GBK" w:cs="方正仿宋_GBK"/>
          <w:color w:val="auto"/>
          <w:sz w:val="32"/>
          <w:szCs w:val="32"/>
        </w:rPr>
        <w:t>本年支出</w:t>
      </w:r>
      <w:r>
        <w:rPr>
          <w:rFonts w:hint="eastAsia" w:ascii="方正仿宋_GBK" w:hAnsi="方正仿宋_GBK" w:eastAsia="方正仿宋_GBK" w:cs="方正仿宋_GBK"/>
          <w:color w:val="auto"/>
          <w:sz w:val="32"/>
          <w:szCs w:val="32"/>
          <w:lang w:val="en-US" w:eastAsia="zh-CN"/>
        </w:rPr>
        <w:t>0</w:t>
      </w:r>
      <w:r>
        <w:rPr>
          <w:rFonts w:hint="eastAsia" w:ascii="方正仿宋_GBK" w:hAnsi="方正仿宋_GBK" w:eastAsia="方正仿宋_GBK" w:cs="方正仿宋_GBK"/>
          <w:color w:val="auto"/>
          <w:sz w:val="32"/>
          <w:szCs w:val="32"/>
        </w:rPr>
        <w:t>万元，较上年决算数</w:t>
      </w:r>
      <w:r>
        <w:rPr>
          <w:rFonts w:hint="eastAsia" w:ascii="方正仿宋_GBK" w:hAnsi="方正仿宋_GBK" w:eastAsia="方正仿宋_GBK" w:cs="方正仿宋_GBK"/>
          <w:color w:val="auto"/>
          <w:sz w:val="32"/>
          <w:szCs w:val="32"/>
          <w:lang w:val="en-US" w:eastAsia="zh-CN"/>
        </w:rPr>
        <w:t>增加0</w:t>
      </w:r>
      <w:r>
        <w:rPr>
          <w:rFonts w:hint="eastAsia" w:ascii="方正仿宋_GBK" w:hAnsi="方正仿宋_GBK" w:eastAsia="方正仿宋_GBK" w:cs="方正仿宋_GBK"/>
          <w:color w:val="auto"/>
          <w:sz w:val="32"/>
          <w:szCs w:val="32"/>
        </w:rPr>
        <w:t>万元，</w:t>
      </w:r>
      <w:r>
        <w:rPr>
          <w:rFonts w:hint="eastAsia" w:ascii="方正仿宋_GBK" w:hAnsi="方正仿宋_GBK" w:eastAsia="方正仿宋_GBK" w:cs="方正仿宋_GBK"/>
          <w:color w:val="auto"/>
          <w:sz w:val="32"/>
          <w:szCs w:val="32"/>
          <w:lang w:val="en-US" w:eastAsia="zh-CN"/>
        </w:rPr>
        <w:t>上升0</w:t>
      </w:r>
      <w:r>
        <w:rPr>
          <w:rFonts w:hint="eastAsia" w:ascii="方正仿宋_GBK" w:hAnsi="方正仿宋_GBK" w:eastAsia="方正仿宋_GBK" w:cs="方正仿宋_GBK"/>
          <w:color w:val="auto"/>
          <w:sz w:val="32"/>
          <w:szCs w:val="32"/>
        </w:rPr>
        <w:t>%，主要原因是</w:t>
      </w:r>
      <w:r>
        <w:rPr>
          <w:rFonts w:hint="eastAsia" w:ascii="方正仿宋_GBK" w:hAnsi="方正仿宋_GBK" w:eastAsia="方正仿宋_GBK" w:cs="方正仿宋_GBK"/>
          <w:color w:val="auto"/>
          <w:sz w:val="32"/>
          <w:szCs w:val="32"/>
          <w:lang w:val="en-US" w:eastAsia="zh-CN"/>
        </w:rPr>
        <w:t>本单位无政府性基金预算</w:t>
      </w:r>
      <w:r>
        <w:rPr>
          <w:rFonts w:hint="eastAsia" w:ascii="方正仿宋_GBK" w:hAnsi="方正仿宋_GBK" w:eastAsia="方正仿宋_GBK" w:cs="方正仿宋_GBK"/>
          <w:color w:val="auto"/>
          <w:sz w:val="32"/>
          <w:szCs w:val="32"/>
        </w:rPr>
        <w:t>。</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方正楷体_GBK" w:hAnsi="方正楷体_GBK" w:eastAsia="方正楷体_GBK" w:cs="方正楷体_GBK"/>
          <w:b/>
          <w:bCs/>
          <w:color w:val="auto"/>
          <w:sz w:val="32"/>
          <w:szCs w:val="32"/>
          <w:shd w:val="clear" w:color="auto" w:fill="auto"/>
        </w:rPr>
      </w:pPr>
      <w:r>
        <w:rPr>
          <w:rFonts w:hint="eastAsia" w:ascii="方正楷体_GBK" w:hAnsi="方正楷体_GBK" w:eastAsia="方正楷体_GBK" w:cs="方正楷体_GBK"/>
          <w:b/>
          <w:bCs/>
          <w:color w:val="auto"/>
          <w:sz w:val="32"/>
          <w:szCs w:val="32"/>
          <w:shd w:val="clear" w:color="auto" w:fill="auto"/>
        </w:rPr>
        <w:t>（六）国有资本经营预算财政拨款支出决算情况说明</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auto"/>
        </w:rPr>
        <w:t xml:space="preserve">本部门 </w:t>
      </w:r>
      <w:r>
        <w:rPr>
          <w:rFonts w:hint="eastAsia" w:ascii="方正仿宋_GBK" w:hAnsi="方正仿宋_GBK" w:eastAsia="方正仿宋_GBK" w:cs="方正仿宋_GBK"/>
          <w:color w:val="auto"/>
          <w:sz w:val="32"/>
          <w:szCs w:val="32"/>
          <w:shd w:val="clear" w:color="auto" w:fill="auto"/>
          <w:lang w:eastAsia="zh-CN"/>
        </w:rPr>
        <w:t>202</w:t>
      </w:r>
      <w:r>
        <w:rPr>
          <w:rFonts w:hint="eastAsia" w:ascii="方正仿宋_GBK" w:hAnsi="方正仿宋_GBK" w:eastAsia="方正仿宋_GBK" w:cs="方正仿宋_GBK"/>
          <w:color w:val="auto"/>
          <w:sz w:val="32"/>
          <w:szCs w:val="32"/>
          <w:shd w:val="clear" w:color="auto" w:fill="auto"/>
          <w:lang w:val="en-US" w:eastAsia="zh-CN"/>
        </w:rPr>
        <w:t>4</w:t>
      </w:r>
      <w:r>
        <w:rPr>
          <w:rFonts w:hint="eastAsia" w:ascii="方正仿宋_GBK" w:hAnsi="方正仿宋_GBK" w:eastAsia="方正仿宋_GBK" w:cs="方正仿宋_GBK"/>
          <w:color w:val="auto"/>
          <w:sz w:val="32"/>
          <w:szCs w:val="32"/>
          <w:shd w:val="clear" w:color="auto" w:fill="auto"/>
        </w:rPr>
        <w:t>年度无国有资本经营预算财政拨款支出。</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三、</w:t>
      </w:r>
      <w:r>
        <w:rPr>
          <w:rStyle w:val="10"/>
          <w:rFonts w:hint="eastAsia" w:ascii="黑体" w:hAnsi="黑体" w:eastAsia="黑体" w:cs="黑体"/>
          <w:sz w:val="32"/>
          <w:szCs w:val="32"/>
          <w:shd w:val="clear" w:color="auto" w:fill="FFFFFF"/>
          <w:lang w:eastAsia="zh-CN"/>
        </w:rPr>
        <w:t>财政拨款</w:t>
      </w:r>
      <w:r>
        <w:rPr>
          <w:rStyle w:val="10"/>
          <w:rFonts w:ascii="黑体" w:hAnsi="黑体" w:eastAsia="黑体" w:cs="黑体"/>
          <w:sz w:val="32"/>
          <w:szCs w:val="32"/>
          <w:shd w:val="clear" w:color="auto" w:fill="FFFFFF"/>
        </w:rPr>
        <w:t>“三公”经费情况说明</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sz w:val="32"/>
          <w:szCs w:val="32"/>
          <w:shd w:val="clear" w:color="auto" w:fill="FFFFFF"/>
          <w:lang w:val="en-US" w:eastAsia="zh-CN"/>
        </w:rPr>
      </w:pPr>
      <w:r>
        <w:rPr>
          <w:rFonts w:hint="eastAsia" w:ascii="方正仿宋_GBK" w:hAnsi="方正仿宋_GBK" w:eastAsia="方正仿宋_GBK" w:cs="方正仿宋_GBK"/>
          <w:color w:val="auto"/>
          <w:sz w:val="32"/>
          <w:szCs w:val="32"/>
          <w:shd w:val="clear" w:color="auto" w:fill="FFFFFF"/>
          <w:lang w:val="en-US" w:eastAsia="zh-CN"/>
        </w:rPr>
        <w:t>本单位无公务用车，无“三公”经费支出。</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四、其他需要说明的事项</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方正楷体_GBK" w:hAnsi="方正楷体_GBK" w:eastAsia="方正楷体_GBK" w:cs="方正楷体_GBK"/>
          <w:b/>
          <w:bCs/>
          <w:color w:val="auto"/>
          <w:sz w:val="32"/>
          <w:szCs w:val="32"/>
          <w:shd w:val="clear" w:color="auto" w:fill="auto"/>
        </w:rPr>
      </w:pPr>
      <w:r>
        <w:rPr>
          <w:rFonts w:hint="eastAsia" w:ascii="方正楷体_GBK" w:hAnsi="方正楷体_GBK" w:eastAsia="方正楷体_GBK" w:cs="方正楷体_GBK"/>
          <w:b/>
          <w:bCs/>
          <w:color w:val="auto"/>
          <w:sz w:val="32"/>
          <w:szCs w:val="32"/>
          <w:shd w:val="clear" w:color="auto" w:fill="auto"/>
        </w:rPr>
        <w:t>（一）财政拨款会议费和培训费情况说明</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本年度会议费支出</w:t>
      </w:r>
      <w:r>
        <w:rPr>
          <w:rFonts w:hint="eastAsia" w:ascii="方正仿宋_GBK" w:hAnsi="方正仿宋_GBK" w:eastAsia="方正仿宋_GBK" w:cs="方正仿宋_GBK"/>
          <w:color w:val="auto"/>
          <w:sz w:val="32"/>
          <w:szCs w:val="32"/>
          <w:lang w:val="en-US" w:eastAsia="zh-CN"/>
        </w:rPr>
        <w:t>0</w:t>
      </w:r>
      <w:r>
        <w:rPr>
          <w:rFonts w:hint="eastAsia" w:ascii="方正仿宋_GBK" w:hAnsi="方正仿宋_GBK" w:eastAsia="方正仿宋_GBK" w:cs="方正仿宋_GBK"/>
          <w:color w:val="auto"/>
          <w:sz w:val="32"/>
          <w:szCs w:val="32"/>
        </w:rPr>
        <w:t>万元，较上年决算数增加</w:t>
      </w:r>
      <w:r>
        <w:rPr>
          <w:rFonts w:hint="eastAsia" w:ascii="方正仿宋_GBK" w:hAnsi="方正仿宋_GBK" w:eastAsia="方正仿宋_GBK" w:cs="方正仿宋_GBK"/>
          <w:color w:val="auto"/>
          <w:sz w:val="32"/>
          <w:szCs w:val="32"/>
          <w:lang w:val="en-US" w:eastAsia="zh-CN"/>
        </w:rPr>
        <w:t>0</w:t>
      </w:r>
      <w:r>
        <w:rPr>
          <w:rFonts w:hint="eastAsia" w:ascii="方正仿宋_GBK" w:hAnsi="方正仿宋_GBK" w:eastAsia="方正仿宋_GBK" w:cs="方正仿宋_GBK"/>
          <w:color w:val="auto"/>
          <w:sz w:val="32"/>
          <w:szCs w:val="32"/>
        </w:rPr>
        <w:t>万元，增长</w:t>
      </w:r>
      <w:r>
        <w:rPr>
          <w:rFonts w:hint="eastAsia" w:ascii="方正仿宋_GBK" w:hAnsi="方正仿宋_GBK" w:eastAsia="方正仿宋_GBK" w:cs="方正仿宋_GBK"/>
          <w:color w:val="auto"/>
          <w:sz w:val="32"/>
          <w:szCs w:val="32"/>
          <w:lang w:val="en-US" w:eastAsia="zh-CN"/>
        </w:rPr>
        <w:t>0</w:t>
      </w:r>
      <w:r>
        <w:rPr>
          <w:rFonts w:hint="eastAsia" w:ascii="方正仿宋_GBK" w:hAnsi="方正仿宋_GBK" w:eastAsia="方正仿宋_GBK" w:cs="方正仿宋_GBK"/>
          <w:color w:val="auto"/>
          <w:sz w:val="32"/>
          <w:szCs w:val="32"/>
        </w:rPr>
        <w:t>%，主要原因是</w:t>
      </w:r>
      <w:r>
        <w:rPr>
          <w:rFonts w:hint="eastAsia" w:ascii="方正仿宋_GBK" w:hAnsi="方正仿宋_GBK" w:eastAsia="方正仿宋_GBK" w:cs="方正仿宋_GBK"/>
          <w:color w:val="auto"/>
          <w:sz w:val="32"/>
          <w:szCs w:val="32"/>
          <w:lang w:val="en-US" w:eastAsia="zh-CN"/>
        </w:rPr>
        <w:t>本单位无线下</w:t>
      </w:r>
      <w:r>
        <w:rPr>
          <w:rFonts w:hint="eastAsia" w:ascii="方正仿宋_GBK" w:hAnsi="方正仿宋_GBK" w:eastAsia="方正仿宋_GBK" w:cs="方正仿宋_GBK"/>
          <w:color w:val="auto"/>
          <w:sz w:val="32"/>
          <w:szCs w:val="32"/>
        </w:rPr>
        <w:t>会议。本年度培训费支出</w:t>
      </w:r>
      <w:r>
        <w:rPr>
          <w:rFonts w:hint="eastAsia" w:ascii="方正仿宋_GBK" w:hAnsi="方正仿宋_GBK" w:eastAsia="方正仿宋_GBK" w:cs="方正仿宋_GBK"/>
          <w:color w:val="auto"/>
          <w:sz w:val="32"/>
          <w:szCs w:val="32"/>
          <w:lang w:val="en-US" w:eastAsia="zh-CN"/>
        </w:rPr>
        <w:t>0.01</w:t>
      </w:r>
      <w:r>
        <w:rPr>
          <w:rFonts w:hint="eastAsia" w:ascii="方正仿宋_GBK" w:hAnsi="方正仿宋_GBK" w:eastAsia="方正仿宋_GBK" w:cs="方正仿宋_GBK"/>
          <w:color w:val="auto"/>
          <w:sz w:val="32"/>
          <w:szCs w:val="32"/>
        </w:rPr>
        <w:t>万元，较上年决算数增加</w:t>
      </w:r>
      <w:r>
        <w:rPr>
          <w:rFonts w:hint="eastAsia" w:ascii="方正仿宋_GBK" w:hAnsi="方正仿宋_GBK" w:eastAsia="方正仿宋_GBK" w:cs="方正仿宋_GBK"/>
          <w:color w:val="auto"/>
          <w:sz w:val="32"/>
          <w:szCs w:val="32"/>
          <w:lang w:val="en-US" w:eastAsia="zh-CN"/>
        </w:rPr>
        <w:t>0.01</w:t>
      </w:r>
      <w:bookmarkStart w:id="0" w:name="_GoBack"/>
      <w:bookmarkEnd w:id="0"/>
      <w:r>
        <w:rPr>
          <w:rFonts w:hint="eastAsia" w:ascii="方正仿宋_GBK" w:hAnsi="方正仿宋_GBK" w:eastAsia="方正仿宋_GBK" w:cs="方正仿宋_GBK"/>
          <w:color w:val="auto"/>
          <w:sz w:val="32"/>
          <w:szCs w:val="32"/>
        </w:rPr>
        <w:t>万元，增长</w:t>
      </w:r>
      <w:r>
        <w:rPr>
          <w:rFonts w:hint="eastAsia" w:ascii="方正仿宋_GBK" w:hAnsi="方正仿宋_GBK" w:eastAsia="方正仿宋_GBK" w:cs="方正仿宋_GBK"/>
          <w:color w:val="auto"/>
          <w:sz w:val="32"/>
          <w:szCs w:val="32"/>
          <w:lang w:val="en-US" w:eastAsia="zh-CN"/>
        </w:rPr>
        <w:t>100</w:t>
      </w:r>
      <w:r>
        <w:rPr>
          <w:rFonts w:hint="eastAsia" w:ascii="方正仿宋_GBK" w:hAnsi="方正仿宋_GBK" w:eastAsia="方正仿宋_GBK" w:cs="方正仿宋_GBK"/>
          <w:color w:val="auto"/>
          <w:sz w:val="32"/>
          <w:szCs w:val="32"/>
        </w:rPr>
        <w:t>%，主要原因是继续教育学习网上培训费</w:t>
      </w:r>
      <w:r>
        <w:rPr>
          <w:rFonts w:hint="eastAsia" w:ascii="方正仿宋_GBK" w:hAnsi="方正仿宋_GBK" w:eastAsia="方正仿宋_GBK" w:cs="方正仿宋_GBK"/>
          <w:color w:val="auto"/>
          <w:sz w:val="32"/>
          <w:szCs w:val="32"/>
          <w:lang w:val="en-US" w:eastAsia="zh-CN"/>
        </w:rPr>
        <w:t>增加</w:t>
      </w:r>
      <w:r>
        <w:rPr>
          <w:rFonts w:hint="eastAsia" w:ascii="方正仿宋_GBK" w:hAnsi="方正仿宋_GBK" w:eastAsia="方正仿宋_GBK" w:cs="方正仿宋_GBK"/>
          <w:color w:val="auto"/>
          <w:sz w:val="32"/>
          <w:szCs w:val="32"/>
        </w:rPr>
        <w:t xml:space="preserve"> 。</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方正楷体_GBK" w:hAnsi="方正楷体_GBK" w:eastAsia="方正楷体_GBK" w:cs="方正楷体_GBK"/>
          <w:b/>
          <w:bCs/>
          <w:color w:val="auto"/>
          <w:sz w:val="32"/>
          <w:szCs w:val="32"/>
          <w:shd w:val="clear" w:color="auto" w:fill="auto"/>
        </w:rPr>
      </w:pPr>
      <w:r>
        <w:rPr>
          <w:rFonts w:hint="eastAsia" w:ascii="方正楷体_GBK" w:hAnsi="方正楷体_GBK" w:eastAsia="方正楷体_GBK" w:cs="方正楷体_GBK"/>
          <w:b/>
          <w:bCs/>
          <w:color w:val="auto"/>
          <w:sz w:val="32"/>
          <w:szCs w:val="32"/>
          <w:shd w:val="clear" w:color="auto" w:fill="auto"/>
        </w:rPr>
        <w:t>（二）机关运行经费支出情况说明</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202</w:t>
      </w:r>
      <w:r>
        <w:rPr>
          <w:rFonts w:hint="eastAsia" w:ascii="方正仿宋_GBK" w:hAnsi="方正仿宋_GBK" w:eastAsia="方正仿宋_GBK" w:cs="方正仿宋_GBK"/>
          <w:color w:val="auto"/>
          <w:sz w:val="32"/>
          <w:szCs w:val="32"/>
          <w:lang w:val="en-US" w:eastAsia="zh-CN"/>
        </w:rPr>
        <w:t>4</w:t>
      </w:r>
      <w:r>
        <w:rPr>
          <w:rFonts w:hint="eastAsia" w:ascii="方正仿宋_GBK" w:hAnsi="方正仿宋_GBK" w:eastAsia="方正仿宋_GBK" w:cs="方正仿宋_GBK"/>
          <w:color w:val="auto"/>
          <w:sz w:val="32"/>
          <w:szCs w:val="32"/>
        </w:rPr>
        <w:t>年度本部门机关运行经费支出</w:t>
      </w:r>
      <w:r>
        <w:rPr>
          <w:rFonts w:hint="eastAsia" w:ascii="方正仿宋_GBK" w:hAnsi="方正仿宋_GBK" w:eastAsia="方正仿宋_GBK" w:cs="方正仿宋_GBK"/>
          <w:color w:val="auto"/>
          <w:sz w:val="32"/>
          <w:szCs w:val="32"/>
          <w:lang w:val="en-US" w:eastAsia="zh-CN"/>
        </w:rPr>
        <w:t>0</w:t>
      </w:r>
      <w:r>
        <w:rPr>
          <w:rFonts w:hint="eastAsia" w:ascii="方正仿宋_GBK" w:hAnsi="方正仿宋_GBK" w:eastAsia="方正仿宋_GBK" w:cs="方正仿宋_GBK"/>
          <w:color w:val="auto"/>
          <w:sz w:val="32"/>
          <w:szCs w:val="32"/>
        </w:rPr>
        <w:t>万元，主要用于开支</w:t>
      </w:r>
      <w:r>
        <w:rPr>
          <w:rFonts w:hint="eastAsia" w:ascii="方正仿宋_GBK" w:hAnsi="方正仿宋_GBK" w:eastAsia="方正仿宋_GBK" w:cs="方正仿宋_GBK"/>
          <w:color w:val="auto"/>
          <w:sz w:val="32"/>
          <w:szCs w:val="32"/>
          <w:shd w:val="clear" w:color="auto" w:fill="auto"/>
        </w:rPr>
        <w:t>办公用品消耗、水电费、印刷费等</w:t>
      </w:r>
      <w:r>
        <w:rPr>
          <w:rFonts w:hint="eastAsia" w:ascii="方正仿宋_GBK" w:hAnsi="方正仿宋_GBK" w:eastAsia="方正仿宋_GBK" w:cs="方正仿宋_GBK"/>
          <w:color w:val="auto"/>
          <w:sz w:val="32"/>
          <w:szCs w:val="32"/>
        </w:rPr>
        <w:t>。机关运行经费较上年决算数</w:t>
      </w:r>
      <w:r>
        <w:rPr>
          <w:rFonts w:hint="eastAsia" w:ascii="方正仿宋_GBK" w:hAnsi="方正仿宋_GBK" w:eastAsia="方正仿宋_GBK" w:cs="方正仿宋_GBK"/>
          <w:color w:val="auto"/>
          <w:sz w:val="32"/>
          <w:szCs w:val="32"/>
          <w:lang w:val="en-US" w:eastAsia="zh-CN"/>
        </w:rPr>
        <w:t>增加0万</w:t>
      </w:r>
      <w:r>
        <w:rPr>
          <w:rFonts w:hint="eastAsia" w:ascii="方正仿宋_GBK" w:hAnsi="方正仿宋_GBK" w:eastAsia="方正仿宋_GBK" w:cs="方正仿宋_GBK"/>
          <w:color w:val="auto"/>
          <w:sz w:val="32"/>
          <w:szCs w:val="32"/>
        </w:rPr>
        <w:t>元，</w:t>
      </w:r>
      <w:r>
        <w:rPr>
          <w:rFonts w:hint="eastAsia" w:ascii="方正仿宋_GBK" w:hAnsi="方正仿宋_GBK" w:eastAsia="方正仿宋_GBK" w:cs="方正仿宋_GBK"/>
          <w:color w:val="auto"/>
          <w:sz w:val="32"/>
          <w:szCs w:val="32"/>
          <w:lang w:val="en-US" w:eastAsia="zh-CN"/>
        </w:rPr>
        <w:t>上升0</w:t>
      </w:r>
      <w:r>
        <w:rPr>
          <w:rFonts w:hint="eastAsia" w:ascii="方正仿宋_GBK" w:hAnsi="方正仿宋_GBK" w:eastAsia="方正仿宋_GBK" w:cs="方正仿宋_GBK"/>
          <w:color w:val="auto"/>
          <w:sz w:val="32"/>
          <w:szCs w:val="32"/>
        </w:rPr>
        <w:t>%，主要原因是</w:t>
      </w:r>
      <w:r>
        <w:rPr>
          <w:rFonts w:hint="eastAsia" w:ascii="方正仿宋_GBK" w:hAnsi="方正仿宋_GBK" w:eastAsia="方正仿宋_GBK" w:cs="方正仿宋_GBK"/>
          <w:color w:val="auto"/>
          <w:sz w:val="32"/>
          <w:szCs w:val="32"/>
          <w:lang w:val="en-US" w:eastAsia="zh-CN"/>
        </w:rPr>
        <w:t>本单位是三江街道下属事业单位，无机关运行经费</w:t>
      </w:r>
      <w:r>
        <w:rPr>
          <w:rFonts w:hint="eastAsia" w:ascii="方正仿宋_GBK" w:hAnsi="方正仿宋_GBK" w:eastAsia="方正仿宋_GBK" w:cs="方正仿宋_GBK"/>
          <w:color w:val="auto"/>
          <w:sz w:val="32"/>
          <w:szCs w:val="32"/>
        </w:rPr>
        <w:t>。</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方正楷体_GBK" w:hAnsi="方正楷体_GBK" w:eastAsia="方正楷体_GBK" w:cs="方正楷体_GBK"/>
          <w:b/>
          <w:bCs/>
          <w:color w:val="auto"/>
          <w:sz w:val="32"/>
          <w:szCs w:val="32"/>
          <w:shd w:val="clear" w:color="auto" w:fill="auto"/>
        </w:rPr>
      </w:pPr>
      <w:r>
        <w:rPr>
          <w:rFonts w:hint="eastAsia" w:ascii="方正楷体_GBK" w:hAnsi="方正楷体_GBK" w:eastAsia="方正楷体_GBK" w:cs="方正楷体_GBK"/>
          <w:b/>
          <w:bCs/>
          <w:color w:val="auto"/>
          <w:sz w:val="32"/>
          <w:szCs w:val="32"/>
          <w:shd w:val="clear" w:color="auto" w:fill="auto"/>
        </w:rPr>
        <w:t>（三）国有资产占用情况说明</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截至202</w:t>
      </w:r>
      <w:r>
        <w:rPr>
          <w:rFonts w:hint="eastAsia" w:ascii="方正仿宋_GBK" w:hAnsi="方正仿宋_GBK" w:eastAsia="方正仿宋_GBK" w:cs="方正仿宋_GBK"/>
          <w:color w:val="auto"/>
          <w:sz w:val="32"/>
          <w:szCs w:val="32"/>
          <w:lang w:val="en-US" w:eastAsia="zh-CN"/>
        </w:rPr>
        <w:t>4</w:t>
      </w:r>
      <w:r>
        <w:rPr>
          <w:rFonts w:hint="eastAsia" w:ascii="方正仿宋_GBK" w:hAnsi="方正仿宋_GBK" w:eastAsia="方正仿宋_GBK" w:cs="方正仿宋_GBK"/>
          <w:color w:val="auto"/>
          <w:sz w:val="32"/>
          <w:szCs w:val="32"/>
        </w:rPr>
        <w:t>年12月31日，本部门共有车辆</w:t>
      </w:r>
      <w:r>
        <w:rPr>
          <w:rFonts w:hint="eastAsia" w:ascii="方正仿宋_GBK" w:hAnsi="方正仿宋_GBK" w:eastAsia="方正仿宋_GBK" w:cs="方正仿宋_GBK"/>
          <w:color w:val="auto"/>
          <w:sz w:val="32"/>
          <w:szCs w:val="32"/>
          <w:lang w:val="en-US" w:eastAsia="zh-CN"/>
        </w:rPr>
        <w:t>0</w:t>
      </w:r>
      <w:r>
        <w:rPr>
          <w:rFonts w:hint="eastAsia" w:ascii="方正仿宋_GBK" w:hAnsi="方正仿宋_GBK" w:eastAsia="方正仿宋_GBK" w:cs="方正仿宋_GBK"/>
          <w:color w:val="auto"/>
          <w:sz w:val="32"/>
          <w:szCs w:val="32"/>
        </w:rPr>
        <w:t>辆，其中，副部（省）级及以上领导用车0辆、主要领导干部用车0辆、机要通信用车</w:t>
      </w:r>
      <w:r>
        <w:rPr>
          <w:rFonts w:hint="eastAsia" w:ascii="方正仿宋_GBK" w:hAnsi="方正仿宋_GBK" w:eastAsia="方正仿宋_GBK" w:cs="方正仿宋_GBK"/>
          <w:color w:val="auto"/>
          <w:sz w:val="32"/>
          <w:szCs w:val="32"/>
          <w:lang w:val="en-US" w:eastAsia="zh-CN"/>
        </w:rPr>
        <w:t>0</w:t>
      </w:r>
      <w:r>
        <w:rPr>
          <w:rFonts w:hint="eastAsia" w:ascii="方正仿宋_GBK" w:hAnsi="方正仿宋_GBK" w:eastAsia="方正仿宋_GBK" w:cs="方正仿宋_GBK"/>
          <w:color w:val="auto"/>
          <w:sz w:val="32"/>
          <w:szCs w:val="32"/>
        </w:rPr>
        <w:t>辆、应急保障用车</w:t>
      </w:r>
      <w:r>
        <w:rPr>
          <w:rFonts w:hint="eastAsia" w:ascii="方正仿宋_GBK" w:hAnsi="方正仿宋_GBK" w:eastAsia="方正仿宋_GBK" w:cs="方正仿宋_GBK"/>
          <w:color w:val="auto"/>
          <w:sz w:val="32"/>
          <w:szCs w:val="32"/>
          <w:lang w:val="en-US" w:eastAsia="zh-CN"/>
        </w:rPr>
        <w:t>0</w:t>
      </w:r>
      <w:r>
        <w:rPr>
          <w:rFonts w:hint="eastAsia" w:ascii="方正仿宋_GBK" w:hAnsi="方正仿宋_GBK" w:eastAsia="方正仿宋_GBK" w:cs="方正仿宋_GBK"/>
          <w:color w:val="auto"/>
          <w:sz w:val="32"/>
          <w:szCs w:val="32"/>
        </w:rPr>
        <w:t>辆、执法执勤用车0辆，特种专业技术用车</w:t>
      </w:r>
      <w:r>
        <w:rPr>
          <w:rFonts w:hint="eastAsia" w:ascii="方正仿宋_GBK" w:hAnsi="方正仿宋_GBK" w:eastAsia="方正仿宋_GBK" w:cs="方正仿宋_GBK"/>
          <w:color w:val="auto"/>
          <w:sz w:val="32"/>
          <w:szCs w:val="32"/>
          <w:lang w:val="en-US" w:eastAsia="zh-CN"/>
        </w:rPr>
        <w:t>0</w:t>
      </w:r>
      <w:r>
        <w:rPr>
          <w:rFonts w:hint="eastAsia" w:ascii="方正仿宋_GBK" w:hAnsi="方正仿宋_GBK" w:eastAsia="方正仿宋_GBK" w:cs="方正仿宋_GBK"/>
          <w:color w:val="auto"/>
          <w:sz w:val="32"/>
          <w:szCs w:val="32"/>
        </w:rPr>
        <w:t>辆，离退休干部用车0辆，其他用车0辆。单价100万元（含）以上设备（不含车辆）0台（套）。</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方正楷体_GBK" w:hAnsi="方正楷体_GBK" w:eastAsia="方正楷体_GBK" w:cs="方正楷体_GBK"/>
          <w:b/>
          <w:bCs/>
          <w:color w:val="auto"/>
          <w:sz w:val="32"/>
          <w:szCs w:val="32"/>
          <w:shd w:val="clear" w:color="auto" w:fill="auto"/>
        </w:rPr>
      </w:pPr>
      <w:r>
        <w:rPr>
          <w:rFonts w:hint="eastAsia" w:ascii="方正楷体_GBK" w:hAnsi="方正楷体_GBK" w:eastAsia="方正楷体_GBK" w:cs="方正楷体_GBK"/>
          <w:b/>
          <w:bCs/>
          <w:color w:val="auto"/>
          <w:sz w:val="32"/>
          <w:szCs w:val="32"/>
          <w:shd w:val="clear" w:color="auto" w:fill="auto"/>
        </w:rPr>
        <w:t>（四）政府采购支出说明</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202</w:t>
      </w:r>
      <w:r>
        <w:rPr>
          <w:rFonts w:hint="eastAsia" w:ascii="方正仿宋_GBK" w:hAnsi="方正仿宋_GBK" w:eastAsia="方正仿宋_GBK" w:cs="方正仿宋_GBK"/>
          <w:color w:val="auto"/>
          <w:sz w:val="32"/>
          <w:szCs w:val="32"/>
          <w:lang w:val="en-US" w:eastAsia="zh-CN"/>
        </w:rPr>
        <w:t>4</w:t>
      </w:r>
      <w:r>
        <w:rPr>
          <w:rFonts w:hint="eastAsia" w:ascii="方正仿宋_GBK" w:hAnsi="方正仿宋_GBK" w:eastAsia="方正仿宋_GBK" w:cs="方正仿宋_GBK"/>
          <w:color w:val="auto"/>
          <w:sz w:val="32"/>
          <w:szCs w:val="32"/>
        </w:rPr>
        <w:t>年度本部门政府采购支出总额</w:t>
      </w:r>
      <w:r>
        <w:rPr>
          <w:rFonts w:hint="eastAsia" w:ascii="方正仿宋_GBK" w:hAnsi="方正仿宋_GBK" w:eastAsia="方正仿宋_GBK" w:cs="方正仿宋_GBK"/>
          <w:color w:val="auto"/>
          <w:sz w:val="32"/>
          <w:szCs w:val="32"/>
          <w:lang w:val="en-US" w:eastAsia="zh-CN"/>
        </w:rPr>
        <w:t>0</w:t>
      </w:r>
      <w:r>
        <w:rPr>
          <w:rFonts w:hint="eastAsia" w:ascii="方正仿宋_GBK" w:hAnsi="方正仿宋_GBK" w:eastAsia="方正仿宋_GBK" w:cs="方正仿宋_GBK"/>
          <w:color w:val="auto"/>
          <w:sz w:val="32"/>
          <w:szCs w:val="32"/>
        </w:rPr>
        <w:t>万元，其中：政府采购货物支出0.00万元、政府采购工程支出</w:t>
      </w:r>
      <w:r>
        <w:rPr>
          <w:rFonts w:hint="eastAsia" w:ascii="方正仿宋_GBK" w:hAnsi="方正仿宋_GBK" w:eastAsia="方正仿宋_GBK" w:cs="方正仿宋_GBK"/>
          <w:color w:val="auto"/>
          <w:sz w:val="32"/>
          <w:szCs w:val="32"/>
          <w:lang w:val="en-US" w:eastAsia="zh-CN"/>
        </w:rPr>
        <w:t>0</w:t>
      </w:r>
      <w:r>
        <w:rPr>
          <w:rFonts w:hint="eastAsia" w:ascii="方正仿宋_GBK" w:hAnsi="方正仿宋_GBK" w:eastAsia="方正仿宋_GBK" w:cs="方正仿宋_GBK"/>
          <w:color w:val="auto"/>
          <w:sz w:val="32"/>
          <w:szCs w:val="32"/>
        </w:rPr>
        <w:t>万元、政府采购服务支出</w:t>
      </w:r>
      <w:r>
        <w:rPr>
          <w:rFonts w:hint="eastAsia" w:ascii="方正仿宋_GBK" w:hAnsi="方正仿宋_GBK" w:eastAsia="方正仿宋_GBK" w:cs="方正仿宋_GBK"/>
          <w:color w:val="auto"/>
          <w:sz w:val="32"/>
          <w:szCs w:val="32"/>
          <w:lang w:val="en-US" w:eastAsia="zh-CN"/>
        </w:rPr>
        <w:t>0</w:t>
      </w:r>
      <w:r>
        <w:rPr>
          <w:rFonts w:hint="eastAsia" w:ascii="方正仿宋_GBK" w:hAnsi="方正仿宋_GBK" w:eastAsia="方正仿宋_GBK" w:cs="方正仿宋_GBK"/>
          <w:color w:val="auto"/>
          <w:sz w:val="32"/>
          <w:szCs w:val="32"/>
        </w:rPr>
        <w:t>万元。授予中小企业合同金额</w:t>
      </w:r>
      <w:r>
        <w:rPr>
          <w:rFonts w:hint="eastAsia" w:ascii="方正仿宋_GBK" w:hAnsi="方正仿宋_GBK" w:eastAsia="方正仿宋_GBK" w:cs="方正仿宋_GBK"/>
          <w:color w:val="auto"/>
          <w:sz w:val="32"/>
          <w:szCs w:val="32"/>
          <w:lang w:val="en-US" w:eastAsia="zh-CN"/>
        </w:rPr>
        <w:t>0</w:t>
      </w:r>
      <w:r>
        <w:rPr>
          <w:rFonts w:hint="eastAsia" w:ascii="方正仿宋_GBK" w:hAnsi="方正仿宋_GBK" w:eastAsia="方正仿宋_GBK" w:cs="方正仿宋_GBK"/>
          <w:color w:val="auto"/>
          <w:sz w:val="32"/>
          <w:szCs w:val="32"/>
        </w:rPr>
        <w:t>万元，占政府采购支出总额的</w:t>
      </w:r>
      <w:r>
        <w:rPr>
          <w:rFonts w:hint="eastAsia" w:ascii="方正仿宋_GBK" w:hAnsi="方正仿宋_GBK" w:eastAsia="方正仿宋_GBK" w:cs="方正仿宋_GBK"/>
          <w:color w:val="auto"/>
          <w:sz w:val="32"/>
          <w:szCs w:val="32"/>
          <w:lang w:val="en-US" w:eastAsia="zh-CN"/>
        </w:rPr>
        <w:t>0</w:t>
      </w:r>
      <w:r>
        <w:rPr>
          <w:rFonts w:hint="eastAsia" w:ascii="方正仿宋_GBK" w:hAnsi="方正仿宋_GBK" w:eastAsia="方正仿宋_GBK" w:cs="方正仿宋_GBK"/>
          <w:color w:val="auto"/>
          <w:sz w:val="32"/>
          <w:szCs w:val="32"/>
        </w:rPr>
        <w:t>%，其中：授予小微企业合同金额</w:t>
      </w:r>
      <w:r>
        <w:rPr>
          <w:rFonts w:hint="eastAsia" w:ascii="方正仿宋_GBK" w:hAnsi="方正仿宋_GBK" w:eastAsia="方正仿宋_GBK" w:cs="方正仿宋_GBK"/>
          <w:color w:val="auto"/>
          <w:sz w:val="32"/>
          <w:szCs w:val="32"/>
          <w:lang w:val="en-US" w:eastAsia="zh-CN"/>
        </w:rPr>
        <w:t>0</w:t>
      </w:r>
      <w:r>
        <w:rPr>
          <w:rFonts w:hint="eastAsia" w:ascii="方正仿宋_GBK" w:hAnsi="方正仿宋_GBK" w:eastAsia="方正仿宋_GBK" w:cs="方正仿宋_GBK"/>
          <w:color w:val="auto"/>
          <w:sz w:val="32"/>
          <w:szCs w:val="32"/>
        </w:rPr>
        <w:t>万元，占政府采购支出总额的</w:t>
      </w:r>
      <w:r>
        <w:rPr>
          <w:rFonts w:hint="eastAsia" w:ascii="方正仿宋_GBK" w:hAnsi="方正仿宋_GBK" w:eastAsia="方正仿宋_GBK" w:cs="方正仿宋_GBK"/>
          <w:color w:val="auto"/>
          <w:sz w:val="32"/>
          <w:szCs w:val="32"/>
          <w:lang w:val="en-US" w:eastAsia="zh-CN"/>
        </w:rPr>
        <w:t>0</w:t>
      </w:r>
      <w:r>
        <w:rPr>
          <w:rFonts w:hint="eastAsia" w:ascii="方正仿宋_GBK" w:hAnsi="方正仿宋_GBK" w:eastAsia="方正仿宋_GBK" w:cs="方正仿宋_GBK"/>
          <w:color w:val="auto"/>
          <w:sz w:val="32"/>
          <w:szCs w:val="32"/>
        </w:rPr>
        <w:t>%。</w:t>
      </w:r>
    </w:p>
    <w:p>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eastAsia" w:ascii="黑体" w:hAnsi="黑体" w:eastAsia="黑体" w:cs="黑体"/>
          <w:sz w:val="32"/>
          <w:szCs w:val="32"/>
          <w:shd w:val="clear" w:color="auto" w:fill="FFFFFF"/>
          <w:lang w:val="en-US" w:eastAsia="zh-CN" w:bidi="ar-SA"/>
        </w:rPr>
      </w:pPr>
      <w:r>
        <w:rPr>
          <w:rStyle w:val="10"/>
          <w:rFonts w:hint="eastAsia" w:ascii="黑体" w:hAnsi="黑体" w:eastAsia="黑体" w:cs="黑体"/>
          <w:sz w:val="32"/>
          <w:szCs w:val="32"/>
          <w:shd w:val="clear" w:color="auto" w:fill="FFFFFF"/>
          <w:lang w:val="en-US" w:eastAsia="zh-CN" w:bidi="ar-SA"/>
        </w:rPr>
        <w:t>五、2024年度预算绩效管理情况说明</w:t>
      </w:r>
    </w:p>
    <w:p>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3" w:firstLineChars="200"/>
        <w:jc w:val="left"/>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（一）单位自评情况</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jc w:val="left"/>
        <w:textAlignment w:val="auto"/>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本单位是三江街道下属事业单位，绩效评价由机关本级统一进行。</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jc w:val="left"/>
        <w:textAlignment w:val="auto"/>
        <w:rPr>
          <w:rFonts w:hint="eastAsia" w:ascii="方正仿宋_GBK" w:hAnsi="方正仿宋_GBK" w:eastAsia="方正仿宋_GBK" w:cs="方正仿宋_GBK"/>
          <w:b/>
          <w:bCs/>
          <w:kern w:val="0"/>
          <w:sz w:val="32"/>
          <w:szCs w:val="32"/>
          <w:shd w:val="clear" w:fill="FFFFFF"/>
          <w:lang w:eastAsia="zh-CN"/>
        </w:rPr>
      </w:pPr>
      <w:r>
        <w:rPr>
          <w:rFonts w:hint="eastAsia" w:ascii="方正仿宋_GBK" w:hAnsi="方正仿宋_GBK" w:eastAsia="方正仿宋_GBK" w:cs="方正仿宋_GBK"/>
          <w:b/>
          <w:bCs/>
          <w:kern w:val="0"/>
          <w:sz w:val="32"/>
          <w:szCs w:val="32"/>
          <w:shd w:val="clear" w:fill="FFFFFF"/>
        </w:rPr>
        <w:t>部门整体绩效自评</w:t>
      </w:r>
      <w:r>
        <w:rPr>
          <w:rFonts w:hint="eastAsia" w:ascii="方正仿宋_GBK" w:hAnsi="方正仿宋_GBK" w:eastAsia="方正仿宋_GBK" w:cs="方正仿宋_GBK"/>
          <w:b/>
          <w:bCs/>
          <w:kern w:val="0"/>
          <w:sz w:val="32"/>
          <w:szCs w:val="32"/>
          <w:shd w:val="clear" w:fill="FFFFFF"/>
          <w:lang w:eastAsia="zh-CN"/>
        </w:rPr>
        <w:t>表</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b w:val="0"/>
          <w:bCs w:val="0"/>
          <w:kern w:val="0"/>
          <w:sz w:val="32"/>
          <w:szCs w:val="32"/>
          <w:highlight w:val="none"/>
          <w:shd w:val="clear" w:fill="FFFFFF"/>
          <w:lang w:val="en-US" w:eastAsia="zh-CN"/>
        </w:rPr>
      </w:pPr>
      <w:r>
        <w:rPr>
          <w:rFonts w:hint="eastAsia" w:ascii="方正仿宋_GBK" w:hAnsi="方正仿宋_GBK" w:eastAsia="方正仿宋_GBK" w:cs="方正仿宋_GBK"/>
          <w:b w:val="0"/>
          <w:bCs w:val="0"/>
          <w:kern w:val="0"/>
          <w:sz w:val="32"/>
          <w:szCs w:val="32"/>
          <w:highlight w:val="none"/>
          <w:shd w:val="clear" w:fill="FFFFFF"/>
          <w:lang w:val="en-US" w:eastAsia="zh-CN"/>
        </w:rPr>
        <w:t>无</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b/>
          <w:bCs/>
          <w:kern w:val="0"/>
          <w:sz w:val="32"/>
          <w:szCs w:val="32"/>
          <w:shd w:val="clear" w:fill="FFFFFF"/>
        </w:rPr>
      </w:pPr>
      <w:r>
        <w:rPr>
          <w:rFonts w:hint="eastAsia" w:ascii="方正仿宋_GBK" w:hAnsi="方正仿宋_GBK" w:eastAsia="方正仿宋_GBK" w:cs="方正仿宋_GBK"/>
          <w:b/>
          <w:bCs/>
          <w:kern w:val="0"/>
          <w:sz w:val="32"/>
          <w:szCs w:val="32"/>
          <w:shd w:val="clear" w:fill="FFFFFF"/>
        </w:rPr>
        <w:t>项目支出绩效自评表（一级项目）</w:t>
      </w:r>
    </w:p>
    <w:p>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0" w:firstLineChars="200"/>
        <w:jc w:val="left"/>
        <w:textAlignment w:val="auto"/>
        <w:rPr>
          <w:rFonts w:hint="eastAsia" w:ascii="方正仿宋_GBK" w:hAnsi="方正仿宋_GBK" w:eastAsia="方正仿宋_GBK" w:cs="方正仿宋_GBK"/>
          <w:b w:val="0"/>
          <w:bCs w:val="0"/>
          <w:kern w:val="0"/>
          <w:sz w:val="32"/>
          <w:szCs w:val="32"/>
          <w:highlight w:val="none"/>
          <w:shd w:val="clear" w:fill="FFFFFF"/>
          <w:lang w:val="en-US" w:eastAsia="zh-CN"/>
        </w:rPr>
      </w:pPr>
      <w:r>
        <w:rPr>
          <w:rFonts w:hint="eastAsia" w:ascii="方正仿宋_GBK" w:hAnsi="方正仿宋_GBK" w:eastAsia="方正仿宋_GBK" w:cs="方正仿宋_GBK"/>
          <w:b w:val="0"/>
          <w:bCs w:val="0"/>
          <w:kern w:val="0"/>
          <w:sz w:val="32"/>
          <w:szCs w:val="32"/>
          <w:highlight w:val="none"/>
          <w:shd w:val="clear" w:fill="FFFFFF"/>
          <w:lang w:val="en-US" w:eastAsia="zh-CN"/>
        </w:rPr>
        <w:t>无</w:t>
      </w:r>
    </w:p>
    <w:p>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3" w:firstLineChars="200"/>
        <w:jc w:val="left"/>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（二）部门绩效评价情况</w:t>
      </w:r>
    </w:p>
    <w:p>
      <w:pPr>
        <w:pStyle w:val="16"/>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0" w:firstLineChars="200"/>
        <w:textAlignment w:val="auto"/>
        <w:rPr>
          <w:rFonts w:hint="eastAsia" w:ascii="方正仿宋_GBK" w:hAnsi="方正仿宋_GBK" w:eastAsia="方正仿宋_GBK" w:cs="方正仿宋_GBK"/>
          <w:kern w:val="0"/>
          <w:sz w:val="32"/>
          <w:szCs w:val="32"/>
          <w:shd w:val="clear" w:fill="FFFFFF"/>
          <w:lang w:val="en-US" w:eastAsia="zh-CN"/>
        </w:rPr>
      </w:pPr>
      <w:r>
        <w:rPr>
          <w:rFonts w:hint="eastAsia" w:ascii="方正仿宋_GBK" w:hAnsi="方正仿宋_GBK" w:eastAsia="方正仿宋_GBK" w:cs="方正仿宋_GBK"/>
          <w:kern w:val="0"/>
          <w:sz w:val="32"/>
          <w:szCs w:val="32"/>
          <w:shd w:val="clear" w:fill="FFFFFF"/>
          <w:lang w:val="en-US" w:eastAsia="zh-CN"/>
        </w:rPr>
        <w:t>无</w:t>
      </w:r>
    </w:p>
    <w:p>
      <w:pPr>
        <w:pStyle w:val="16"/>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3" w:firstLineChars="200"/>
        <w:textAlignment w:val="auto"/>
        <w:rPr>
          <w:rFonts w:hint="eastAsia" w:ascii="方正仿宋_GBK" w:hAnsi="方正仿宋_GBK" w:eastAsia="方正仿宋_GBK" w:cs="方正仿宋_GBK"/>
          <w:b w:val="0"/>
          <w:bCs w:val="0"/>
          <w:kern w:val="0"/>
          <w:sz w:val="32"/>
          <w:szCs w:val="32"/>
          <w:shd w:val="clear" w:fill="FFFFFF"/>
        </w:rPr>
      </w:pPr>
      <w:r>
        <w:rPr>
          <w:rFonts w:hint="eastAsia" w:ascii="楷体" w:hAnsi="楷体" w:eastAsia="楷体" w:cs="楷体"/>
          <w:b/>
          <w:bCs/>
          <w:kern w:val="0"/>
          <w:sz w:val="32"/>
          <w:szCs w:val="32"/>
          <w:shd w:val="clear" w:fill="FFFFFF"/>
          <w:lang w:val="en-US" w:eastAsia="zh-CN" w:bidi="ar"/>
        </w:rPr>
        <w:t>（三）财政绩效评价情况</w:t>
      </w:r>
    </w:p>
    <w:p>
      <w:pPr>
        <w:pStyle w:val="12"/>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shd w:val="clear" w:fill="FFFFFF"/>
          <w:lang w:val="en-US" w:eastAsia="zh-CN"/>
        </w:rPr>
      </w:pPr>
      <w:r>
        <w:rPr>
          <w:rFonts w:hint="eastAsia" w:ascii="方正仿宋_GBK" w:hAnsi="方正仿宋_GBK" w:eastAsia="方正仿宋_GBK" w:cs="方正仿宋_GBK"/>
          <w:kern w:val="0"/>
          <w:sz w:val="32"/>
          <w:szCs w:val="32"/>
          <w:shd w:val="clear" w:fill="FFFFFF"/>
          <w:lang w:val="en-US" w:eastAsia="zh-CN"/>
        </w:rPr>
        <w:t>无</w:t>
      </w:r>
    </w:p>
    <w:p>
      <w:pPr>
        <w:pStyle w:val="12"/>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rPr>
      </w:pPr>
      <w:r>
        <w:rPr>
          <w:rStyle w:val="13"/>
          <w:rFonts w:hint="eastAsia" w:ascii="方正仿宋_GBK" w:hAnsi="方正仿宋_GBK" w:eastAsia="方正仿宋_GBK" w:cs="方正仿宋_GBK"/>
          <w:b/>
          <w:bCs/>
          <w:sz w:val="32"/>
          <w:szCs w:val="32"/>
          <w:shd w:val="clear" w:fill="FFFFFF"/>
        </w:rPr>
        <w:t xml:space="preserve"> </w:t>
      </w:r>
      <w:r>
        <w:rPr>
          <w:rStyle w:val="13"/>
          <w:rFonts w:hint="eastAsia" w:ascii="方正仿宋_GBK" w:hAnsi="方正仿宋_GBK" w:eastAsia="方正仿宋_GBK" w:cs="方正仿宋_GBK"/>
          <w:b/>
          <w:bCs/>
          <w:sz w:val="32"/>
          <w:szCs w:val="32"/>
          <w:shd w:val="clear" w:fill="FFFFFF"/>
          <w:lang w:val="en-US" w:eastAsia="zh-CN"/>
        </w:rPr>
        <w:t xml:space="preserve">  </w:t>
      </w:r>
      <w:r>
        <w:rPr>
          <w:rStyle w:val="10"/>
          <w:rFonts w:hint="eastAsia" w:ascii="黑体" w:hAnsi="黑体" w:eastAsia="黑体" w:cs="黑体"/>
          <w:sz w:val="32"/>
          <w:szCs w:val="32"/>
          <w:shd w:val="clear" w:color="auto" w:fill="FFFFFF"/>
          <w:lang w:val="en-US" w:eastAsia="zh-CN" w:bidi="ar-SA"/>
        </w:rPr>
        <w:t xml:space="preserve"> 六、专业名词解释</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（五）使用非财政拨款结余（含专用结余）：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黑体" w:hAnsi="黑体" w:eastAsia="黑体" w:cs="黑体"/>
          <w:sz w:val="32"/>
          <w:szCs w:val="32"/>
          <w:shd w:val="clear" w:color="auto" w:fill="FFFFFF"/>
          <w:lang w:val="en-US" w:eastAsia="zh-CN" w:bidi="ar-SA"/>
        </w:rPr>
        <w:t>七、决算公开联系方式及信息反馈渠道</w:t>
      </w:r>
    </w:p>
    <w:p>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本单位决算公开信息反馈和联系方式：</w:t>
      </w:r>
    </w:p>
    <w:p>
      <w:pPr>
        <w:pStyle w:val="11"/>
        <w:autoSpaceDE w:val="0"/>
        <w:spacing w:line="596" w:lineRule="exact"/>
        <w:ind w:firstLine="640"/>
        <w:jc w:val="both"/>
        <w:rPr>
          <w:rStyle w:val="10"/>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eastAsia" w:ascii="方正仿宋_GBK" w:hAnsi="方正仿宋_GBK" w:eastAsia="方正仿宋_GBK" w:cs="方正仿宋_GBK"/>
          <w:color w:val="auto"/>
          <w:kern w:val="0"/>
          <w:sz w:val="32"/>
          <w:szCs w:val="32"/>
          <w:shd w:val="clear" w:fill="FFFFFF"/>
          <w:lang w:val="en-US" w:eastAsia="zh-CN"/>
        </w:rPr>
        <w:t>李金洋</w:t>
      </w:r>
      <w:r>
        <w:rPr>
          <w:rFonts w:hint="eastAsia" w:ascii="方正仿宋_GBK" w:hAnsi="方正仿宋_GBK" w:eastAsia="方正仿宋_GBK" w:cs="方正仿宋_GBK"/>
          <w:color w:val="auto"/>
          <w:kern w:val="0"/>
          <w:sz w:val="32"/>
          <w:szCs w:val="32"/>
          <w:shd w:val="clear" w:fill="FFFFFF"/>
        </w:rPr>
        <w:t xml:space="preserve">  </w:t>
      </w:r>
      <w:r>
        <w:rPr>
          <w:rFonts w:hint="eastAsia" w:ascii="方正仿宋_GBK" w:hAnsi="方正仿宋_GBK" w:eastAsia="方正仿宋_GBK" w:cs="方正仿宋_GBK"/>
          <w:color w:val="auto"/>
          <w:kern w:val="0"/>
          <w:sz w:val="32"/>
          <w:szCs w:val="32"/>
          <w:shd w:val="clear" w:fill="FFFFFF"/>
          <w:lang w:val="en-US" w:eastAsia="zh-CN"/>
        </w:rPr>
        <w:t>1531031056</w:t>
      </w:r>
    </w:p>
    <w:tbl>
      <w:tblPr>
        <w:tblStyle w:val="7"/>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hint="eastAsia" w:cs="宋体"/>
                <w:sz w:val="20"/>
                <w:szCs w:val="20"/>
                <w:lang w:eastAsia="zh-CN"/>
              </w:rPr>
              <w:t>部门</w:t>
            </w:r>
            <w:r>
              <w:rPr>
                <w:rFonts w:cs="宋体"/>
                <w:sz w:val="20"/>
                <w:szCs w:val="20"/>
              </w:rPr>
              <w:t>：</w:t>
            </w:r>
            <w:r>
              <w:rPr>
                <w:sz w:val="20"/>
                <w:u w:color="auto"/>
              </w:rPr>
              <w:t>重庆市綦江区三江街道便民服务中心（退役军人服务站）</w:t>
            </w: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212.32</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192.07</w:t>
            </w:r>
            <w:r>
              <w:rPr>
                <w:rFonts w:ascii="Times New Roman" w:hAnsi="Times New Roman"/>
                <w:color w:val="000000"/>
                <w:sz w:val="20"/>
                <w:u w:color="auto"/>
              </w:rPr>
              <w:t xml:space="preserve"> </w:t>
            </w:r>
          </w:p>
        </w:tc>
      </w:tr>
      <w:tr>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9.81</w:t>
            </w:r>
            <w:r>
              <w:rPr>
                <w:rFonts w:ascii="Times New Roman" w:hAnsi="Times New Roman"/>
                <w:color w:val="000000"/>
                <w:sz w:val="20"/>
                <w:u w:color="auto"/>
              </w:rPr>
              <w:t xml:space="preserve"> </w:t>
            </w:r>
          </w:p>
        </w:tc>
      </w:tr>
      <w:tr>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212.32</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212.32</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212.32</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212.32</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备注：1.本表反映部门本年度的总收支和年末结转结余情况。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5059" w:type="pct"/>
        <w:tblInd w:w="0" w:type="dxa"/>
        <w:tblLayout w:type="fixed"/>
        <w:tblCellMar>
          <w:top w:w="0" w:type="dxa"/>
          <w:left w:w="0" w:type="dxa"/>
          <w:bottom w:w="0" w:type="dxa"/>
          <w:right w:w="0" w:type="dxa"/>
        </w:tblCellMar>
      </w:tblPr>
      <w:tblGrid>
        <w:gridCol w:w="1362"/>
        <w:gridCol w:w="2973"/>
        <w:gridCol w:w="1377"/>
        <w:gridCol w:w="1432"/>
        <w:gridCol w:w="1466"/>
        <w:gridCol w:w="1358"/>
        <w:gridCol w:w="1383"/>
        <w:gridCol w:w="1256"/>
        <w:gridCol w:w="1256"/>
        <w:gridCol w:w="1640"/>
      </w:tblGrid>
      <w:tr>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184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sz w:val="20"/>
                <w:szCs w:val="20"/>
              </w:rPr>
              <w:t>：</w:t>
            </w:r>
            <w:r>
              <w:rPr>
                <w:sz w:val="20"/>
                <w:u w:color="auto"/>
              </w:rPr>
              <w:t>重庆市綦江区三江街道便民服务中心（退役军人服务站）</w:t>
            </w:r>
          </w:p>
        </w:tc>
        <w:tc>
          <w:tcPr>
            <w:tcW w:w="461"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1842"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1"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1398"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44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46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47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88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52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439"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958"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39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4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212.32</w:t>
            </w:r>
            <w:r>
              <w:rPr>
                <w:rFonts w:ascii="Times New Roman" w:hAnsi="Times New Roman"/>
                <w:b/>
                <w:color w:val="000000"/>
                <w:sz w:val="20"/>
                <w:u w:color="auto"/>
              </w:rPr>
              <w:t xml:space="preserve"> </w:t>
            </w:r>
          </w:p>
        </w:tc>
        <w:tc>
          <w:tcPr>
            <w:tcW w:w="4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212.32</w:t>
            </w:r>
            <w:r>
              <w:rPr>
                <w:rFonts w:ascii="Times New Roman" w:hAnsi="Times New Roman"/>
                <w:b/>
                <w:color w:val="000000"/>
                <w:sz w:val="20"/>
                <w:u w:color="auto"/>
              </w:rPr>
              <w:t xml:space="preserve"> </w:t>
            </w:r>
          </w:p>
        </w:tc>
        <w:tc>
          <w:tcPr>
            <w:tcW w:w="4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192.07</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192.07</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167.92</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167.92</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综合业务管理</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91.11</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91.11</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社会保险经办机构</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76.81</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76.81</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24.16</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24.16</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16.04</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16.04</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8.12</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8.12</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9.81</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9.81</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9.81</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9.81</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7.77</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7.77</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2.04</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2.04</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10.44</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10.44</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10.44</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10.44</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10.44</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10.44</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备注：1.本表反映部门本年度取得的各项收入情况。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7"/>
        <w:tblW w:w="5000" w:type="pct"/>
        <w:tblInd w:w="0" w:type="dxa"/>
        <w:tblLayout w:type="fixed"/>
        <w:tblCellMar>
          <w:top w:w="0" w:type="dxa"/>
          <w:left w:w="0" w:type="dxa"/>
          <w:bottom w:w="0" w:type="dxa"/>
          <w:right w:w="0" w:type="dxa"/>
        </w:tblCellMar>
      </w:tblPr>
      <w:tblGrid>
        <w:gridCol w:w="1237"/>
        <w:gridCol w:w="3916"/>
        <w:gridCol w:w="1800"/>
        <w:gridCol w:w="1740"/>
        <w:gridCol w:w="1572"/>
        <w:gridCol w:w="1508"/>
        <w:gridCol w:w="1671"/>
        <w:gridCol w:w="1878"/>
      </w:tblGrid>
      <w:tr>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2268"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 xml:space="preserve">重庆市綦江区三江街道便民服务中心（退役军人服务站） </w:t>
            </w:r>
          </w:p>
        </w:tc>
        <w:tc>
          <w:tcPr>
            <w:tcW w:w="5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2268"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58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5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49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54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403"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277"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212.32</w:t>
            </w:r>
            <w:r>
              <w:rPr>
                <w:rFonts w:ascii="Times New Roman" w:hAnsi="Times New Roman"/>
                <w:b/>
                <w:color w:val="000000"/>
                <w:sz w:val="20"/>
                <w:u w:color="auto"/>
              </w:rPr>
              <w:t xml:space="preserve"> </w:t>
            </w:r>
          </w:p>
        </w:tc>
        <w:tc>
          <w:tcPr>
            <w:tcW w:w="5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212.32</w:t>
            </w:r>
            <w:r>
              <w:rPr>
                <w:rFonts w:ascii="Times New Roman" w:hAnsi="Times New Roman"/>
                <w:b/>
                <w:color w:val="000000"/>
                <w:sz w:val="20"/>
                <w:u w:color="auto"/>
              </w:rPr>
              <w:t xml:space="preserve"> </w:t>
            </w:r>
          </w:p>
        </w:tc>
        <w:tc>
          <w:tcPr>
            <w:tcW w:w="5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9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4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192.07</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192.07</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167.92</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167.92</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综合业务管理</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91.11</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91.11</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社会保险经办机构</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76.81</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76.81</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24.16</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24.16</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16.04</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16.04</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8.12</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8.12</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9.81</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9.81</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9.81</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9.81</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7.77</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7.77</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2.04</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2.04</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10.44</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10.44</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10.44</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10.44</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10.44</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10.44</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备注：1.本表反映部门本年度各项支出情况。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7"/>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hint="eastAsia" w:cs="宋体"/>
                <w:sz w:val="20"/>
                <w:szCs w:val="20"/>
                <w:lang w:eastAsia="zh-CN"/>
              </w:rPr>
              <w:t>部门</w:t>
            </w:r>
            <w:r>
              <w:rPr>
                <w:rFonts w:cs="宋体"/>
                <w:color w:val="000000"/>
                <w:sz w:val="20"/>
                <w:szCs w:val="20"/>
              </w:rPr>
              <w:t>：</w:t>
            </w:r>
            <w:r>
              <w:rPr>
                <w:color w:val="000000"/>
                <w:sz w:val="20"/>
                <w:u w:color="auto"/>
              </w:rPr>
              <w:t>重庆市綦江区三江街道便民服务中心（退役军人服务站）</w:t>
            </w: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212.32</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192.07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192.07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9.81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9.81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10.44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10.44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212.32</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212.32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212.32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212.32</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212.32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212.32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autofit"/>
        <w:tblCellMar>
          <w:top w:w="0" w:type="dxa"/>
          <w:left w:w="0" w:type="dxa"/>
          <w:bottom w:w="0" w:type="dxa"/>
          <w:right w:w="0" w:type="dxa"/>
        </w:tblCellMar>
      </w:tblPr>
      <w:tblGrid>
        <w:gridCol w:w="1330"/>
        <w:gridCol w:w="4067"/>
        <w:gridCol w:w="3300"/>
        <w:gridCol w:w="3291"/>
        <w:gridCol w:w="3334"/>
      </w:tblGrid>
      <w:tr>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重庆市綦江区三江街道便民服务中心（退役军人服务站）</w:t>
            </w: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212.32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212.32</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192.07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192.07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167.92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167.92</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综合业务管理</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91.11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91.11</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社会保险经办机构</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76.81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76.81</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24.16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24.16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16.04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16.04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8.12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8.12</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9.81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9.81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9.81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9.81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7.77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7.77</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10.44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10.44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10.44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10.44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10.44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10.44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备注：1.本表反映部门本年度一般公共预算财政拨款支出情况。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7"/>
        <w:tblW w:w="4994" w:type="pct"/>
        <w:tblInd w:w="0" w:type="dxa"/>
        <w:tblLayout w:type="autofit"/>
        <w:tblCellMar>
          <w:top w:w="0" w:type="dxa"/>
          <w:left w:w="0" w:type="dxa"/>
          <w:bottom w:w="0" w:type="dxa"/>
          <w:right w:w="0" w:type="dxa"/>
        </w:tblCellMar>
      </w:tblPr>
      <w:tblGrid>
        <w:gridCol w:w="784"/>
        <w:gridCol w:w="2792"/>
        <w:gridCol w:w="1522"/>
        <w:gridCol w:w="854"/>
        <w:gridCol w:w="2015"/>
        <w:gridCol w:w="1400"/>
        <w:gridCol w:w="855"/>
        <w:gridCol w:w="3451"/>
        <w:gridCol w:w="1631"/>
      </w:tblGrid>
      <w:tr>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hint="eastAsia" w:cs="宋体"/>
                <w:sz w:val="20"/>
                <w:szCs w:val="20"/>
                <w:lang w:eastAsia="zh-CN"/>
              </w:rPr>
              <w:t>部门</w:t>
            </w:r>
            <w:r>
              <w:rPr>
                <w:rFonts w:cs="宋体"/>
                <w:color w:val="000000"/>
                <w:sz w:val="20"/>
                <w:szCs w:val="20"/>
              </w:rPr>
              <w:t>：</w:t>
            </w:r>
            <w:r>
              <w:rPr>
                <w:color w:val="000000"/>
                <w:sz w:val="20"/>
                <w:u w:color="auto"/>
              </w:rPr>
              <w:t>重庆市綦江区三江街道便民服务中心（退役军人服务站）</w:t>
            </w: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178.39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26.44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58.28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23.57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72.30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16.04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8.12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7.77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10.44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7.50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6.90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185.89</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26.44</w:t>
            </w:r>
            <w:r>
              <w:rPr>
                <w:rFonts w:ascii="Times New Roman" w:hAnsi="Times New Roman"/>
                <w:color w:val="000000"/>
                <w:sz w:val="18"/>
                <w:u w:color="auto"/>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备注：1.本表反映部门本年度一般公共预算财政拨款基本支出明细情况。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autofit"/>
        <w:tblCellMar>
          <w:top w:w="0" w:type="dxa"/>
          <w:left w:w="0" w:type="dxa"/>
          <w:bottom w:w="0" w:type="dxa"/>
          <w:right w:w="0" w:type="dxa"/>
        </w:tblCellMar>
      </w:tblPr>
      <w:tblGrid>
        <w:gridCol w:w="1387"/>
        <w:gridCol w:w="3527"/>
        <w:gridCol w:w="1701"/>
        <w:gridCol w:w="1701"/>
        <w:gridCol w:w="1701"/>
        <w:gridCol w:w="1701"/>
        <w:gridCol w:w="1765"/>
        <w:gridCol w:w="1839"/>
      </w:tblGrid>
      <w:tr>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重庆市綦江区三江街道便民服务中心（退役军人服务站）</w:t>
            </w: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45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5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备注：本表反映部门本年度政府性基金预算财政拨款收入支出及结转和结余情况。本部门无政府性基金收支，故本表无数据。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7"/>
        <w:tblW w:w="5000" w:type="pct"/>
        <w:tblInd w:w="0" w:type="dxa"/>
        <w:tblLayout w:type="fixed"/>
        <w:tblCellMar>
          <w:top w:w="0" w:type="dxa"/>
          <w:left w:w="0" w:type="dxa"/>
          <w:bottom w:w="0" w:type="dxa"/>
          <w:right w:w="0" w:type="dxa"/>
        </w:tblCellMar>
      </w:tblPr>
      <w:tblGrid>
        <w:gridCol w:w="1305"/>
        <w:gridCol w:w="3604"/>
        <w:gridCol w:w="3273"/>
        <w:gridCol w:w="190"/>
        <w:gridCol w:w="3463"/>
        <w:gridCol w:w="86"/>
        <w:gridCol w:w="3401"/>
      </w:tblGrid>
      <w:tr>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重庆市綦江区三江街道便民服务中心（退役军人服务站）</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48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7"/>
        <w:tblW w:w="4611" w:type="pct"/>
        <w:tblInd w:w="0" w:type="dxa"/>
        <w:tblLayout w:type="autofit"/>
        <w:tblCellMar>
          <w:top w:w="0" w:type="dxa"/>
          <w:left w:w="170" w:type="dxa"/>
          <w:bottom w:w="0" w:type="dxa"/>
          <w:right w:w="170" w:type="dxa"/>
        </w:tblCellMar>
      </w:tblPr>
      <w:tblGrid>
        <w:gridCol w:w="3162"/>
        <w:gridCol w:w="2402"/>
        <w:gridCol w:w="2360"/>
        <w:gridCol w:w="3726"/>
        <w:gridCol w:w="2480"/>
      </w:tblGrid>
      <w:tr>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sz w:val="20"/>
                <w:szCs w:val="20"/>
                <w:lang w:eastAsia="zh-CN"/>
              </w:rPr>
              <w:t>部门</w:t>
            </w:r>
            <w:r>
              <w:rPr>
                <w:rFonts w:cs="宋体"/>
                <w:color w:val="000000"/>
                <w:kern w:val="2"/>
                <w:sz w:val="20"/>
                <w:szCs w:val="20"/>
              </w:rPr>
              <w:t>：</w:t>
            </w:r>
            <w:r>
              <w:rPr>
                <w:color w:val="000000"/>
                <w:sz w:val="20"/>
                <w:u w:color="auto"/>
              </w:rPr>
              <w:t>重庆市綦江区三江街道便民服务中心（退役军人服务站）</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0.01</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cs="宋体"/>
          <w:sz w:val="18"/>
          <w:szCs w:val="18"/>
        </w:rPr>
      </w:pPr>
      <w:r>
        <w:rPr>
          <w:rFonts w:cs="宋体"/>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fldChar w:fldCharType="begin"/>
                          </w:r>
                          <w:r>
                            <w:instrText xml:space="preserve"> PAGE  \* MERGEFORMAT </w:instrText>
                          </w:r>
                          <w:r>
                            <w:fldChar w:fldCharType="separate"/>
                          </w:r>
                          <w:r>
                            <w:rPr>
                              <w:rFonts w:hint="default"/>
                            </w:rPr>
                            <w:t>- 21 -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- 21 -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4085E8"/>
    <w:multiLevelType w:val="singleLevel"/>
    <w:tmpl w:val="FF4085E8"/>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C01CC"/>
    <w:rsid w:val="000D7702"/>
    <w:rsid w:val="000F6721"/>
    <w:rsid w:val="001632EC"/>
    <w:rsid w:val="00261065"/>
    <w:rsid w:val="002D0E5A"/>
    <w:rsid w:val="002D71F4"/>
    <w:rsid w:val="002E5443"/>
    <w:rsid w:val="0032196C"/>
    <w:rsid w:val="004852DA"/>
    <w:rsid w:val="004C12FF"/>
    <w:rsid w:val="004D0390"/>
    <w:rsid w:val="00550ABE"/>
    <w:rsid w:val="005B023C"/>
    <w:rsid w:val="00600322"/>
    <w:rsid w:val="006137D7"/>
    <w:rsid w:val="00634FA8"/>
    <w:rsid w:val="0063613A"/>
    <w:rsid w:val="0068170B"/>
    <w:rsid w:val="006E2034"/>
    <w:rsid w:val="00732392"/>
    <w:rsid w:val="00792285"/>
    <w:rsid w:val="007A0D2E"/>
    <w:rsid w:val="007A3314"/>
    <w:rsid w:val="007B419D"/>
    <w:rsid w:val="007C5C5B"/>
    <w:rsid w:val="00810F13"/>
    <w:rsid w:val="00826B47"/>
    <w:rsid w:val="00893689"/>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307F6"/>
    <w:rsid w:val="00C96B11"/>
    <w:rsid w:val="00C97747"/>
    <w:rsid w:val="00CC6B99"/>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F3521E"/>
    <w:rsid w:val="03077B2E"/>
    <w:rsid w:val="03B87EA0"/>
    <w:rsid w:val="03E3214F"/>
    <w:rsid w:val="044C50BA"/>
    <w:rsid w:val="05BC6D49"/>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B9335CE"/>
    <w:rsid w:val="0C7927C4"/>
    <w:rsid w:val="0C9B098C"/>
    <w:rsid w:val="0D673E11"/>
    <w:rsid w:val="0DDA54E4"/>
    <w:rsid w:val="0E084ABF"/>
    <w:rsid w:val="0E3A5F83"/>
    <w:rsid w:val="0E74421A"/>
    <w:rsid w:val="0EA46639"/>
    <w:rsid w:val="0EC6180C"/>
    <w:rsid w:val="0F497FB6"/>
    <w:rsid w:val="0F836721"/>
    <w:rsid w:val="0FA25D96"/>
    <w:rsid w:val="107B59E5"/>
    <w:rsid w:val="10EC0126"/>
    <w:rsid w:val="10F70B9A"/>
    <w:rsid w:val="111445C7"/>
    <w:rsid w:val="114278C6"/>
    <w:rsid w:val="1158083A"/>
    <w:rsid w:val="11643A4B"/>
    <w:rsid w:val="11ED0F98"/>
    <w:rsid w:val="11F03528"/>
    <w:rsid w:val="12C921C4"/>
    <w:rsid w:val="12F52ECF"/>
    <w:rsid w:val="13871C70"/>
    <w:rsid w:val="13A71CB4"/>
    <w:rsid w:val="13AF1D43"/>
    <w:rsid w:val="13CE1647"/>
    <w:rsid w:val="13DA0C25"/>
    <w:rsid w:val="13FD55AB"/>
    <w:rsid w:val="14200702"/>
    <w:rsid w:val="14907817"/>
    <w:rsid w:val="163A6CEE"/>
    <w:rsid w:val="173708E3"/>
    <w:rsid w:val="174C19C7"/>
    <w:rsid w:val="17C374FC"/>
    <w:rsid w:val="189079DC"/>
    <w:rsid w:val="189B0D0B"/>
    <w:rsid w:val="18B43F7C"/>
    <w:rsid w:val="194A1770"/>
    <w:rsid w:val="19B906A4"/>
    <w:rsid w:val="19FB026E"/>
    <w:rsid w:val="1B6F15B6"/>
    <w:rsid w:val="1BAA2EDC"/>
    <w:rsid w:val="1C5C0973"/>
    <w:rsid w:val="1CA55E64"/>
    <w:rsid w:val="1D014A01"/>
    <w:rsid w:val="1D022362"/>
    <w:rsid w:val="1D1B04B0"/>
    <w:rsid w:val="1D6534C4"/>
    <w:rsid w:val="1DBD6767"/>
    <w:rsid w:val="1DC52125"/>
    <w:rsid w:val="1DD26311"/>
    <w:rsid w:val="1E374ACB"/>
    <w:rsid w:val="1E5E27E3"/>
    <w:rsid w:val="1EA33588"/>
    <w:rsid w:val="1EB57761"/>
    <w:rsid w:val="1ECF0A66"/>
    <w:rsid w:val="1EF67CA4"/>
    <w:rsid w:val="1F020D3A"/>
    <w:rsid w:val="1F2C5189"/>
    <w:rsid w:val="1F4B0B02"/>
    <w:rsid w:val="1FBB35CD"/>
    <w:rsid w:val="1FCD26AF"/>
    <w:rsid w:val="20642787"/>
    <w:rsid w:val="20F4064E"/>
    <w:rsid w:val="21556F04"/>
    <w:rsid w:val="22403BD3"/>
    <w:rsid w:val="23DA37D9"/>
    <w:rsid w:val="24B92327"/>
    <w:rsid w:val="24C14514"/>
    <w:rsid w:val="2533755C"/>
    <w:rsid w:val="25791755"/>
    <w:rsid w:val="26396DF4"/>
    <w:rsid w:val="27167136"/>
    <w:rsid w:val="27B23302"/>
    <w:rsid w:val="29310A5F"/>
    <w:rsid w:val="29C37A35"/>
    <w:rsid w:val="2A076083"/>
    <w:rsid w:val="2A73162E"/>
    <w:rsid w:val="2A751F0B"/>
    <w:rsid w:val="2B167953"/>
    <w:rsid w:val="2B200583"/>
    <w:rsid w:val="2B220436"/>
    <w:rsid w:val="2B8209DE"/>
    <w:rsid w:val="2C6762A3"/>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4475F39"/>
    <w:rsid w:val="352930DB"/>
    <w:rsid w:val="35573069"/>
    <w:rsid w:val="355F6038"/>
    <w:rsid w:val="358C217E"/>
    <w:rsid w:val="35937598"/>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4814B0"/>
    <w:rsid w:val="3F5E5D98"/>
    <w:rsid w:val="3F694D83"/>
    <w:rsid w:val="3F885DCC"/>
    <w:rsid w:val="3FCD675E"/>
    <w:rsid w:val="3FD86860"/>
    <w:rsid w:val="4004000C"/>
    <w:rsid w:val="40D54604"/>
    <w:rsid w:val="411B6CE5"/>
    <w:rsid w:val="412070D7"/>
    <w:rsid w:val="41314E40"/>
    <w:rsid w:val="41E0734B"/>
    <w:rsid w:val="426554D0"/>
    <w:rsid w:val="426C1EA8"/>
    <w:rsid w:val="42736402"/>
    <w:rsid w:val="42E86A87"/>
    <w:rsid w:val="43307B09"/>
    <w:rsid w:val="43470647"/>
    <w:rsid w:val="438D0E97"/>
    <w:rsid w:val="43BB152F"/>
    <w:rsid w:val="44494994"/>
    <w:rsid w:val="44C37687"/>
    <w:rsid w:val="45CB699A"/>
    <w:rsid w:val="465B470D"/>
    <w:rsid w:val="469D6AD4"/>
    <w:rsid w:val="471E6C84"/>
    <w:rsid w:val="4748792B"/>
    <w:rsid w:val="475D719D"/>
    <w:rsid w:val="47674801"/>
    <w:rsid w:val="48225EF7"/>
    <w:rsid w:val="488F422B"/>
    <w:rsid w:val="48E36915"/>
    <w:rsid w:val="495C4A24"/>
    <w:rsid w:val="497135DF"/>
    <w:rsid w:val="4A1605D9"/>
    <w:rsid w:val="4A263DF2"/>
    <w:rsid w:val="4A6F6675"/>
    <w:rsid w:val="4ABF0746"/>
    <w:rsid w:val="4B0502DF"/>
    <w:rsid w:val="4B135857"/>
    <w:rsid w:val="4B7951CB"/>
    <w:rsid w:val="4B7C315C"/>
    <w:rsid w:val="4CCF773C"/>
    <w:rsid w:val="4DAC4ACA"/>
    <w:rsid w:val="4DBE01D2"/>
    <w:rsid w:val="4EC92552"/>
    <w:rsid w:val="4EFC6D10"/>
    <w:rsid w:val="4F0C6BA3"/>
    <w:rsid w:val="4F10477D"/>
    <w:rsid w:val="4F186D58"/>
    <w:rsid w:val="4FEA65B7"/>
    <w:rsid w:val="5042146E"/>
    <w:rsid w:val="50F06B6E"/>
    <w:rsid w:val="52234D33"/>
    <w:rsid w:val="52261ABA"/>
    <w:rsid w:val="522F6E0C"/>
    <w:rsid w:val="52463BA1"/>
    <w:rsid w:val="5298794F"/>
    <w:rsid w:val="52F163D4"/>
    <w:rsid w:val="531A2DB4"/>
    <w:rsid w:val="53C0244D"/>
    <w:rsid w:val="53DD4D4E"/>
    <w:rsid w:val="53E578CE"/>
    <w:rsid w:val="541330F0"/>
    <w:rsid w:val="54272666"/>
    <w:rsid w:val="543B029D"/>
    <w:rsid w:val="544C3364"/>
    <w:rsid w:val="54861779"/>
    <w:rsid w:val="552256E1"/>
    <w:rsid w:val="554E5773"/>
    <w:rsid w:val="555A3CBC"/>
    <w:rsid w:val="5582012B"/>
    <w:rsid w:val="558E4E05"/>
    <w:rsid w:val="55BE2E85"/>
    <w:rsid w:val="55D82B6C"/>
    <w:rsid w:val="561D52C4"/>
    <w:rsid w:val="5651697D"/>
    <w:rsid w:val="56530F5D"/>
    <w:rsid w:val="56692AE5"/>
    <w:rsid w:val="567700D3"/>
    <w:rsid w:val="56FF7E9E"/>
    <w:rsid w:val="578867FC"/>
    <w:rsid w:val="5842572D"/>
    <w:rsid w:val="5A3B59D6"/>
    <w:rsid w:val="5AD134D8"/>
    <w:rsid w:val="5B6503B1"/>
    <w:rsid w:val="5C0F7EC4"/>
    <w:rsid w:val="5C263CE4"/>
    <w:rsid w:val="5C5D2777"/>
    <w:rsid w:val="5CF66BF3"/>
    <w:rsid w:val="5D290C69"/>
    <w:rsid w:val="5F2D4A41"/>
    <w:rsid w:val="60C74F6C"/>
    <w:rsid w:val="61025A59"/>
    <w:rsid w:val="613D5BBC"/>
    <w:rsid w:val="61536C39"/>
    <w:rsid w:val="61E64F4A"/>
    <w:rsid w:val="623E0993"/>
    <w:rsid w:val="62944DD7"/>
    <w:rsid w:val="6319381F"/>
    <w:rsid w:val="63236436"/>
    <w:rsid w:val="63C25DC5"/>
    <w:rsid w:val="63C62057"/>
    <w:rsid w:val="64571EF5"/>
    <w:rsid w:val="64CB0157"/>
    <w:rsid w:val="64FB113D"/>
    <w:rsid w:val="65036946"/>
    <w:rsid w:val="654A25FE"/>
    <w:rsid w:val="656152C6"/>
    <w:rsid w:val="6587477F"/>
    <w:rsid w:val="658C3A08"/>
    <w:rsid w:val="65C031CA"/>
    <w:rsid w:val="65CE6852"/>
    <w:rsid w:val="66267C04"/>
    <w:rsid w:val="663F505A"/>
    <w:rsid w:val="66967186"/>
    <w:rsid w:val="66EE5541"/>
    <w:rsid w:val="67924660"/>
    <w:rsid w:val="683200C2"/>
    <w:rsid w:val="68407834"/>
    <w:rsid w:val="6883293E"/>
    <w:rsid w:val="688412AD"/>
    <w:rsid w:val="68EB1B71"/>
    <w:rsid w:val="69475C96"/>
    <w:rsid w:val="6AAD2300"/>
    <w:rsid w:val="6B474EF5"/>
    <w:rsid w:val="6BBF53FD"/>
    <w:rsid w:val="6C560CAE"/>
    <w:rsid w:val="6C576495"/>
    <w:rsid w:val="6D903FF5"/>
    <w:rsid w:val="6DA955B8"/>
    <w:rsid w:val="6DE346AB"/>
    <w:rsid w:val="6DE5391A"/>
    <w:rsid w:val="6EFD1324"/>
    <w:rsid w:val="6F5A53AC"/>
    <w:rsid w:val="6FAC003D"/>
    <w:rsid w:val="6FE55E12"/>
    <w:rsid w:val="6FFB2E76"/>
    <w:rsid w:val="708F6F7F"/>
    <w:rsid w:val="7091263A"/>
    <w:rsid w:val="70D94BD3"/>
    <w:rsid w:val="71C34D91"/>
    <w:rsid w:val="72DB435C"/>
    <w:rsid w:val="72E2613A"/>
    <w:rsid w:val="72F771F4"/>
    <w:rsid w:val="734150D5"/>
    <w:rsid w:val="736650B0"/>
    <w:rsid w:val="73934AD2"/>
    <w:rsid w:val="750837F0"/>
    <w:rsid w:val="754758CF"/>
    <w:rsid w:val="761275E6"/>
    <w:rsid w:val="764F62AB"/>
    <w:rsid w:val="765C45EC"/>
    <w:rsid w:val="768A7619"/>
    <w:rsid w:val="76AA36E6"/>
    <w:rsid w:val="772E1EBA"/>
    <w:rsid w:val="77303AE2"/>
    <w:rsid w:val="77EB79F7"/>
    <w:rsid w:val="796D60A4"/>
    <w:rsid w:val="79A031D5"/>
    <w:rsid w:val="7A1525F7"/>
    <w:rsid w:val="7B24540B"/>
    <w:rsid w:val="7B420052"/>
    <w:rsid w:val="7B861484"/>
    <w:rsid w:val="7BD06A28"/>
    <w:rsid w:val="7C3A7C0B"/>
    <w:rsid w:val="7C5248E4"/>
    <w:rsid w:val="7C566698"/>
    <w:rsid w:val="7C5866A3"/>
    <w:rsid w:val="7CBE2F89"/>
    <w:rsid w:val="7D7406BB"/>
    <w:rsid w:val="7DE94331"/>
    <w:rsid w:val="7F446A19"/>
    <w:rsid w:val="7F7452B9"/>
    <w:rsid w:val="7F8401D1"/>
    <w:rsid w:val="7FAC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customStyle="1" w:styleId="16">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3933</Words>
  <Characters>22421</Characters>
  <Lines>186</Lines>
  <Paragraphs>52</Paragraphs>
  <TotalTime>2</TotalTime>
  <ScaleCrop>false</ScaleCrop>
  <LinksUpToDate>false</LinksUpToDate>
  <CharactersWithSpaces>26302</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2025-06-26T07:40:00Z</dcterms:created>
  <dc:creator>Administrator</dc:creator>
  <cp:lastModifiedBy>Administrator</cp:lastModifiedBy>
  <dcterms:modified xsi:type="dcterms:W3CDTF">2025-10-14T07:50:40Z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BB46EABDBB2749749395447164B066B3_12</vt:lpwstr>
  </property>
</Properties>
</file>