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640" w:firstLineChars="200"/>
        <w:rPr>
          <w:rFonts w:hint="default" w:ascii="Times New Roman" w:hAnsi="Times New Roman" w:eastAsia="方正仿宋_GBK" w:cs="Times New Roman"/>
          <w:sz w:val="32"/>
        </w:rPr>
      </w:pPr>
    </w:p>
    <w:p>
      <w:pPr>
        <w:spacing w:line="60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重庆市綦江区赶水镇产业发展服务中心2025年</w:t>
      </w:r>
      <w:r>
        <w:rPr>
          <w:rFonts w:hint="default" w:ascii="Times New Roman" w:hAnsi="Times New Roman" w:eastAsia="方正小标宋_GBK" w:cs="Times New Roman"/>
          <w:sz w:val="44"/>
          <w:szCs w:val="44"/>
        </w:rPr>
        <w:t>部门预算情况说明</w:t>
      </w:r>
    </w:p>
    <w:p>
      <w:pPr>
        <w:spacing w:line="600" w:lineRule="exact"/>
        <w:ind w:firstLine="640" w:firstLineChars="200"/>
        <w:rPr>
          <w:rFonts w:hint="default" w:ascii="Times New Roman" w:hAnsi="Times New Roman" w:eastAsia="方正仿宋_GBK" w:cs="Times New Roman"/>
          <w:sz w:val="32"/>
        </w:rPr>
      </w:pP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一、单位基本情况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（一）职能职责</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产业发展服务中心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lang w:eastAsia="zh-CN"/>
        </w:rPr>
        <w:t>负责产业发展相关事务性工作；承担农业投入品使用、农业科技推广、农机推广、农产品质量服务、农业产业结构调整、农业产业化经营、林业科技推广、林业生产经营、林业资源保护、野生动植物保护、森林防火、森林病虫害防治、水资源管理和保护、水土保持、污染防治、农田水利基本建设、防汛抗旱、乡村振兴、畜牧兽医、动物疫病的防疫和监测、动物疫情调查、动物强制免疫、动物产品检疫、植保植检等事务性工作；承担农村集体资产管理、惠农资金补贴等事务性工作。</w:t>
      </w:r>
    </w:p>
    <w:p>
      <w:pPr>
        <w:pStyle w:val="8"/>
        <w:tabs>
          <w:tab w:val="center" w:pos="4153"/>
          <w:tab w:val="left" w:pos="7275"/>
        </w:tabs>
        <w:spacing w:line="600" w:lineRule="exact"/>
        <w:ind w:left="640" w:firstLine="0" w:firstLineChars="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rPr>
        <w:t>（二）单位构成</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重庆市綦江区</w:t>
      </w:r>
      <w:r>
        <w:rPr>
          <w:rFonts w:hint="default" w:ascii="Times New Roman" w:hAnsi="Times New Roman" w:eastAsia="方正仿宋_GBK" w:cs="Times New Roman"/>
          <w:sz w:val="32"/>
          <w:lang w:eastAsia="zh-CN"/>
        </w:rPr>
        <w:t>产业发展服务中心</w:t>
      </w:r>
      <w:r>
        <w:rPr>
          <w:rFonts w:hint="default" w:ascii="Times New Roman" w:hAnsi="Times New Roman" w:eastAsia="方正仿宋_GBK" w:cs="Times New Roman"/>
          <w:sz w:val="32"/>
        </w:rPr>
        <w:t xml:space="preserve">。下属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个二级预算单位。</w:t>
      </w:r>
    </w:p>
    <w:p>
      <w:pPr>
        <w:spacing w:line="600" w:lineRule="exact"/>
        <w:ind w:firstLine="640" w:firstLineChars="200"/>
        <w:rPr>
          <w:rFonts w:hint="default" w:ascii="Times New Roman" w:hAnsi="Times New Roman" w:eastAsia="方正仿宋_GBK" w:cs="Times New Roman"/>
          <w:sz w:val="32"/>
        </w:rPr>
      </w:pP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（三）机构改革相关情况</w:t>
      </w:r>
    </w:p>
    <w:p>
      <w:pPr>
        <w:spacing w:line="600" w:lineRule="exact"/>
        <w:ind w:firstLine="640" w:firstLineChars="200"/>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本</w:t>
      </w:r>
      <w:r>
        <w:rPr>
          <w:rFonts w:hint="default" w:ascii="Times New Roman" w:hAnsi="Times New Roman" w:eastAsia="方正仿宋_GBK" w:cs="Times New Roman"/>
          <w:sz w:val="32"/>
        </w:rPr>
        <w:t>部门</w:t>
      </w:r>
      <w:r>
        <w:rPr>
          <w:rFonts w:hint="default" w:ascii="Times New Roman" w:hAnsi="Times New Roman" w:eastAsia="方正仿宋_GBK" w:cs="Times New Roman"/>
          <w:sz w:val="32"/>
        </w:rPr>
        <w:t>于</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4</w:t>
      </w:r>
      <w:r>
        <w:rPr>
          <w:rFonts w:hint="eastAsia" w:eastAsia="方正仿宋_GBK" w:cs="Times New Roman"/>
          <w:sz w:val="32"/>
          <w:lang w:eastAsia="zh-CN"/>
        </w:rPr>
        <w:t>—</w:t>
      </w:r>
      <w:r>
        <w:rPr>
          <w:rFonts w:hint="default" w:ascii="Times New Roman" w:hAnsi="Times New Roman" w:eastAsia="方正仿宋_GBK" w:cs="Times New Roman"/>
          <w:sz w:val="32"/>
          <w:lang w:eastAsia="zh-CN"/>
        </w:rPr>
        <w:t>202</w:t>
      </w:r>
      <w:r>
        <w:rPr>
          <w:rFonts w:hint="default" w:ascii="Times New Roman" w:hAnsi="Times New Roman" w:eastAsia="方正仿宋_GBK" w:cs="Times New Roman"/>
          <w:sz w:val="32"/>
          <w:lang w:val="en-US" w:eastAsia="zh-CN"/>
        </w:rPr>
        <w:t>5</w:t>
      </w:r>
      <w:r>
        <w:rPr>
          <w:rFonts w:hint="default" w:ascii="Times New Roman" w:hAnsi="Times New Roman" w:eastAsia="方正仿宋_GBK" w:cs="Times New Roman"/>
          <w:sz w:val="32"/>
        </w:rPr>
        <w:t>年期间</w:t>
      </w:r>
      <w:r>
        <w:rPr>
          <w:rFonts w:hint="default" w:ascii="Times New Roman" w:hAnsi="Times New Roman" w:eastAsia="方正仿宋_GBK" w:cs="Times New Roman"/>
          <w:sz w:val="32"/>
          <w:lang w:eastAsia="zh-CN"/>
        </w:rPr>
        <w:t>重庆市綦江区</w:t>
      </w:r>
      <w:r>
        <w:rPr>
          <w:rFonts w:hint="default" w:ascii="Times New Roman" w:hAnsi="Times New Roman" w:eastAsia="方正仿宋_GBK" w:cs="Times New Roman"/>
          <w:sz w:val="32"/>
          <w:lang w:eastAsia="zh-CN"/>
        </w:rPr>
        <w:t>产业发展服务中心</w:t>
      </w:r>
      <w:r>
        <w:rPr>
          <w:rFonts w:hint="default" w:ascii="Times New Roman" w:hAnsi="Times New Roman" w:eastAsia="方正仿宋_GBK" w:cs="Times New Roman"/>
          <w:sz w:val="32"/>
          <w:lang w:eastAsia="zh-CN"/>
        </w:rPr>
        <w:t>与重庆市綦江区农业发展服务中心机构合并为重庆市綦江区</w:t>
      </w:r>
      <w:r>
        <w:rPr>
          <w:rFonts w:hint="default" w:ascii="Times New Roman" w:hAnsi="Times New Roman" w:eastAsia="方正仿宋_GBK" w:cs="Times New Roman"/>
          <w:sz w:val="32"/>
          <w:lang w:eastAsia="zh-CN"/>
        </w:rPr>
        <w:t>产业发展服务中心</w:t>
      </w:r>
      <w:r>
        <w:rPr>
          <w:rFonts w:hint="default" w:ascii="Times New Roman" w:hAnsi="Times New Roman" w:eastAsia="方正仿宋_GBK" w:cs="Times New Roman"/>
          <w:sz w:val="32"/>
          <w:lang w:eastAsia="zh-CN"/>
        </w:rPr>
        <w:t>。</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二、部门收支总体情况</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（一）收入预算：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812.7</w:t>
      </w:r>
      <w:r>
        <w:rPr>
          <w:rFonts w:hint="default" w:ascii="Times New Roman" w:hAnsi="Times New Roman" w:eastAsia="方正仿宋_GBK" w:cs="Times New Roman"/>
          <w:sz w:val="32"/>
        </w:rPr>
        <w:t>万元，其中：一般公共预算拨款</w:t>
      </w:r>
      <w:r>
        <w:rPr>
          <w:rFonts w:hint="default" w:ascii="Times New Roman" w:hAnsi="Times New Roman" w:eastAsia="方正仿宋_GBK" w:cs="Times New Roman"/>
          <w:sz w:val="32"/>
          <w:lang w:val="en-US" w:eastAsia="zh-CN"/>
        </w:rPr>
        <w:t>812.7</w:t>
      </w:r>
      <w:r>
        <w:rPr>
          <w:rFonts w:hint="default" w:ascii="Times New Roman" w:hAnsi="Times New Roman" w:eastAsia="方正仿宋_GBK" w:cs="Times New Roman"/>
          <w:sz w:val="32"/>
        </w:rPr>
        <w:t>万元，政府性基金预算拨款</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万元，国有资本经营预算收入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万元，事业收入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 万元，事业单位经营收入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 xml:space="preserve">万元，其他收入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万元。收入较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万元，主要是一般公共预算资金经费拨款</w:t>
      </w:r>
      <w:r>
        <w:rPr>
          <w:rFonts w:hint="default" w:ascii="Times New Roman" w:hAnsi="Times New Roman" w:eastAsia="方正仿宋_GBK" w:cs="Times New Roman"/>
          <w:sz w:val="32"/>
          <w:lang w:eastAsia="zh-CN"/>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r>
        <w:rPr>
          <w:rFonts w:hint="default" w:ascii="Times New Roman" w:hAnsi="Times New Roman" w:eastAsia="方正仿宋_GBK" w:cs="Times New Roman"/>
          <w:sz w:val="32"/>
          <w:lang w:eastAsia="zh-CN"/>
        </w:rPr>
        <w:t>，政府性基金预算财政拨款收入增加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万元，年初结转和结余减少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lang w:val="en-US" w:eastAsia="zh-CN"/>
        </w:rPr>
        <w:t>万元</w:t>
      </w:r>
      <w:r>
        <w:rPr>
          <w:rFonts w:hint="default" w:ascii="Times New Roman" w:hAnsi="Times New Roman" w:eastAsia="方正仿宋_GBK" w:cs="Times New Roman"/>
          <w:sz w:val="32"/>
        </w:rPr>
        <w:t>。</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（二）支出预算：</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年初预算数</w:t>
      </w:r>
      <w:r>
        <w:rPr>
          <w:rFonts w:hint="default" w:ascii="Times New Roman" w:hAnsi="Times New Roman" w:eastAsia="方正仿宋_GBK" w:cs="Times New Roman"/>
          <w:sz w:val="32"/>
          <w:lang w:val="en-US" w:eastAsia="zh-CN"/>
        </w:rPr>
        <w:t>812.7</w:t>
      </w:r>
      <w:r>
        <w:rPr>
          <w:rFonts w:hint="default" w:ascii="Times New Roman" w:hAnsi="Times New Roman" w:eastAsia="方正仿宋_GBK" w:cs="Times New Roman"/>
          <w:sz w:val="32"/>
        </w:rPr>
        <w:t>万元，其中：社会保障和就业支出</w:t>
      </w:r>
      <w:r>
        <w:rPr>
          <w:rFonts w:hint="default" w:ascii="Times New Roman" w:hAnsi="Times New Roman" w:eastAsia="方正仿宋_GBK" w:cs="Times New Roman"/>
          <w:sz w:val="32"/>
        </w:rPr>
        <w:t>209.98</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卫生健康支出</w:t>
      </w:r>
      <w:r>
        <w:rPr>
          <w:rFonts w:hint="default" w:ascii="Times New Roman" w:hAnsi="Times New Roman" w:eastAsia="方正仿宋_GBK" w:cs="Times New Roman"/>
          <w:sz w:val="32"/>
        </w:rPr>
        <w:t>33.81</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农林水支出</w:t>
      </w:r>
      <w:r>
        <w:rPr>
          <w:rFonts w:hint="default" w:ascii="Times New Roman" w:hAnsi="Times New Roman" w:eastAsia="方正仿宋_GBK" w:cs="Times New Roman"/>
          <w:sz w:val="32"/>
        </w:rPr>
        <w:t>537.19</w:t>
      </w:r>
      <w:r>
        <w:rPr>
          <w:rFonts w:hint="default" w:ascii="Times New Roman" w:hAnsi="Times New Roman" w:eastAsia="方正仿宋_GBK" w:cs="Times New Roman"/>
          <w:sz w:val="32"/>
          <w:lang w:eastAsia="zh-CN"/>
        </w:rPr>
        <w:t>万元，</w:t>
      </w:r>
      <w:r>
        <w:rPr>
          <w:rFonts w:hint="default" w:ascii="Times New Roman" w:hAnsi="Times New Roman" w:eastAsia="方正仿宋_GBK" w:cs="Times New Roman"/>
          <w:sz w:val="32"/>
        </w:rPr>
        <w:t>住房保障支出</w:t>
      </w:r>
      <w:r>
        <w:rPr>
          <w:rFonts w:hint="default" w:ascii="Times New Roman" w:hAnsi="Times New Roman" w:eastAsia="方正仿宋_GBK" w:cs="Times New Roman"/>
          <w:sz w:val="32"/>
          <w:lang w:val="en-US" w:eastAsia="zh-CN"/>
        </w:rPr>
        <w:t>31.72万元</w:t>
      </w:r>
      <w:r>
        <w:rPr>
          <w:rFonts w:hint="default" w:ascii="Times New Roman" w:hAnsi="Times New Roman" w:eastAsia="方正仿宋_GBK" w:cs="Times New Roman"/>
          <w:sz w:val="32"/>
          <w:lang w:val="en-US" w:eastAsia="zh-CN"/>
        </w:rPr>
        <w:t>。</w:t>
      </w:r>
      <w:r>
        <w:rPr>
          <w:rFonts w:hint="default" w:ascii="Times New Roman" w:hAnsi="Times New Roman" w:eastAsia="方正仿宋_GBK" w:cs="Times New Roman"/>
          <w:sz w:val="32"/>
        </w:rPr>
        <w:t>支出预算较</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万元，主要是基本支出预算</w:t>
      </w:r>
      <w:r>
        <w:rPr>
          <w:rFonts w:hint="default" w:ascii="Times New Roman" w:hAnsi="Times New Roman" w:eastAsia="方正仿宋_GBK" w:cs="Times New Roman"/>
          <w:sz w:val="32"/>
          <w:lang w:eastAsia="zh-CN"/>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万元，项目支出预算</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三、部门预算情况说明</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一般公共预算财政拨款收入</w:t>
      </w:r>
      <w:r>
        <w:rPr>
          <w:rFonts w:hint="default" w:ascii="Times New Roman" w:hAnsi="Times New Roman" w:eastAsia="方正仿宋_GBK" w:cs="Times New Roman"/>
          <w:sz w:val="32"/>
          <w:lang w:val="en-US" w:eastAsia="zh-CN"/>
        </w:rPr>
        <w:t>812.7</w:t>
      </w:r>
      <w:r>
        <w:rPr>
          <w:rFonts w:hint="default" w:ascii="Times New Roman" w:hAnsi="Times New Roman" w:eastAsia="方正仿宋_GBK" w:cs="Times New Roman"/>
          <w:sz w:val="32"/>
        </w:rPr>
        <w:t>万元，一般公共预算财政拨款支出</w:t>
      </w:r>
      <w:r>
        <w:rPr>
          <w:rFonts w:hint="default" w:ascii="Times New Roman" w:hAnsi="Times New Roman" w:eastAsia="方正仿宋_GBK" w:cs="Times New Roman"/>
          <w:sz w:val="32"/>
          <w:lang w:val="en-US" w:eastAsia="zh-CN"/>
        </w:rPr>
        <w:t>812.7</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万元。其中：基本支出</w:t>
      </w:r>
      <w:r>
        <w:rPr>
          <w:rFonts w:hint="default" w:ascii="Times New Roman" w:hAnsi="Times New Roman" w:eastAsia="方正仿宋_GBK" w:cs="Times New Roman"/>
          <w:sz w:val="32"/>
          <w:lang w:val="en-US" w:eastAsia="zh-CN"/>
        </w:rPr>
        <w:t>812.7</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本年度该单位机构改革，无上年对比。</w:t>
      </w:r>
      <w:r>
        <w:rPr>
          <w:rFonts w:hint="default" w:ascii="Times New Roman" w:hAnsi="Times New Roman" w:eastAsia="方正仿宋_GBK" w:cs="Times New Roman"/>
          <w:sz w:val="32"/>
        </w:rPr>
        <w:t>主要用于保障</w:t>
      </w:r>
      <w:r>
        <w:rPr>
          <w:rFonts w:hint="default" w:ascii="Times New Roman" w:hAnsi="Times New Roman" w:eastAsia="方正仿宋_GBK" w:cs="Times New Roman"/>
          <w:sz w:val="32"/>
          <w:lang w:eastAsia="zh-CN"/>
        </w:rPr>
        <w:t>机关</w:t>
      </w:r>
      <w:r>
        <w:rPr>
          <w:rFonts w:hint="default" w:ascii="Times New Roman" w:hAnsi="Times New Roman" w:eastAsia="方正仿宋_GBK" w:cs="Times New Roman"/>
          <w:sz w:val="32"/>
        </w:rPr>
        <w:t>在职人员工资福利及社会保险缴费，离休人员离休费，退休人员补助等，保障部门正常运转的各项商品服务支出；项目支出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事业单位无项目进行。</w:t>
      </w:r>
    </w:p>
    <w:p>
      <w:pPr>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政府性基金预算收入</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元，政府性基金预算支出</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事业单位无政府性基金收入。</w:t>
      </w:r>
    </w:p>
    <w:p>
      <w:pPr>
        <w:spacing w:line="600" w:lineRule="exact"/>
        <w:ind w:left="640"/>
        <w:rPr>
          <w:rFonts w:hint="default" w:ascii="Times New Roman" w:hAnsi="Times New Roman" w:eastAsia="方正仿宋_GBK" w:cs="Times New Roman"/>
          <w:sz w:val="32"/>
        </w:rPr>
      </w:pPr>
      <w:r>
        <w:rPr>
          <w:rFonts w:hint="default" w:ascii="Times New Roman" w:hAnsi="Times New Roman" w:eastAsia="方正黑体_GBK" w:cs="Times New Roman"/>
          <w:sz w:val="32"/>
        </w:rPr>
        <w:t>四、“三公”经费情况说明</w:t>
      </w:r>
    </w:p>
    <w:p>
      <w:pPr>
        <w:spacing w:line="600" w:lineRule="exact"/>
        <w:ind w:firstLine="600"/>
        <w:rPr>
          <w:rFonts w:hint="default" w:ascii="Times New Roman" w:hAnsi="Times New Roman" w:eastAsia="方正仿宋_GBK" w:cs="Times New Roman"/>
          <w:sz w:val="32"/>
        </w:rPr>
      </w:pP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sz w:val="32"/>
        </w:rPr>
        <w:t>“三公”经费预算</w:t>
      </w:r>
      <w:r>
        <w:rPr>
          <w:rFonts w:hint="default" w:ascii="Times New Roman" w:hAnsi="Times New Roman" w:eastAsia="方正仿宋_GBK" w:cs="Times New Roman"/>
          <w:sz w:val="32"/>
          <w:lang w:val="en-US" w:eastAsia="zh-CN"/>
        </w:rPr>
        <w:t>10.5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万元。其中：因公出国（境）费用</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本单位无</w:t>
      </w:r>
      <w:r>
        <w:rPr>
          <w:rFonts w:hint="default" w:ascii="Times New Roman" w:hAnsi="Times New Roman" w:eastAsia="方正仿宋_GBK" w:cs="Times New Roman"/>
          <w:sz w:val="32"/>
        </w:rPr>
        <w:t>因公出国（境）</w:t>
      </w:r>
      <w:r>
        <w:rPr>
          <w:rFonts w:hint="default" w:ascii="Times New Roman" w:hAnsi="Times New Roman" w:eastAsia="方正仿宋_GBK" w:cs="Times New Roman"/>
          <w:sz w:val="32"/>
          <w:lang w:eastAsia="zh-CN"/>
        </w:rPr>
        <w:t>事务</w:t>
      </w:r>
      <w:r>
        <w:rPr>
          <w:rFonts w:hint="default" w:ascii="Times New Roman" w:hAnsi="Times New Roman" w:eastAsia="方正仿宋_GBK" w:cs="Times New Roman"/>
          <w:sz w:val="32"/>
        </w:rPr>
        <w:t>；公务接待费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本年度本单位与外接洽事务在机关进行，导致无公务接待费</w:t>
      </w:r>
      <w:r>
        <w:rPr>
          <w:rFonts w:hint="default" w:ascii="Times New Roman" w:hAnsi="Times New Roman" w:eastAsia="方正仿宋_GBK" w:cs="Times New Roman"/>
          <w:sz w:val="32"/>
        </w:rPr>
        <w:t>；公务用车运行维护费</w:t>
      </w:r>
      <w:r>
        <w:rPr>
          <w:rFonts w:hint="default" w:ascii="Times New Roman" w:hAnsi="Times New Roman" w:eastAsia="方正仿宋_GBK" w:cs="Times New Roman"/>
          <w:sz w:val="32"/>
          <w:lang w:val="en-US" w:eastAsia="zh-CN"/>
        </w:rPr>
        <w:t>10.5</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 xml:space="preserve">减少(或增加) </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本年度该单位机构改革，无上年对比</w:t>
      </w:r>
      <w:r>
        <w:rPr>
          <w:rFonts w:hint="default" w:ascii="Times New Roman" w:hAnsi="Times New Roman" w:eastAsia="方正仿宋_GBK" w:cs="Times New Roman"/>
          <w:sz w:val="32"/>
        </w:rPr>
        <w:t>；公务用车购置费</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万元，比</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减少(或增加)</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万元；主要原因是</w:t>
      </w:r>
      <w:r>
        <w:rPr>
          <w:rFonts w:hint="default" w:ascii="Times New Roman" w:hAnsi="Times New Roman" w:eastAsia="方正仿宋_GBK" w:cs="Times New Roman"/>
          <w:sz w:val="32"/>
          <w:lang w:eastAsia="zh-CN"/>
        </w:rPr>
        <w:t>本年度未购置新车</w:t>
      </w:r>
      <w:r>
        <w:rPr>
          <w:rFonts w:hint="default" w:ascii="Times New Roman" w:hAnsi="Times New Roman" w:eastAsia="方正仿宋_GBK" w:cs="Times New Roman"/>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五、其他重要事项的情况说明</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1.</w:t>
      </w:r>
      <w:r>
        <w:rPr>
          <w:rFonts w:hint="default" w:ascii="Times New Roman" w:hAnsi="Times New Roman" w:eastAsia="方正仿宋_GBK" w:cs="Times New Roman"/>
          <w:sz w:val="32"/>
        </w:rPr>
        <w:t xml:space="preserve"> 我单位不在机关运行经费统计范围之内。</w:t>
      </w:r>
    </w:p>
    <w:p>
      <w:pPr>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 xml:space="preserve">2. </w:t>
      </w:r>
      <w:r>
        <w:rPr>
          <w:rFonts w:hint="default" w:ascii="Times New Roman" w:hAnsi="Times New Roman" w:eastAsia="方正仿宋_GBK" w:cs="Times New Roman"/>
          <w:sz w:val="32"/>
        </w:rPr>
        <w:t>政府采购情况。所属各预算单位政府采购预算总额</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万元；其中一般公共预算拨款政府采购</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万元：政府采购货物预算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万元、政府采购工程预算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万元、政府采购服务预算</w:t>
      </w:r>
      <w:r>
        <w:rPr>
          <w:rFonts w:hint="default" w:ascii="Times New Roman" w:hAnsi="Times New Roman" w:eastAsia="方正仿宋_GBK" w:cs="Times New Roman"/>
          <w:sz w:val="32"/>
          <w:lang w:val="en-US" w:eastAsia="zh-CN"/>
        </w:rPr>
        <w:t>0</w:t>
      </w:r>
      <w:r>
        <w:rPr>
          <w:rFonts w:hint="default" w:ascii="Times New Roman" w:hAnsi="Times New Roman" w:eastAsia="方正仿宋_GBK" w:cs="Times New Roman"/>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3. </w:t>
      </w:r>
      <w:r>
        <w:rPr>
          <w:rFonts w:hint="default" w:ascii="Times New Roman" w:hAnsi="Times New Roman" w:eastAsia="方正仿宋_GBK" w:cs="Times New Roman"/>
          <w:sz w:val="32"/>
        </w:rPr>
        <w:t>绩效目标设置情况。</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项目支出均实行了绩效目标管理，涉及一般公共预算当年财政拨款</w:t>
      </w:r>
      <w:r>
        <w:rPr>
          <w:rFonts w:hint="default" w:ascii="Times New Roman" w:hAnsi="Times New Roman" w:eastAsia="方正仿宋_GBK" w:cs="Times New Roman"/>
          <w:color w:val="000000"/>
          <w:sz w:val="32"/>
          <w:lang w:val="en-US" w:eastAsia="zh-CN"/>
        </w:rPr>
        <w:t>0</w:t>
      </w:r>
      <w:r>
        <w:rPr>
          <w:rFonts w:hint="default" w:ascii="Times New Roman" w:hAnsi="Times New Roman" w:eastAsia="方正仿宋_GBK" w:cs="Times New Roman"/>
          <w:color w:val="000000"/>
          <w:sz w:val="32"/>
        </w:rPr>
        <w:t>万元。</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rPr>
        <w:t xml:space="preserve">4. </w:t>
      </w:r>
      <w:r>
        <w:rPr>
          <w:rFonts w:hint="default" w:ascii="Times New Roman" w:hAnsi="Times New Roman" w:eastAsia="方正仿宋_GBK" w:cs="Times New Roman"/>
          <w:color w:val="000000"/>
          <w:sz w:val="32"/>
        </w:rPr>
        <w:t>国有资产占有使用情况。</w:t>
      </w:r>
      <w:r>
        <w:rPr>
          <w:rFonts w:hint="default" w:ascii="Times New Roman" w:hAnsi="Times New Roman" w:eastAsia="方正仿宋_GBK" w:cs="Times New Roman"/>
          <w:sz w:val="32"/>
        </w:rPr>
        <w:t>截</w:t>
      </w:r>
      <w:r>
        <w:rPr>
          <w:rFonts w:hint="eastAsia" w:eastAsia="方正仿宋_GBK" w:cs="Times New Roman"/>
          <w:sz w:val="32"/>
          <w:lang w:eastAsia="zh-CN"/>
        </w:rPr>
        <w:t>至</w:t>
      </w:r>
      <w:r>
        <w:rPr>
          <w:rFonts w:hint="default" w:ascii="Times New Roman" w:hAnsi="Times New Roman" w:eastAsia="方正仿宋_GBK" w:cs="Times New Roman"/>
          <w:sz w:val="32"/>
          <w:lang w:eastAsia="zh-CN"/>
        </w:rPr>
        <w:t>2024年</w:t>
      </w:r>
      <w:r>
        <w:rPr>
          <w:rFonts w:hint="default" w:ascii="Times New Roman" w:hAnsi="Times New Roman" w:eastAsia="方正仿宋_GBK" w:cs="Times New Roman"/>
          <w:sz w:val="32"/>
        </w:rPr>
        <w:t>12月</w:t>
      </w:r>
      <w:r>
        <w:rPr>
          <w:rFonts w:hint="default" w:ascii="Times New Roman" w:hAnsi="Times New Roman" w:eastAsia="方正仿宋_GBK" w:cs="Times New Roman"/>
          <w:color w:val="000000"/>
          <w:sz w:val="32"/>
        </w:rPr>
        <w:t>，所属各预算单位共有车辆</w:t>
      </w:r>
      <w:r>
        <w:rPr>
          <w:rFonts w:hint="default"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rPr>
        <w:t>辆，其中</w:t>
      </w:r>
      <w:r>
        <w:rPr>
          <w:rFonts w:hint="default" w:ascii="Times New Roman" w:hAnsi="Times New Roman" w:eastAsia="方正仿宋_GBK" w:cs="Times New Roman"/>
          <w:color w:val="000000"/>
          <w:sz w:val="32"/>
          <w:lang w:eastAsia="zh-CN"/>
        </w:rPr>
        <w:t>业务用车</w:t>
      </w:r>
      <w:r>
        <w:rPr>
          <w:rFonts w:hint="default" w:ascii="Times New Roman" w:hAnsi="Times New Roman" w:eastAsia="方正仿宋_GBK" w:cs="Times New Roman"/>
          <w:color w:val="000000"/>
          <w:sz w:val="32"/>
          <w:lang w:val="en-US" w:eastAsia="zh-CN"/>
        </w:rPr>
        <w:t>1辆、特种专业技术用车2辆</w:t>
      </w:r>
      <w:r>
        <w:rPr>
          <w:rFonts w:hint="default" w:ascii="Times New Roman" w:hAnsi="Times New Roman" w:eastAsia="方正仿宋_GBK" w:cs="Times New Roman"/>
          <w:color w:val="000000"/>
          <w:sz w:val="32"/>
        </w:rPr>
        <w:t>。</w:t>
      </w:r>
      <w:r>
        <w:rPr>
          <w:rFonts w:hint="default" w:ascii="Times New Roman" w:hAnsi="Times New Roman" w:eastAsia="方正仿宋_GBK" w:cs="Times New Roman"/>
          <w:sz w:val="32"/>
          <w:lang w:eastAsia="zh-CN"/>
        </w:rPr>
        <w:t>2025年</w:t>
      </w:r>
      <w:r>
        <w:rPr>
          <w:rFonts w:hint="default" w:ascii="Times New Roman" w:hAnsi="Times New Roman" w:eastAsia="方正仿宋_GBK" w:cs="Times New Roman"/>
          <w:color w:val="000000"/>
          <w:sz w:val="32"/>
        </w:rPr>
        <w:t>一般公共预算安排购置车辆</w:t>
      </w:r>
      <w:r>
        <w:rPr>
          <w:rFonts w:hint="default" w:ascii="Times New Roman" w:hAnsi="Times New Roman" w:eastAsia="方正仿宋_GBK" w:cs="Times New Roman"/>
          <w:color w:val="000000"/>
          <w:sz w:val="32"/>
          <w:lang w:val="en-US" w:eastAsia="zh-CN"/>
        </w:rPr>
        <w:t>3</w:t>
      </w:r>
      <w:r>
        <w:rPr>
          <w:rFonts w:hint="default" w:ascii="Times New Roman" w:hAnsi="Times New Roman" w:eastAsia="方正仿宋_GBK" w:cs="Times New Roman"/>
          <w:color w:val="000000"/>
          <w:sz w:val="32"/>
        </w:rPr>
        <w:t>辆，其中</w:t>
      </w:r>
      <w:r>
        <w:rPr>
          <w:rFonts w:hint="default" w:ascii="Times New Roman" w:hAnsi="Times New Roman" w:eastAsia="方正仿宋_GBK" w:cs="Times New Roman"/>
          <w:color w:val="000000"/>
          <w:sz w:val="32"/>
          <w:lang w:eastAsia="zh-CN"/>
        </w:rPr>
        <w:t>业务用车</w:t>
      </w:r>
      <w:r>
        <w:rPr>
          <w:rFonts w:hint="default" w:ascii="Times New Roman" w:hAnsi="Times New Roman" w:eastAsia="方正仿宋_GBK" w:cs="Times New Roman"/>
          <w:color w:val="000000"/>
          <w:sz w:val="32"/>
          <w:lang w:val="en-US" w:eastAsia="zh-CN"/>
        </w:rPr>
        <w:t>1辆、特种专业技术用车2辆</w:t>
      </w:r>
      <w:r>
        <w:rPr>
          <w:rFonts w:hint="default" w:ascii="Times New Roman" w:hAnsi="Times New Roman" w:eastAsia="方正仿宋_GBK" w:cs="Times New Roman"/>
          <w:color w:val="000000"/>
          <w:sz w:val="32"/>
        </w:rPr>
        <w:t>。</w:t>
      </w:r>
    </w:p>
    <w:p>
      <w:pPr>
        <w:spacing w:line="600" w:lineRule="exact"/>
        <w:ind w:left="640"/>
        <w:rPr>
          <w:rFonts w:hint="default" w:ascii="Times New Roman" w:hAnsi="Times New Roman" w:eastAsia="方正黑体_GBK" w:cs="Times New Roman"/>
          <w:sz w:val="32"/>
        </w:rPr>
      </w:pPr>
      <w:r>
        <w:rPr>
          <w:rFonts w:hint="default" w:ascii="Times New Roman" w:hAnsi="Times New Roman" w:eastAsia="方正黑体_GBK" w:cs="Times New Roman"/>
          <w:sz w:val="32"/>
        </w:rPr>
        <w:t>六、专业性名词解释（纳入向社会公开范围的部门必须填写</w:t>
      </w:r>
      <w:bookmarkStart w:id="0" w:name="_GoBack"/>
      <w:bookmarkEnd w:id="0"/>
      <w:r>
        <w:rPr>
          <w:rFonts w:hint="default" w:ascii="Times New Roman" w:hAnsi="Times New Roman" w:eastAsia="方正黑体_GBK" w:cs="Times New Roman"/>
          <w:sz w:val="32"/>
        </w:rPr>
        <w:t>）</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（以下为常见专业名词解释，部门应根据</w:t>
      </w:r>
      <w:r>
        <w:rPr>
          <w:rFonts w:hint="default" w:ascii="Times New Roman" w:hAnsi="Times New Roman" w:eastAsia="方正仿宋_GBK" w:cs="Times New Roman"/>
          <w:b/>
          <w:bCs/>
          <w:sz w:val="32"/>
          <w:szCs w:val="32"/>
        </w:rPr>
        <w:t>实际情况</w:t>
      </w:r>
      <w:r>
        <w:rPr>
          <w:rFonts w:hint="default" w:ascii="Times New Roman" w:hAnsi="Times New Roman" w:eastAsia="方正仿宋_GBK" w:cs="Times New Roman"/>
          <w:sz w:val="32"/>
          <w:szCs w:val="32"/>
        </w:rPr>
        <w:t>进行解释和增减。）</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（二）其他收入：指单位取得的除“财政拨款收入”、“事业收入”、“经营收入”等以外的收入。</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（三）基本支出：指为保障机构正常运转、完成日常工作任务而发生的人员经费和公用经费。</w:t>
      </w:r>
    </w:p>
    <w:p>
      <w:pPr>
        <w:pStyle w:val="8"/>
        <w:tabs>
          <w:tab w:val="center" w:pos="4153"/>
          <w:tab w:val="left" w:pos="7275"/>
        </w:tabs>
        <w:spacing w:line="600" w:lineRule="exact"/>
        <w:ind w:firstLine="640"/>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（四）项目支出：指在基本支出之外为完成特定行政任务和事业发展目标所发生的支出。</w:t>
      </w:r>
    </w:p>
    <w:p>
      <w:pPr>
        <w:ind w:firstLine="640" w:firstLineChars="200"/>
        <w:rPr>
          <w:rFonts w:hint="default" w:ascii="Times New Roman" w:hAnsi="Times New Roman" w:eastAsia="方正仿宋_GBK" w:cs="Times New Roman"/>
          <w:color w:val="000000"/>
          <w:sz w:val="32"/>
        </w:rPr>
      </w:pPr>
      <w:r>
        <w:rPr>
          <w:rFonts w:hint="default" w:ascii="Times New Roman" w:hAnsi="Times New Roman" w:eastAsia="方正仿宋_GBK" w:cs="Times New Roman"/>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ind w:firstLine="642" w:firstLineChars="200"/>
        <w:rPr>
          <w:rFonts w:hint="default" w:ascii="Times New Roman" w:hAnsi="Times New Roman" w:eastAsia="方正仿宋_GBK" w:cs="Times New Roman"/>
          <w:b/>
          <w:sz w:val="32"/>
          <w:lang w:val="en-US" w:eastAsia="zh-CN"/>
        </w:rPr>
      </w:pPr>
      <w:r>
        <w:rPr>
          <w:rFonts w:hint="default" w:ascii="Times New Roman" w:hAnsi="Times New Roman" w:eastAsia="方正仿宋_GBK" w:cs="Times New Roman"/>
          <w:b/>
          <w:sz w:val="32"/>
        </w:rPr>
        <w:t>部门预算公开联系人：</w:t>
      </w:r>
      <w:r>
        <w:rPr>
          <w:rFonts w:hint="default" w:ascii="Times New Roman" w:hAnsi="Times New Roman" w:eastAsia="方正仿宋_GBK" w:cs="Times New Roman"/>
          <w:b/>
          <w:sz w:val="32"/>
          <w:lang w:eastAsia="zh-CN"/>
        </w:rPr>
        <w:t>杨悦</w:t>
      </w:r>
      <w:r>
        <w:rPr>
          <w:rFonts w:hint="default" w:ascii="Times New Roman" w:hAnsi="Times New Roman" w:eastAsia="方正仿宋_GBK" w:cs="Times New Roman"/>
          <w:b/>
          <w:sz w:val="32"/>
        </w:rPr>
        <w:t xml:space="preserve"> 联系方式：</w:t>
      </w:r>
      <w:r>
        <w:rPr>
          <w:rFonts w:hint="default" w:ascii="Times New Roman" w:hAnsi="Times New Roman" w:eastAsia="方正仿宋_GBK" w:cs="Times New Roman"/>
          <w:b/>
          <w:sz w:val="32"/>
          <w:lang w:val="en-US" w:eastAsia="zh-CN"/>
        </w:rPr>
        <w:t>48775380</w:t>
      </w:r>
    </w:p>
    <w:sectPr>
      <w:footerReference r:id="rId3" w:type="default"/>
      <w:pgSz w:w="16838" w:h="11906" w:orient="landscape"/>
      <w:pgMar w:top="1531" w:right="1474" w:bottom="1474" w:left="147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WAAAAZHJzL1BLAQIUABQAAAAIAIdO4kDOqXm5zwAAAAUBAAAPAAAAAAAAAAEAIAAAADgA&#10;AABkcnMvZG93bnJldi54bWxQSwECFAAUAAAACACHTuJAUQU0CMMBAABpAwAADgAAAAAAAAABACAA&#10;AAA0AQAAZHJzL2Uyb0RvYy54bWxQSwUGAAAAAAYABgBZAQAAaQUAAAAA&#10;">
              <v:fill on="f" focussize="0,0"/>
              <v:stroke on="f"/>
              <v:imagedata o:title=""/>
              <o:lock v:ext="edit" aspectratio="f"/>
              <v:textbox inset="0mm,0mm,0mm,0mm" style="mso-fit-shape-to-text:t;">
                <w:txbxContent>
                  <w:p>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3BE06E9"/>
    <w:rsid w:val="03C279D9"/>
    <w:rsid w:val="0C4D7764"/>
    <w:rsid w:val="0D92424A"/>
    <w:rsid w:val="136479B6"/>
    <w:rsid w:val="1729409D"/>
    <w:rsid w:val="18CC21E2"/>
    <w:rsid w:val="19D75DEA"/>
    <w:rsid w:val="1EE74E77"/>
    <w:rsid w:val="257307CD"/>
    <w:rsid w:val="274D0544"/>
    <w:rsid w:val="358A68A2"/>
    <w:rsid w:val="3BC5739B"/>
    <w:rsid w:val="421C7239"/>
    <w:rsid w:val="48310C7F"/>
    <w:rsid w:val="4B1735E2"/>
    <w:rsid w:val="4CDE4EB5"/>
    <w:rsid w:val="51281453"/>
    <w:rsid w:val="534E12E6"/>
    <w:rsid w:val="58960513"/>
    <w:rsid w:val="63477795"/>
    <w:rsid w:val="650D64D9"/>
    <w:rsid w:val="66796353"/>
    <w:rsid w:val="6B684772"/>
    <w:rsid w:val="73AE7B06"/>
    <w:rsid w:val="740318CF"/>
    <w:rsid w:val="78B104FE"/>
    <w:rsid w:val="7BC97BEE"/>
    <w:rsid w:val="7D4FA8D8"/>
    <w:rsid w:val="7E4C2A38"/>
    <w:rsid w:val="EFFC0F9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List Paragraph"/>
    <w:basedOn w:val="1"/>
    <w:qFormat/>
    <w:uiPriority w:val="34"/>
    <w:pPr>
      <w:ind w:firstLine="420" w:firstLineChars="200"/>
    </w:p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character" w:customStyle="1" w:styleId="11">
    <w:name w:val="批注框文本 Char"/>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316</Words>
  <Characters>1806</Characters>
  <Lines>15</Lines>
  <Paragraphs>4</Paragraphs>
  <TotalTime>2</TotalTime>
  <ScaleCrop>false</ScaleCrop>
  <LinksUpToDate>false</LinksUpToDate>
  <CharactersWithSpaces>2118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2018-12-17T14:47:00Z</dcterms:created>
  <dc:creator>Administrator</dc:creator>
  <cp:lastModifiedBy>guest</cp:lastModifiedBy>
  <cp:lastPrinted>2021-02-01T17:10:00Z</cp:lastPrinted>
  <dcterms:modified xsi:type="dcterms:W3CDTF">2025-02-28T10:34:20Z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