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N/>
        <w:bidi w:val="0"/>
        <w:adjustRightInd/>
        <w:spacing w:before="0" w:beforeAutospacing="0" w:after="0" w:afterAutospacing="0" w:line="576" w:lineRule="exact"/>
        <w:ind w:left="0" w:leftChars="0" w:right="0" w:rightChars="0" w:firstLine="880" w:firstLineChars="200"/>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重庆市綦江区打通镇综合行政执法大队</w:t>
      </w:r>
    </w:p>
    <w:p>
      <w:pPr>
        <w:pStyle w:val="9"/>
        <w:keepNext w:val="0"/>
        <w:keepLines w:val="0"/>
        <w:pageBreakBefore w:val="0"/>
        <w:widowControl/>
        <w:kinsoku/>
        <w:wordWrap/>
        <w:overflowPunct/>
        <w:topLinePunct w:val="0"/>
        <w:autoSpaceDN/>
        <w:bidi w:val="0"/>
        <w:adjustRightInd/>
        <w:spacing w:before="0" w:beforeAutospacing="0" w:after="0" w:afterAutospacing="0" w:line="576" w:lineRule="exact"/>
        <w:ind w:left="0" w:leftChars="0" w:right="0" w:rightChars="0" w:firstLine="880" w:firstLineChars="200"/>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880" w:firstLineChars="200"/>
        <w:textAlignment w:val="auto"/>
        <w:rPr>
          <w:rFonts w:hint="default"/>
          <w:sz w:val="27"/>
          <w:szCs w:val="27"/>
          <w:shd w:val="clear" w:color="auto" w:fill="FFFF00"/>
        </w:rPr>
      </w:pPr>
    </w:p>
    <w:p>
      <w:pPr>
        <w:pStyle w:val="9"/>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880" w:firstLineChars="200"/>
        <w:textAlignment w:val="auto"/>
        <w:rPr>
          <w:rStyle w:val="11"/>
          <w:rFonts w:hint="eastAsia" w:ascii="方正黑体_GBK" w:hAnsi="方正黑体_GBK" w:eastAsia="方正黑体_GBK" w:cs="方正黑体_GBK"/>
          <w:b w:val="0"/>
          <w:bCs/>
          <w:sz w:val="32"/>
          <w:szCs w:val="32"/>
          <w:shd w:val="clear" w:color="auto" w:fill="FFFFFF"/>
        </w:rPr>
      </w:pPr>
      <w:r>
        <w:rPr>
          <w:rStyle w:val="11"/>
          <w:rFonts w:hint="eastAsia" w:ascii="方正黑体_GBK" w:hAnsi="方正黑体_GBK" w:eastAsia="方正黑体_GBK" w:cs="方正黑体_GBK"/>
          <w:b w:val="0"/>
          <w:bCs/>
          <w:sz w:val="32"/>
          <w:szCs w:val="32"/>
          <w:shd w:val="clear" w:color="auto" w:fill="FFFFFF"/>
          <w:lang w:eastAsia="zh-CN"/>
        </w:rPr>
        <w:t>单位</w:t>
      </w:r>
      <w:r>
        <w:rPr>
          <w:rStyle w:val="11"/>
          <w:rFonts w:hint="eastAsia" w:ascii="方正黑体_GBK" w:hAnsi="方正黑体_GBK" w:eastAsia="方正黑体_GBK" w:cs="方正黑体_GBK"/>
          <w:b w:val="0"/>
          <w:bCs/>
          <w:sz w:val="32"/>
          <w:szCs w:val="32"/>
          <w:shd w:val="clear" w:color="auto" w:fill="FFFFFF"/>
        </w:rPr>
        <w:t>基本情况</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880" w:firstLineChars="200"/>
        <w:jc w:val="both"/>
        <w:textAlignment w:val="auto"/>
        <w:rPr>
          <w:rStyle w:val="11"/>
          <w:rFonts w:hint="eastAsia" w:ascii="方正黑体_GBK" w:hAnsi="方正黑体_GBK" w:eastAsia="方正黑体_GBK" w:cs="方正黑体_GBK"/>
          <w:b w:val="0"/>
          <w:bCs/>
          <w:sz w:val="32"/>
          <w:szCs w:val="32"/>
          <w:shd w:val="clear" w:color="auto" w:fill="FFFFFF"/>
        </w:rPr>
      </w:pPr>
      <w:r>
        <w:rPr>
          <w:rStyle w:val="11"/>
          <w:rFonts w:hint="eastAsia" w:ascii="方正楷体_GBK" w:hAnsi="方正楷体_GBK" w:eastAsia="方正楷体_GBK" w:cs="方正楷体_GBK"/>
          <w:b w:val="0"/>
          <w:bCs/>
          <w:sz w:val="32"/>
          <w:szCs w:val="32"/>
          <w:shd w:val="clear" w:color="auto" w:fill="FFFFFF"/>
        </w:rPr>
        <w:t>（一）职能职责</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880" w:firstLineChars="200"/>
        <w:jc w:val="both"/>
        <w:textAlignment w:val="auto"/>
        <w:rPr>
          <w:rFonts w:hint="eastAsia" w:ascii="Times New Roman" w:hAnsi="Times New Roman" w:eastAsia="方正仿宋_GBK" w:cs="方正仿宋_GBK"/>
          <w:b w:val="0"/>
          <w:bCs/>
          <w:sz w:val="32"/>
        </w:rPr>
      </w:pPr>
      <w:r>
        <w:rPr>
          <w:rFonts w:hint="default" w:ascii="Times New Roman" w:hAnsi="Times New Roman" w:eastAsia="方正仿宋_GBK" w:cs="Times New Roman"/>
          <w:color w:val="auto"/>
          <w:sz w:val="32"/>
          <w:szCs w:val="32"/>
          <w:lang w:eastAsia="zh-CN"/>
        </w:rPr>
        <w:t>根据《中共重庆市綦江区委机构编制委员会关于印发</w:t>
      </w:r>
      <w:r>
        <w:rPr>
          <w:rFonts w:hint="default" w:ascii="Times New Roman" w:hAnsi="Times New Roman" w:eastAsia="方正仿宋_GBK" w:cs="Times New Roman"/>
          <w:color w:val="auto"/>
          <w:sz w:val="32"/>
          <w:szCs w:val="32"/>
          <w:lang w:val="en-US" w:eastAsia="zh-CN"/>
        </w:rPr>
        <w:t>&lt;</w:t>
      </w:r>
      <w:r>
        <w:rPr>
          <w:rFonts w:hint="default" w:ascii="Times New Roman" w:hAnsi="Times New Roman" w:eastAsia="方正仿宋_GBK" w:cs="Times New Roman"/>
          <w:color w:val="auto"/>
          <w:sz w:val="32"/>
          <w:szCs w:val="32"/>
          <w:lang w:eastAsia="zh-CN"/>
        </w:rPr>
        <w:t>重庆市綦江区打通镇内设机构和事业单位机构编制方案</w:t>
      </w:r>
      <w:r>
        <w:rPr>
          <w:rFonts w:hint="default" w:ascii="Times New Roman" w:hAnsi="Times New Roman" w:eastAsia="方正仿宋_GBK" w:cs="Times New Roman"/>
          <w:color w:val="auto"/>
          <w:sz w:val="32"/>
          <w:szCs w:val="32"/>
          <w:lang w:val="en-US" w:eastAsia="zh-CN"/>
        </w:rPr>
        <w:t>&gt;</w:t>
      </w:r>
      <w:r>
        <w:rPr>
          <w:rFonts w:hint="default" w:ascii="Times New Roman" w:hAnsi="Times New Roman" w:eastAsia="方正仿宋_GBK" w:cs="Times New Roman"/>
          <w:color w:val="auto"/>
          <w:sz w:val="32"/>
          <w:szCs w:val="32"/>
          <w:lang w:eastAsia="zh-CN"/>
        </w:rPr>
        <w:t>的通知》</w:t>
      </w:r>
      <w:r>
        <w:rPr>
          <w:rFonts w:hint="default" w:ascii="Times New Roman" w:hAnsi="Times New Roman" w:eastAsia="方正仿宋_GBK" w:cs="Times New Roman"/>
          <w:color w:val="auto"/>
          <w:sz w:val="32"/>
          <w:szCs w:val="32"/>
          <w:lang w:val="en-US" w:eastAsia="zh-CN"/>
        </w:rPr>
        <w:t>（綦委编〔2024〕54号）</w:t>
      </w:r>
      <w:r>
        <w:rPr>
          <w:rFonts w:hint="default" w:ascii="Times New Roman" w:hAnsi="Times New Roman" w:eastAsia="方正仿宋_GBK" w:cs="Times New Roman"/>
          <w:color w:val="auto"/>
          <w:sz w:val="32"/>
          <w:szCs w:val="32"/>
          <w:lang w:eastAsia="zh-CN"/>
        </w:rPr>
        <w:t>文件</w:t>
      </w:r>
      <w:r>
        <w:rPr>
          <w:rFonts w:hint="eastAsia" w:eastAsia="方正仿宋_GBK" w:cs="方正仿宋_GBK"/>
          <w:sz w:val="32"/>
          <w:szCs w:val="32"/>
        </w:rPr>
        <w:t>精神，</w:t>
      </w:r>
      <w:r>
        <w:rPr>
          <w:rFonts w:ascii="Times New Roman" w:hAnsi="Times New Roman" w:eastAsia="方正仿宋_GBK"/>
          <w:b w:val="0"/>
          <w:bCs/>
          <w:sz w:val="32"/>
          <w:szCs w:val="32"/>
        </w:rPr>
        <w:t>制定本方案</w:t>
      </w:r>
      <w:r>
        <w:rPr>
          <w:rFonts w:hint="eastAsia" w:ascii="Times New Roman" w:hAnsi="Times New Roman" w:eastAsia="方正仿宋_GBK"/>
          <w:b w:val="0"/>
          <w:bCs/>
          <w:sz w:val="32"/>
          <w:szCs w:val="32"/>
        </w:rPr>
        <w:t>。</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880" w:firstLineChars="200"/>
        <w:jc w:val="both"/>
        <w:textAlignment w:val="auto"/>
        <w:rPr>
          <w:rFonts w:hint="default" w:eastAsia="方正仿宋_GBK" w:cs="方正仿宋_GBK"/>
          <w:sz w:val="32"/>
          <w:szCs w:val="32"/>
        </w:rPr>
      </w:pPr>
      <w:r>
        <w:rPr>
          <w:rFonts w:hint="eastAsia" w:ascii="Times New Roman" w:hAnsi="Times New Roman" w:eastAsia="方正仿宋_GBK" w:cs="方正仿宋_GBK"/>
          <w:b w:val="0"/>
          <w:bCs/>
          <w:sz w:val="32"/>
        </w:rPr>
        <w:t>重庆市綦江区打通镇综合行政执法大队属于国家</w:t>
      </w:r>
      <w:r>
        <w:rPr>
          <w:rFonts w:hint="eastAsia" w:ascii="Times New Roman" w:hAnsi="Times New Roman" w:eastAsia="方正仿宋_GBK" w:cs="方正仿宋_GBK"/>
          <w:b w:val="0"/>
          <w:bCs/>
          <w:sz w:val="32"/>
          <w:lang w:val="en-US" w:eastAsia="zh-CN"/>
        </w:rPr>
        <w:t>事业单位</w:t>
      </w:r>
      <w:r>
        <w:rPr>
          <w:rFonts w:hint="eastAsia" w:ascii="Times New Roman" w:hAnsi="Times New Roman" w:eastAsia="方正仿宋_GBK" w:cs="方正仿宋_GBK"/>
          <w:b w:val="0"/>
          <w:bCs/>
          <w:sz w:val="32"/>
        </w:rPr>
        <w:t>，其主要职责有：</w:t>
      </w:r>
      <w:r>
        <w:rPr>
          <w:rFonts w:hint="eastAsia" w:ascii="Times New Roman" w:hAnsi="Times New Roman" w:eastAsia="方正仿宋_GBK" w:cs="方正仿宋_GBK"/>
          <w:b w:val="0"/>
          <w:bCs/>
          <w:color w:val="auto"/>
          <w:sz w:val="32"/>
        </w:rPr>
        <w:t>与综合行政执法办公室统筹运行，负责集中行使依法授权或委托的农林水利、规划建设、卫生健康、环境保护、文化旅游等领域的行政执法权。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880" w:firstLineChars="200"/>
        <w:textAlignment w:val="auto"/>
        <w:rPr>
          <w:rFonts w:hint="default" w:ascii="楷体" w:hAnsi="楷体" w:eastAsia="楷体" w:cs="楷体"/>
          <w:sz w:val="32"/>
          <w:szCs w:val="32"/>
        </w:rPr>
      </w:pPr>
      <w:r>
        <w:rPr>
          <w:rStyle w:val="11"/>
          <w:rFonts w:hint="eastAsia" w:ascii="方正楷体_GBK" w:hAnsi="方正楷体_GBK" w:eastAsia="方正楷体_GBK" w:cs="方正楷体_GBK"/>
          <w:b w:val="0"/>
          <w:bCs/>
          <w:sz w:val="32"/>
          <w:szCs w:val="32"/>
          <w:shd w:val="clear" w:color="auto" w:fill="FFFFFF"/>
        </w:rPr>
        <w:t>（二）机构设置</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88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仿宋_GBK" w:cs="Times New Roman"/>
          <w:b w:val="0"/>
          <w:bCs/>
          <w:kern w:val="0"/>
          <w:sz w:val="32"/>
          <w:szCs w:val="32"/>
          <w:lang w:val="en-US" w:eastAsia="zh-CN" w:bidi="ar-SA"/>
        </w:rPr>
        <w:t>重庆市綦江区打通镇</w:t>
      </w:r>
      <w:r>
        <w:rPr>
          <w:rFonts w:hint="eastAsia" w:ascii="Times New Roman" w:hAnsi="Times New Roman" w:eastAsia="方正仿宋_GBK" w:cs="方正仿宋_GBK"/>
          <w:b w:val="0"/>
          <w:bCs/>
          <w:sz w:val="32"/>
        </w:rPr>
        <w:t>综合行政执法大队</w:t>
      </w:r>
      <w:r>
        <w:rPr>
          <w:rFonts w:hint="eastAsia" w:ascii="Times New Roman" w:hAnsi="Times New Roman" w:eastAsia="方正仿宋_GBK" w:cs="Times New Roman"/>
          <w:b w:val="0"/>
          <w:bCs/>
          <w:kern w:val="0"/>
          <w:sz w:val="32"/>
          <w:szCs w:val="32"/>
          <w:lang w:val="en-US" w:eastAsia="zh-CN" w:bidi="ar-SA"/>
        </w:rPr>
        <w:t>，为二级预算单位，为重庆市綦江区打通镇人民政府下属事业单位，</w:t>
      </w:r>
      <w:r>
        <w:rPr>
          <w:rFonts w:hint="eastAsia" w:ascii="Times New Roman" w:hAnsi="Times New Roman" w:eastAsia="方正仿宋_GBK" w:cs="方正仿宋_GBK"/>
          <w:b w:val="0"/>
          <w:bCs/>
          <w:sz w:val="32"/>
          <w:szCs w:val="32"/>
          <w:lang w:val="en-US" w:eastAsia="zh-CN"/>
        </w:rPr>
        <w:t>设置</w:t>
      </w:r>
      <w:r>
        <w:rPr>
          <w:rFonts w:hint="eastAsia" w:ascii="Times New Roman" w:hAnsi="Times New Roman" w:eastAsia="方正仿宋_GBK" w:cs="方正仿宋_GBK"/>
          <w:sz w:val="32"/>
          <w:szCs w:val="32"/>
        </w:rPr>
        <w:t>综合行政执法办公室</w:t>
      </w:r>
      <w:r>
        <w:rPr>
          <w:rFonts w:hint="eastAsia" w:ascii="Times New Roman" w:hAnsi="Times New Roman" w:eastAsia="方正仿宋_GBK" w:cs="方正仿宋_GBK"/>
          <w:sz w:val="32"/>
          <w:szCs w:val="32"/>
          <w:lang w:val="en-US" w:eastAsia="zh-CN"/>
        </w:rPr>
        <w:t>，分设综合执法岗、行政执法岗、辅助执法岗等，分别</w:t>
      </w:r>
      <w:r>
        <w:rPr>
          <w:rFonts w:hint="eastAsia" w:ascii="Times New Roman" w:hAnsi="Times New Roman" w:eastAsia="方正仿宋_GBK" w:cs="方正仿宋_GBK"/>
          <w:sz w:val="32"/>
          <w:szCs w:val="32"/>
        </w:rPr>
        <w:t>负责集中行使依法授权或委托的农林水利、规划建设、卫生健康环境保护、文化旅游等领域的行政执法权。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880" w:firstLineChars="200"/>
        <w:textAlignment w:val="auto"/>
        <w:rPr>
          <w:rStyle w:val="11"/>
          <w:rFonts w:hint="default" w:ascii="黑体" w:hAnsi="黑体" w:eastAsia="黑体" w:cs="黑体"/>
          <w:sz w:val="32"/>
          <w:szCs w:val="32"/>
          <w:shd w:val="clear" w:color="auto" w:fill="FFFFFF"/>
        </w:rPr>
      </w:pPr>
      <w:r>
        <w:rPr>
          <w:rStyle w:val="11"/>
          <w:rFonts w:hint="eastAsia" w:ascii="方正黑体_GBK" w:hAnsi="方正黑体_GBK" w:eastAsia="方正黑体_GBK" w:cs="方正黑体_GBK"/>
          <w:b w:val="0"/>
          <w:bCs/>
          <w:sz w:val="32"/>
          <w:szCs w:val="32"/>
          <w:shd w:val="clear" w:color="auto" w:fill="FFFFFF"/>
        </w:rPr>
        <w:t>二、</w:t>
      </w:r>
      <w:r>
        <w:rPr>
          <w:rStyle w:val="11"/>
          <w:rFonts w:hint="eastAsia" w:ascii="方正黑体_GBK" w:hAnsi="方正黑体_GBK" w:eastAsia="方正黑体_GBK" w:cs="方正黑体_GBK"/>
          <w:b w:val="0"/>
          <w:bCs/>
          <w:sz w:val="32"/>
          <w:szCs w:val="32"/>
          <w:shd w:val="clear" w:color="auto" w:fill="FFFFFF"/>
          <w:lang w:eastAsia="zh-CN"/>
        </w:rPr>
        <w:t>单位</w:t>
      </w:r>
      <w:r>
        <w:rPr>
          <w:rStyle w:val="11"/>
          <w:rFonts w:hint="eastAsia" w:ascii="方正黑体_GBK" w:hAnsi="方正黑体_GBK" w:eastAsia="方正黑体_GBK" w:cs="方正黑体_GBK"/>
          <w:b w:val="0"/>
          <w:bCs/>
          <w:sz w:val="32"/>
          <w:szCs w:val="32"/>
          <w:shd w:val="clear" w:color="auto" w:fill="FFFFFF"/>
        </w:rPr>
        <w:t>决算</w:t>
      </w:r>
      <w:r>
        <w:rPr>
          <w:rStyle w:val="11"/>
          <w:rFonts w:hint="eastAsia" w:ascii="方正黑体_GBK" w:hAnsi="方正黑体_GBK" w:eastAsia="方正黑体_GBK" w:cs="方正黑体_GBK"/>
          <w:b w:val="0"/>
          <w:bCs/>
          <w:sz w:val="32"/>
          <w:szCs w:val="32"/>
          <w:shd w:val="clear" w:color="auto" w:fill="FFFFFF"/>
          <w:lang w:eastAsia="zh-CN"/>
        </w:rPr>
        <w:t>收支</w:t>
      </w:r>
      <w:r>
        <w:rPr>
          <w:rStyle w:val="11"/>
          <w:rFonts w:hint="eastAsia" w:ascii="方正黑体_GBK" w:hAnsi="方正黑体_GBK" w:eastAsia="方正黑体_GBK" w:cs="方正黑体_GBK"/>
          <w:b w:val="0"/>
          <w:bCs/>
          <w:sz w:val="32"/>
          <w:szCs w:val="32"/>
          <w:shd w:val="clear" w:color="auto" w:fill="FFFFFF"/>
        </w:rPr>
        <w:t>情况说明</w:t>
      </w:r>
    </w:p>
    <w:p>
      <w:pPr>
        <w:pStyle w:val="14"/>
        <w:keepNext w:val="0"/>
        <w:keepLines w:val="0"/>
        <w:pageBreakBefore w:val="0"/>
        <w:widowControl/>
        <w:kinsoku/>
        <w:wordWrap/>
        <w:overflowPunct/>
        <w:topLinePunct w:val="0"/>
        <w:autoSpaceDE w:val="0"/>
        <w:autoSpaceDN/>
        <w:bidi w:val="0"/>
        <w:adjustRightInd/>
        <w:snapToGrid/>
        <w:spacing w:line="576" w:lineRule="exact"/>
        <w:ind w:left="0" w:leftChars="0" w:right="0" w:rightChars="0" w:firstLine="880" w:firstLineChars="200"/>
        <w:textAlignment w:val="auto"/>
        <w:rPr>
          <w:rFonts w:ascii="楷体" w:hAnsi="楷体" w:eastAsia="楷体" w:cs="楷体"/>
          <w:b/>
          <w:bCs/>
          <w:sz w:val="32"/>
          <w:szCs w:val="32"/>
          <w:shd w:val="clear" w:color="auto" w:fill="FFFFFF"/>
        </w:rPr>
      </w:pPr>
      <w:r>
        <w:rPr>
          <w:rStyle w:val="11"/>
          <w:rFonts w:hint="eastAsia" w:ascii="方正楷体_GBK" w:hAnsi="方正楷体_GBK" w:eastAsia="方正楷体_GBK" w:cs="方正楷体_GBK"/>
          <w:b w:val="0"/>
          <w:bCs w:val="0"/>
          <w:sz w:val="32"/>
          <w:szCs w:val="32"/>
          <w:shd w:val="clear" w:color="auto" w:fill="FFFFFF"/>
          <w:lang w:val="en-US" w:eastAsia="zh-CN" w:bidi="ar-SA"/>
        </w:rPr>
        <w:t>（一）收入支出决算总体情况说明</w:t>
      </w:r>
    </w:p>
    <w:p>
      <w:pPr>
        <w:pStyle w:val="9"/>
        <w:keepNext w:val="0"/>
        <w:keepLines w:val="0"/>
        <w:pageBreakBefore w:val="0"/>
        <w:shd w:val="clear" w:color="auto" w:fill="FFFFFF"/>
        <w:kinsoku/>
        <w:wordWrap/>
        <w:overflowPunct/>
        <w:topLinePunct w:val="0"/>
        <w:autoSpaceDN/>
        <w:bidi w:val="0"/>
        <w:adjustRightInd/>
        <w:spacing w:before="0" w:beforeAutospacing="0" w:after="0" w:afterAutospacing="0" w:line="576" w:lineRule="exact"/>
        <w:ind w:left="0" w:leftChars="0" w:right="0" w:rightChars="0" w:firstLine="88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128.00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收、支与2023年度相比，增加6.51万元，增长5.4%</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rPr>
        <w:t>一般公共预算财政拨款较上年</w:t>
      </w:r>
      <w:r>
        <w:rPr>
          <w:rFonts w:hint="eastAsia" w:ascii="Times New Roman" w:hAnsi="Times New Roman" w:eastAsia="方正仿宋_GBK" w:cs="方正仿宋_GBK"/>
          <w:sz w:val="32"/>
          <w:szCs w:val="32"/>
          <w:shd w:val="clear" w:color="auto" w:fill="FFFFFF"/>
          <w:lang w:val="en-US" w:eastAsia="zh-CN"/>
        </w:rPr>
        <w:t>增加</w:t>
      </w:r>
      <w:r>
        <w:rPr>
          <w:rFonts w:hint="eastAsia" w:ascii="Times New Roman" w:hAnsi="Times New Roman" w:eastAsia="方正仿宋_GBK" w:cs="方正仿宋_GBK"/>
          <w:sz w:val="32"/>
          <w:szCs w:val="32"/>
          <w:shd w:val="clear" w:color="auto" w:fill="FFFFFF"/>
          <w:lang w:eastAsia="zh-CN"/>
        </w:rPr>
        <w:t>，</w:t>
      </w:r>
      <w:r>
        <w:rPr>
          <w:rFonts w:hint="eastAsia" w:ascii="Times New Roman" w:hAnsi="Times New Roman" w:eastAsia="方正仿宋_GBK" w:cs="方正仿宋_GBK"/>
          <w:sz w:val="32"/>
          <w:szCs w:val="32"/>
          <w:shd w:val="clear" w:color="auto" w:fill="FFFFFF"/>
        </w:rPr>
        <w:t>基本支出</w:t>
      </w:r>
      <w:r>
        <w:rPr>
          <w:rFonts w:hint="eastAsia" w:ascii="Times New Roman" w:hAnsi="Times New Roman" w:eastAsia="方正仿宋_GBK" w:cs="方正仿宋_GBK"/>
          <w:sz w:val="32"/>
          <w:szCs w:val="32"/>
          <w:shd w:val="clear" w:color="auto" w:fill="FFFFFF"/>
          <w:lang w:val="en-US" w:eastAsia="zh-CN"/>
        </w:rPr>
        <w:t>增加</w:t>
      </w:r>
      <w:r>
        <w:rPr>
          <w:rFonts w:hint="eastAsia" w:ascii="Times New Roman" w:hAnsi="Times New Roman" w:eastAsia="方正仿宋_GBK" w:cs="方正仿宋_GBK"/>
          <w:sz w:val="32"/>
          <w:szCs w:val="32"/>
          <w:shd w:val="clear" w:color="auto" w:fill="FFFFFF"/>
        </w:rPr>
        <w:t>。</w:t>
      </w:r>
    </w:p>
    <w:p>
      <w:pPr>
        <w:pStyle w:val="9"/>
        <w:keepNext w:val="0"/>
        <w:keepLines w:val="0"/>
        <w:pageBreakBefore w:val="0"/>
        <w:shd w:val="clear" w:color="auto" w:fill="FFFFFF"/>
        <w:kinsoku/>
        <w:wordWrap/>
        <w:overflowPunct/>
        <w:topLinePunct w:val="0"/>
        <w:autoSpaceDN/>
        <w:bidi w:val="0"/>
        <w:adjustRightInd/>
        <w:spacing w:before="0" w:beforeAutospacing="0" w:after="0" w:afterAutospacing="0" w:line="576" w:lineRule="exact"/>
        <w:ind w:left="0" w:leftChars="0" w:right="0" w:rightChars="0" w:firstLine="880" w:firstLineChars="200"/>
        <w:jc w:val="both"/>
        <w:textAlignment w:val="auto"/>
        <w:rPr>
          <w:rFonts w:hint="default" w:ascii="方正仿宋_GBK" w:hAnsi="方正仿宋_GBK" w:eastAsia="方正仿宋_GBK" w:cs="方正仿宋_GBK"/>
          <w:sz w:val="32"/>
          <w:szCs w:val="32"/>
          <w:shd w:val="clear" w:color="auto" w:fill="FFFFFF"/>
        </w:rPr>
      </w:pPr>
      <w:r>
        <w:rPr>
          <w:rStyle w:val="11"/>
          <w:rFonts w:hint="eastAsia" w:ascii="Times New Roman" w:hAnsi="Times New Roman" w:eastAsia="方正仿宋_GBK"/>
          <w:sz w:val="32"/>
          <w:szCs w:val="32"/>
          <w:shd w:val="clear" w:color="auto" w:fill="FFFFFF"/>
          <w:lang w:val="en-US" w:eastAsia="zh-CN"/>
        </w:rPr>
        <w:t>1</w:t>
      </w:r>
      <w:r>
        <w:rPr>
          <w:rStyle w:val="11"/>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128.00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与2023年度相比，增加6.51万元，增长5.4%</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rPr>
        <w:t>一般公共预算财政拨款较上年</w:t>
      </w:r>
      <w:r>
        <w:rPr>
          <w:rFonts w:hint="eastAsia" w:ascii="Times New Roman" w:hAnsi="Times New Roman" w:eastAsia="方正仿宋_GBK" w:cs="方正仿宋_GBK"/>
          <w:sz w:val="32"/>
          <w:szCs w:val="32"/>
          <w:shd w:val="clear" w:color="auto" w:fill="FFFFFF"/>
          <w:lang w:val="en-US" w:eastAsia="zh-CN"/>
        </w:rPr>
        <w:t>增加</w:t>
      </w:r>
      <w:r>
        <w:rPr>
          <w:rFonts w:hint="eastAsia" w:ascii="Times New Roman" w:hAnsi="Times New Roman"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128.00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880" w:firstLineChars="200"/>
        <w:jc w:val="both"/>
        <w:textAlignment w:val="auto"/>
        <w:rPr>
          <w:rFonts w:hint="default" w:ascii="方正仿宋_GBK" w:hAnsi="方正仿宋_GBK" w:eastAsia="方正仿宋_GBK" w:cs="方正仿宋_GBK"/>
          <w:sz w:val="32"/>
          <w:szCs w:val="32"/>
          <w:shd w:val="clear" w:color="auto" w:fill="FFFFFF"/>
        </w:rPr>
      </w:pPr>
      <w:r>
        <w:rPr>
          <w:rStyle w:val="11"/>
          <w:rFonts w:hint="eastAsia" w:ascii="Times New Roman" w:hAnsi="Times New Roman" w:eastAsia="方正仿宋_GBK"/>
          <w:sz w:val="32"/>
          <w:szCs w:val="32"/>
          <w:shd w:val="clear" w:color="auto" w:fill="FFFFFF"/>
          <w:lang w:val="en-US" w:eastAsia="zh-CN"/>
        </w:rPr>
        <w:t>2</w:t>
      </w:r>
      <w:r>
        <w:rPr>
          <w:rStyle w:val="11"/>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128.00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与2023年度相比，增加6.51万元，增长5.4%</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rPr>
        <w:t>基本支出</w:t>
      </w:r>
      <w:r>
        <w:rPr>
          <w:rFonts w:hint="eastAsia" w:ascii="Times New Roman" w:hAnsi="Times New Roman" w:eastAsia="方正仿宋_GBK" w:cs="方正仿宋_GBK"/>
          <w:sz w:val="32"/>
          <w:szCs w:val="32"/>
          <w:shd w:val="clear" w:color="auto" w:fill="FFFFFF"/>
          <w:lang w:val="en-US" w:eastAsia="zh-CN"/>
        </w:rPr>
        <w:t>增加。</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128.00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880" w:firstLineChars="200"/>
        <w:jc w:val="both"/>
        <w:textAlignment w:val="auto"/>
        <w:rPr>
          <w:rFonts w:hint="default" w:ascii="方正仿宋_GBK" w:hAnsi="方正仿宋_GBK" w:eastAsia="方正仿宋_GBK" w:cs="方正仿宋_GBK"/>
          <w:sz w:val="32"/>
          <w:szCs w:val="32"/>
        </w:rPr>
      </w:pPr>
      <w:r>
        <w:rPr>
          <w:rStyle w:val="11"/>
          <w:rFonts w:hint="eastAsia" w:ascii="Times New Roman" w:hAnsi="Times New Roman" w:eastAsia="方正仿宋_GBK"/>
          <w:sz w:val="32"/>
          <w:szCs w:val="32"/>
          <w:shd w:val="clear" w:color="auto" w:fill="FFFFFF"/>
          <w:lang w:val="en-US" w:eastAsia="zh-CN"/>
        </w:rPr>
        <w:t>3</w:t>
      </w:r>
      <w:r>
        <w:rPr>
          <w:rStyle w:val="11"/>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rPr>
        <w:t>资金使用尽量做到收支平衡，减少结转和结余资金。</w:t>
      </w:r>
    </w:p>
    <w:p>
      <w:pPr>
        <w:pStyle w:val="14"/>
        <w:keepNext w:val="0"/>
        <w:keepLines w:val="0"/>
        <w:pageBreakBefore w:val="0"/>
        <w:widowControl/>
        <w:kinsoku/>
        <w:wordWrap/>
        <w:overflowPunct/>
        <w:topLinePunct w:val="0"/>
        <w:autoSpaceDE w:val="0"/>
        <w:autoSpaceDN/>
        <w:bidi w:val="0"/>
        <w:adjustRightInd/>
        <w:snapToGrid/>
        <w:spacing w:line="576" w:lineRule="exact"/>
        <w:ind w:left="0" w:leftChars="0" w:right="0" w:rightChars="0" w:firstLine="880" w:firstLineChars="200"/>
        <w:textAlignment w:val="auto"/>
        <w:rPr>
          <w:rStyle w:val="11"/>
          <w:rFonts w:hint="eastAsia" w:ascii="方正楷体_GBK" w:hAnsi="方正楷体_GBK" w:eastAsia="方正楷体_GBK" w:cs="方正楷体_GBK"/>
          <w:b w:val="0"/>
          <w:bCs w:val="0"/>
          <w:sz w:val="32"/>
          <w:szCs w:val="32"/>
          <w:shd w:val="clear" w:color="auto" w:fill="FFFFFF"/>
          <w:lang w:val="en-US" w:eastAsia="zh-CN" w:bidi="ar-SA"/>
        </w:rPr>
      </w:pPr>
      <w:r>
        <w:rPr>
          <w:rStyle w:val="11"/>
          <w:rFonts w:hint="eastAsia" w:ascii="方正楷体_GBK" w:hAnsi="方正楷体_GBK" w:eastAsia="方正楷体_GBK" w:cs="方正楷体_GBK"/>
          <w:b w:val="0"/>
          <w:bCs w:val="0"/>
          <w:sz w:val="32"/>
          <w:szCs w:val="32"/>
          <w:shd w:val="clear" w:color="auto" w:fill="FFFFFF"/>
          <w:lang w:val="en-US" w:eastAsia="zh-CN" w:bidi="ar-SA"/>
        </w:rPr>
        <w:t>（二）财政拨款收入支出决算总体情况说明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88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128.00</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财政拨款收、支总计各增加6.51万元，增长5.4%</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b w:val="0"/>
          <w:bCs w:val="0"/>
          <w:sz w:val="32"/>
          <w:szCs w:val="32"/>
          <w:shd w:val="clear" w:color="auto" w:fill="FFFFFF"/>
        </w:rPr>
        <w:t>财政拨款较上年</w:t>
      </w:r>
      <w:r>
        <w:rPr>
          <w:rFonts w:hint="eastAsia" w:ascii="Times New Roman" w:hAnsi="Times New Roman" w:eastAsia="方正仿宋_GBK" w:cs="方正仿宋_GBK"/>
          <w:b w:val="0"/>
          <w:bCs w:val="0"/>
          <w:sz w:val="32"/>
          <w:szCs w:val="32"/>
          <w:shd w:val="clear" w:color="auto" w:fill="FFFFFF"/>
          <w:lang w:val="en-US" w:eastAsia="zh-CN"/>
        </w:rPr>
        <w:t>增加</w:t>
      </w:r>
      <w:r>
        <w:rPr>
          <w:rFonts w:hint="eastAsia" w:ascii="Times New Roman" w:hAnsi="Times New Roman" w:eastAsia="方正仿宋_GBK" w:cs="方正仿宋_GBK"/>
          <w:b w:val="0"/>
          <w:bCs w:val="0"/>
          <w:sz w:val="32"/>
          <w:szCs w:val="32"/>
          <w:shd w:val="clear" w:color="auto" w:fill="FFFFFF"/>
        </w:rPr>
        <w:t>。</w:t>
      </w:r>
    </w:p>
    <w:p>
      <w:pPr>
        <w:pStyle w:val="14"/>
        <w:keepNext w:val="0"/>
        <w:keepLines w:val="0"/>
        <w:pageBreakBefore w:val="0"/>
        <w:widowControl/>
        <w:kinsoku/>
        <w:wordWrap/>
        <w:overflowPunct/>
        <w:topLinePunct w:val="0"/>
        <w:autoSpaceDE w:val="0"/>
        <w:autoSpaceDN/>
        <w:bidi w:val="0"/>
        <w:adjustRightInd/>
        <w:snapToGrid/>
        <w:spacing w:line="576" w:lineRule="exact"/>
        <w:ind w:left="0" w:leftChars="0" w:right="0" w:rightChars="0" w:firstLine="880" w:firstLineChars="200"/>
        <w:textAlignment w:val="auto"/>
        <w:rPr>
          <w:rFonts w:ascii="楷体" w:hAnsi="楷体" w:eastAsia="楷体" w:cs="楷体"/>
          <w:b/>
          <w:bCs/>
          <w:sz w:val="32"/>
          <w:szCs w:val="32"/>
          <w:shd w:val="clear" w:color="auto" w:fill="FFFFFF"/>
        </w:rPr>
      </w:pPr>
      <w:r>
        <w:rPr>
          <w:rStyle w:val="11"/>
          <w:rFonts w:hint="eastAsia" w:ascii="方正楷体_GBK" w:hAnsi="方正楷体_GBK" w:eastAsia="方正楷体_GBK" w:cs="方正楷体_GBK"/>
          <w:b w:val="0"/>
          <w:bCs w:val="0"/>
          <w:sz w:val="32"/>
          <w:szCs w:val="32"/>
          <w:shd w:val="clear" w:color="auto" w:fill="FFFFFF"/>
          <w:lang w:val="en-US" w:eastAsia="zh-CN" w:bidi="ar-SA"/>
        </w:rPr>
        <w:t>（三）一般公共预算财政拨款收入支出决算情况说明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880" w:firstLineChars="200"/>
        <w:jc w:val="both"/>
        <w:textAlignment w:val="auto"/>
        <w:rPr>
          <w:rFonts w:hint="default" w:ascii="方正仿宋_GBK" w:hAnsi="方正仿宋_GBK" w:eastAsia="方正仿宋_GBK" w:cs="方正仿宋_GBK"/>
          <w:sz w:val="32"/>
          <w:szCs w:val="32"/>
        </w:rPr>
      </w:pPr>
      <w:r>
        <w:rPr>
          <w:rStyle w:val="11"/>
          <w:rFonts w:hint="default" w:ascii="Times New Roman" w:hAnsi="Times New Roman" w:eastAsia="方正仿宋_GBK"/>
          <w:sz w:val="32"/>
          <w:szCs w:val="32"/>
          <w:shd w:val="clear" w:color="auto" w:fill="FFFFFF"/>
        </w:rPr>
        <w:t>1</w:t>
      </w:r>
      <w:r>
        <w:rPr>
          <w:rStyle w:val="11"/>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128.00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与2023年度相比，增加6.51万元，增长5.4%</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rPr>
        <w:t>一般公共预算财政拨款较上年</w:t>
      </w:r>
      <w:r>
        <w:rPr>
          <w:rFonts w:hint="eastAsia" w:ascii="Times New Roman" w:hAnsi="Times New Roman" w:eastAsia="方正仿宋_GBK" w:cs="方正仿宋_GBK"/>
          <w:sz w:val="32"/>
          <w:szCs w:val="32"/>
          <w:shd w:val="clear" w:color="auto" w:fill="FFFFFF"/>
          <w:lang w:val="en-US" w:eastAsia="zh-CN"/>
        </w:rPr>
        <w:t>增加</w:t>
      </w:r>
      <w:r>
        <w:rPr>
          <w:rFonts w:hint="eastAsia"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较年初预算数增加12.36万元，增长10.7%</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rPr>
        <w:t>一般公共预算财政拨款较</w:t>
      </w:r>
      <w:r>
        <w:rPr>
          <w:rFonts w:hint="eastAsia" w:ascii="Times New Roman" w:hAnsi="Times New Roman" w:eastAsia="方正仿宋_GBK" w:cs="方正仿宋_GBK"/>
          <w:sz w:val="32"/>
          <w:szCs w:val="32"/>
          <w:shd w:val="clear" w:color="auto" w:fill="FFFFFF"/>
          <w:lang w:val="en-US" w:eastAsia="zh-CN"/>
        </w:rPr>
        <w:t>年初增加。</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880" w:firstLineChars="200"/>
        <w:jc w:val="both"/>
        <w:textAlignment w:val="auto"/>
        <w:rPr>
          <w:rFonts w:ascii="方正仿宋_GBK" w:hAnsi="方正仿宋_GBK" w:eastAsia="方正仿宋_GBK" w:cs="方正仿宋_GBK"/>
          <w:color w:val="FF0000"/>
          <w:sz w:val="32"/>
          <w:szCs w:val="32"/>
          <w:shd w:val="clear" w:color="auto" w:fill="FFFFFF"/>
        </w:rPr>
      </w:pPr>
      <w:r>
        <w:rPr>
          <w:rStyle w:val="11"/>
          <w:rFonts w:hint="default" w:ascii="Times New Roman" w:hAnsi="Times New Roman" w:eastAsia="方正仿宋_GBK"/>
          <w:sz w:val="32"/>
          <w:szCs w:val="32"/>
          <w:shd w:val="clear" w:color="auto" w:fill="FFFFFF"/>
        </w:rPr>
        <w:t>2</w:t>
      </w:r>
      <w:r>
        <w:rPr>
          <w:rStyle w:val="11"/>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128.00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与2023年度相比，增加6.51万元，增长5.4%</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rPr>
        <w:t>基本支出</w:t>
      </w:r>
      <w:r>
        <w:rPr>
          <w:rFonts w:hint="eastAsia" w:ascii="Times New Roman" w:hAnsi="Times New Roman" w:eastAsia="方正仿宋_GBK" w:cs="方正仿宋_GBK"/>
          <w:sz w:val="32"/>
          <w:szCs w:val="32"/>
          <w:shd w:val="clear" w:color="auto" w:fill="FFFFFF"/>
          <w:lang w:val="en-US" w:eastAsia="zh-CN"/>
        </w:rPr>
        <w:t>增加</w:t>
      </w:r>
      <w:r>
        <w:rPr>
          <w:rFonts w:hint="eastAsia"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较年初预算数增加12.36万元，增长10.7%</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rPr>
        <w:t>基本支出</w:t>
      </w:r>
      <w:r>
        <w:rPr>
          <w:rFonts w:hint="eastAsia" w:ascii="Times New Roman" w:hAnsi="Times New Roman" w:eastAsia="方正仿宋_GBK" w:cs="方正仿宋_GBK"/>
          <w:sz w:val="32"/>
          <w:szCs w:val="32"/>
          <w:shd w:val="clear" w:color="auto" w:fill="FFFFFF"/>
          <w:lang w:val="en-US" w:eastAsia="zh-CN"/>
        </w:rPr>
        <w:t>较年初增加。</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76" w:lineRule="exact"/>
        <w:ind w:left="0" w:leftChars="0" w:right="0" w:rightChars="0" w:firstLine="88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88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24.47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19.1%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较年初预算数增加11.60万元，增长90.1%</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rPr>
        <w:t>社会保障与就业</w:t>
      </w:r>
      <w:r>
        <w:rPr>
          <w:rFonts w:hint="eastAsia" w:ascii="Times New Roman" w:hAnsi="Times New Roman" w:eastAsia="方正仿宋_GBK"/>
          <w:sz w:val="32"/>
          <w:szCs w:val="32"/>
          <w:lang w:val="en-US" w:eastAsia="zh-CN"/>
        </w:rPr>
        <w:t>相关工作支出增加。</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88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4.95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较年初预算数减少0.16万元，下降3.1%</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cs="方正仿宋_GBK"/>
          <w:sz w:val="32"/>
          <w:szCs w:val="32"/>
          <w:shd w:val="clear" w:color="auto" w:fill="FFFFFF"/>
        </w:rPr>
        <w:t>卫生健康</w:t>
      </w:r>
      <w:r>
        <w:rPr>
          <w:rFonts w:hint="eastAsia" w:ascii="Times New Roman" w:hAnsi="Times New Roman" w:eastAsia="方正仿宋_GBK"/>
          <w:sz w:val="32"/>
          <w:szCs w:val="32"/>
          <w:lang w:val="en-US" w:eastAsia="zh-CN"/>
        </w:rPr>
        <w:t>相关工作支出增加。</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88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）城乡社区支出</w:t>
      </w:r>
      <w:r>
        <w:rPr>
          <w:rFonts w:hint="default" w:ascii="Times New Roman" w:hAnsi="Times New Roman" w:eastAsia="方正仿宋_GBK"/>
          <w:sz w:val="32"/>
          <w:szCs w:val="32"/>
          <w:shd w:val="clear" w:color="auto" w:fill="FFFFFF"/>
        </w:rPr>
        <w:t>94.36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73.7%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较年初预算数增加1.87万元，增长2.0%</w:t>
      </w:r>
      <w:r>
        <w:rPr>
          <w:rFonts w:ascii="方正仿宋_GBK" w:hAnsi="方正仿宋_GBK" w:eastAsia="方正仿宋_GBK" w:cs="方正仿宋_GBK"/>
          <w:sz w:val="32"/>
          <w:szCs w:val="32"/>
          <w:shd w:val="clear" w:color="auto" w:fill="FFFFFF"/>
        </w:rPr>
        <w:t>，主要原因是城乡社区</w:t>
      </w:r>
      <w:r>
        <w:rPr>
          <w:rFonts w:hint="eastAsia" w:ascii="Times New Roman" w:hAnsi="Times New Roman" w:eastAsia="方正仿宋_GBK"/>
          <w:sz w:val="32"/>
          <w:szCs w:val="32"/>
          <w:lang w:val="en-US" w:eastAsia="zh-CN"/>
        </w:rPr>
        <w:t>相关工作支出增加。</w:t>
      </w:r>
    </w:p>
    <w:p>
      <w:pPr>
        <w:keepNext w:val="0"/>
        <w:keepLines w:val="0"/>
        <w:pageBreakBefore w:val="0"/>
        <w:kinsoku/>
        <w:wordWrap/>
        <w:overflowPunct/>
        <w:topLinePunct w:val="0"/>
        <w:autoSpaceDN/>
        <w:bidi w:val="0"/>
        <w:adjustRightInd/>
        <w:spacing w:line="576" w:lineRule="exact"/>
        <w:ind w:left="0" w:leftChars="0" w:right="0" w:rightChars="0" w:firstLine="88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4.21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较年初预算数减少0.95万元，下降18.4%</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val="en-US" w:eastAsia="zh-CN" w:bidi="ar-SA"/>
        </w:rPr>
        <w:t>人员变动，待遇减少等</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880" w:firstLineChars="200"/>
        <w:jc w:val="both"/>
        <w:textAlignment w:val="auto"/>
        <w:rPr>
          <w:rFonts w:hint="default" w:ascii="方正仿宋_GBK" w:hAnsi="方正仿宋_GBK" w:eastAsia="方正仿宋_GBK" w:cs="方正仿宋_GBK"/>
          <w:color w:val="FF0000"/>
          <w:sz w:val="32"/>
          <w:szCs w:val="32"/>
          <w:shd w:val="clear" w:color="auto" w:fill="FFFFFF"/>
        </w:rPr>
      </w:pPr>
      <w:r>
        <w:rPr>
          <w:rStyle w:val="11"/>
          <w:rFonts w:hint="default" w:ascii="Times New Roman" w:hAnsi="Times New Roman" w:eastAsia="方正仿宋_GBK"/>
          <w:sz w:val="32"/>
          <w:szCs w:val="32"/>
          <w:shd w:val="clear" w:color="auto" w:fill="FFFFFF"/>
        </w:rPr>
        <w:t>3</w:t>
      </w:r>
      <w:r>
        <w:rPr>
          <w:rStyle w:val="11"/>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rPr>
        <w:t>资金使用尽量做到收支平衡，减少结转和结余资金。</w:t>
      </w:r>
    </w:p>
    <w:p>
      <w:pPr>
        <w:pStyle w:val="14"/>
        <w:keepNext w:val="0"/>
        <w:keepLines w:val="0"/>
        <w:pageBreakBefore w:val="0"/>
        <w:widowControl/>
        <w:kinsoku/>
        <w:wordWrap/>
        <w:overflowPunct/>
        <w:topLinePunct w:val="0"/>
        <w:autoSpaceDE w:val="0"/>
        <w:autoSpaceDN/>
        <w:bidi w:val="0"/>
        <w:adjustRightInd/>
        <w:snapToGrid/>
        <w:spacing w:line="576" w:lineRule="exact"/>
        <w:ind w:left="0" w:leftChars="0" w:right="0" w:rightChars="0" w:firstLine="880" w:firstLineChars="200"/>
        <w:textAlignment w:val="auto"/>
        <w:rPr>
          <w:rStyle w:val="11"/>
          <w:rFonts w:hint="eastAsia" w:ascii="方正楷体_GBK" w:hAnsi="方正楷体_GBK" w:eastAsia="方正楷体_GBK" w:cs="方正楷体_GBK"/>
          <w:b w:val="0"/>
          <w:bCs w:val="0"/>
          <w:sz w:val="32"/>
          <w:szCs w:val="32"/>
          <w:shd w:val="clear" w:color="auto" w:fill="FFFFFF"/>
          <w:lang w:val="en-US" w:eastAsia="zh-CN" w:bidi="ar-SA"/>
        </w:rPr>
      </w:pPr>
      <w:r>
        <w:rPr>
          <w:rStyle w:val="11"/>
          <w:rFonts w:hint="eastAsia" w:ascii="方正楷体_GBK" w:hAnsi="方正楷体_GBK" w:eastAsia="方正楷体_GBK" w:cs="方正楷体_GBK"/>
          <w:b w:val="0"/>
          <w:bCs w:val="0"/>
          <w:sz w:val="32"/>
          <w:szCs w:val="32"/>
          <w:shd w:val="clear" w:color="auto" w:fill="FFFFFF"/>
          <w:lang w:val="en-US" w:eastAsia="zh-CN" w:bidi="ar-SA"/>
        </w:rPr>
        <w:t>（</w:t>
      </w:r>
      <w:r>
        <w:rPr>
          <w:rStyle w:val="11"/>
          <w:rFonts w:hint="eastAsia" w:ascii="方正楷体_GBK" w:hAnsi="方正楷体_GBK" w:eastAsia="方正楷体_GBK" w:cs="方正楷体_GBK"/>
          <w:b w:val="0"/>
          <w:bCs w:val="0"/>
          <w:sz w:val="32"/>
          <w:szCs w:val="32"/>
          <w:shd w:val="clear" w:color="auto" w:fill="FFFFFF"/>
          <w:lang w:val="en-US" w:eastAsia="zh-CN" w:bidi="ar-SA"/>
        </w:rPr>
        <w:t>四）一般公共预算财政拨款基本支出决算情况说明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880" w:firstLineChars="200"/>
        <w:jc w:val="both"/>
        <w:textAlignment w:val="auto"/>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128.00</w:t>
      </w:r>
      <w:r>
        <w:rPr>
          <w:rFonts w:ascii="方正仿宋_GBK" w:hAnsi="方正仿宋_GBK" w:eastAsia="方正仿宋_GBK" w:cs="方正仿宋_GBK"/>
          <w:sz w:val="32"/>
          <w:szCs w:val="32"/>
          <w:shd w:val="clear" w:color="auto" w:fill="FFFFFF"/>
        </w:rPr>
        <w:t>万元。其中：</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880" w:firstLineChars="200"/>
        <w:jc w:val="both"/>
        <w:textAlignment w:val="auto"/>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109.38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与2023年度相比，增加5.23万元，增长5.0%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b w:val="0"/>
          <w:bCs w:val="0"/>
          <w:sz w:val="32"/>
          <w:szCs w:val="32"/>
          <w:shd w:val="clear" w:color="auto" w:fill="FFFFFF"/>
        </w:rPr>
        <w:t>人员变动、经费标准等变动产生。</w:t>
      </w:r>
      <w:r>
        <w:rPr>
          <w:rFonts w:ascii="方正仿宋_GBK" w:hAnsi="方正仿宋_GBK" w:eastAsia="方正仿宋_GBK" w:cs="方正仿宋_GBK"/>
          <w:sz w:val="32"/>
          <w:szCs w:val="32"/>
          <w:shd w:val="clear" w:color="auto" w:fill="FFFFFF"/>
        </w:rPr>
        <w:t>人员经费用途主要包括</w:t>
      </w:r>
      <w:r>
        <w:rPr>
          <w:rFonts w:hint="eastAsia" w:ascii="Times New Roman" w:hAnsi="Times New Roman" w:eastAsia="方正仿宋_GBK"/>
          <w:b w:val="0"/>
          <w:bCs w:val="0"/>
          <w:sz w:val="32"/>
          <w:szCs w:val="32"/>
        </w:rPr>
        <w:t>职工工资、社保、住房公积金等支出。</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88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18.62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与2023年度相比，增加1.28万元，增长7.4%</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b w:val="0"/>
          <w:bCs w:val="0"/>
          <w:sz w:val="32"/>
          <w:szCs w:val="32"/>
          <w:shd w:val="clear" w:color="auto" w:fill="FFFFFF"/>
        </w:rPr>
        <w:t>日常开支</w:t>
      </w:r>
      <w:r>
        <w:rPr>
          <w:rFonts w:hint="eastAsia" w:ascii="Times New Roman" w:hAnsi="Times New Roman" w:eastAsia="方正仿宋_GBK" w:cs="方正仿宋_GBK"/>
          <w:b w:val="0"/>
          <w:bCs w:val="0"/>
          <w:sz w:val="32"/>
          <w:szCs w:val="32"/>
          <w:shd w:val="clear" w:color="auto" w:fill="FFFFFF"/>
          <w:lang w:val="en-US" w:eastAsia="zh-CN"/>
        </w:rPr>
        <w:t>增加</w:t>
      </w:r>
      <w:r>
        <w:rPr>
          <w:rFonts w:hint="eastAsia" w:ascii="Times New Roman" w:hAnsi="Times New Roman" w:eastAsia="方正仿宋_GBK" w:cs="方正仿宋_GBK"/>
          <w:b w:val="0"/>
          <w:bCs w:val="0"/>
          <w:sz w:val="32"/>
          <w:szCs w:val="32"/>
          <w:shd w:val="clear" w:color="auto" w:fill="FFFFFF"/>
        </w:rPr>
        <w:t>，日常公用经费</w:t>
      </w:r>
      <w:r>
        <w:rPr>
          <w:rFonts w:hint="eastAsia" w:ascii="Times New Roman" w:hAnsi="Times New Roman" w:eastAsia="方正仿宋_GBK" w:cs="方正仿宋_GBK"/>
          <w:b w:val="0"/>
          <w:bCs w:val="0"/>
          <w:sz w:val="32"/>
          <w:szCs w:val="32"/>
          <w:shd w:val="clear" w:color="auto" w:fill="FFFFFF"/>
          <w:lang w:val="en-US" w:eastAsia="zh-CN"/>
        </w:rPr>
        <w:t>增加</w:t>
      </w:r>
      <w:r>
        <w:rPr>
          <w:rFonts w:hint="eastAsia" w:ascii="Times New Roman" w:hAnsi="Times New Roman" w:eastAsia="方正仿宋_GBK" w:cs="方正仿宋_GBK"/>
          <w:b w:val="0"/>
          <w:bCs w:val="0"/>
          <w:sz w:val="32"/>
          <w:szCs w:val="32"/>
          <w:shd w:val="clear" w:color="auto" w:fill="FFFFFF"/>
        </w:rPr>
        <w:t>。</w:t>
      </w:r>
      <w:r>
        <w:rPr>
          <w:rFonts w:ascii="方正仿宋_GBK" w:hAnsi="方正仿宋_GBK" w:eastAsia="方正仿宋_GBK" w:cs="方正仿宋_GBK"/>
          <w:sz w:val="32"/>
          <w:szCs w:val="32"/>
          <w:shd w:val="clear" w:color="auto" w:fill="FFFFFF"/>
        </w:rPr>
        <w:t>公用经费用途主要包括</w:t>
      </w:r>
      <w:r>
        <w:rPr>
          <w:rFonts w:hint="eastAsia" w:ascii="Times New Roman" w:hAnsi="Times New Roman" w:eastAsia="方正仿宋_GBK"/>
          <w:b w:val="0"/>
          <w:bCs w:val="0"/>
          <w:sz w:val="32"/>
          <w:szCs w:val="32"/>
        </w:rPr>
        <w:t>办公费、水费、电费、差旅费、公务接待费、会议费等支出。</w:t>
      </w:r>
    </w:p>
    <w:p>
      <w:pPr>
        <w:pStyle w:val="14"/>
        <w:keepNext w:val="0"/>
        <w:keepLines w:val="0"/>
        <w:pageBreakBefore w:val="0"/>
        <w:widowControl/>
        <w:kinsoku/>
        <w:wordWrap/>
        <w:overflowPunct/>
        <w:topLinePunct w:val="0"/>
        <w:autoSpaceDE w:val="0"/>
        <w:autoSpaceDN/>
        <w:bidi w:val="0"/>
        <w:adjustRightInd/>
        <w:snapToGrid/>
        <w:spacing w:line="576" w:lineRule="exact"/>
        <w:ind w:left="0" w:leftChars="0" w:right="0" w:rightChars="0" w:firstLine="880" w:firstLineChars="200"/>
        <w:textAlignment w:val="auto"/>
        <w:rPr>
          <w:rStyle w:val="11"/>
          <w:rFonts w:hint="eastAsia" w:ascii="方正楷体_GBK" w:hAnsi="方正楷体_GBK" w:eastAsia="方正楷体_GBK" w:cs="方正楷体_GBK"/>
          <w:b w:val="0"/>
          <w:bCs w:val="0"/>
          <w:sz w:val="32"/>
          <w:szCs w:val="32"/>
          <w:shd w:val="clear" w:color="auto" w:fill="FFFFFF"/>
          <w:lang w:val="en-US" w:eastAsia="zh-CN" w:bidi="ar-SA"/>
        </w:rPr>
      </w:pPr>
      <w:r>
        <w:rPr>
          <w:rStyle w:val="11"/>
          <w:rFonts w:hint="eastAsia" w:ascii="方正楷体_GBK" w:hAnsi="方正楷体_GBK" w:eastAsia="方正楷体_GBK" w:cs="方正楷体_GBK"/>
          <w:b w:val="0"/>
          <w:bCs w:val="0"/>
          <w:sz w:val="32"/>
          <w:szCs w:val="32"/>
          <w:shd w:val="clear" w:color="auto" w:fill="FFFFFF"/>
          <w:lang w:val="en-US" w:eastAsia="zh-CN" w:bidi="ar-SA"/>
        </w:rPr>
        <w:t>（五）政府性基金预算收支决算情况说明</w:t>
      </w:r>
    </w:p>
    <w:p>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leftChars="0" w:right="0" w:rightChars="0" w:firstLine="880" w:firstLineChars="200"/>
        <w:jc w:val="both"/>
        <w:textAlignment w:val="auto"/>
        <w:outlineLvl w:val="9"/>
        <w:rPr>
          <w:rFonts w:hint="default" w:ascii="方正仿宋_GBK" w:hAnsi="方正仿宋_GBK" w:eastAsia="方正仿宋_GBK" w:cs="方正仿宋_GBK"/>
          <w:sz w:val="32"/>
          <w:szCs w:val="32"/>
        </w:rPr>
      </w:pPr>
      <w:r>
        <w:rPr>
          <w:rFonts w:ascii="Times New Roman" w:hAnsi="Times New Roman" w:eastAsia="方正仿宋_GBK" w:cs="方正仿宋_GBK"/>
          <w:b w:val="0"/>
          <w:bCs w:val="0"/>
          <w:sz w:val="32"/>
          <w:szCs w:val="32"/>
          <w:shd w:val="clear" w:color="auto" w:fill="FFFFFF"/>
        </w:rPr>
        <w:t>本单位202</w:t>
      </w:r>
      <w:r>
        <w:rPr>
          <w:rFonts w:hint="eastAsia" w:ascii="Times New Roman" w:hAnsi="Times New Roman" w:eastAsia="方正仿宋_GBK" w:cs="方正仿宋_GBK"/>
          <w:b w:val="0"/>
          <w:bCs w:val="0"/>
          <w:sz w:val="32"/>
          <w:szCs w:val="32"/>
          <w:shd w:val="clear" w:color="auto" w:fill="FFFFFF"/>
          <w:lang w:val="en-US" w:eastAsia="zh-CN"/>
        </w:rPr>
        <w:t>4</w:t>
      </w:r>
      <w:r>
        <w:rPr>
          <w:rFonts w:ascii="Times New Roman" w:hAnsi="Times New Roman" w:eastAsia="方正仿宋_GBK" w:cs="方正仿宋_GBK"/>
          <w:b w:val="0"/>
          <w:bCs w:val="0"/>
          <w:sz w:val="32"/>
          <w:szCs w:val="32"/>
          <w:shd w:val="clear" w:color="auto" w:fill="FFFFFF"/>
        </w:rPr>
        <w:t>年度无政府性基金预算财政拨款收支。</w:t>
      </w:r>
    </w:p>
    <w:p>
      <w:pPr>
        <w:pStyle w:val="14"/>
        <w:keepNext w:val="0"/>
        <w:keepLines w:val="0"/>
        <w:pageBreakBefore w:val="0"/>
        <w:widowControl/>
        <w:kinsoku/>
        <w:wordWrap/>
        <w:overflowPunct/>
        <w:topLinePunct w:val="0"/>
        <w:autoSpaceDE w:val="0"/>
        <w:autoSpaceDN/>
        <w:bidi w:val="0"/>
        <w:adjustRightInd/>
        <w:snapToGrid/>
        <w:spacing w:line="576" w:lineRule="exact"/>
        <w:ind w:left="0" w:leftChars="0" w:right="0" w:rightChars="0" w:firstLine="880" w:firstLineChars="200"/>
        <w:textAlignment w:val="auto"/>
        <w:rPr>
          <w:rFonts w:ascii="楷体" w:hAnsi="楷体" w:eastAsia="楷体" w:cs="楷体"/>
          <w:b/>
          <w:bCs/>
          <w:sz w:val="32"/>
          <w:szCs w:val="32"/>
          <w:shd w:val="clear" w:color="auto" w:fill="FFFFFF"/>
        </w:rPr>
      </w:pPr>
      <w:r>
        <w:rPr>
          <w:rStyle w:val="11"/>
          <w:rFonts w:hint="eastAsia" w:ascii="方正楷体_GBK" w:hAnsi="方正楷体_GBK" w:eastAsia="方正楷体_GBK" w:cs="方正楷体_GBK"/>
          <w:b w:val="0"/>
          <w:bCs w:val="0"/>
          <w:sz w:val="32"/>
          <w:szCs w:val="32"/>
          <w:shd w:val="clear" w:color="auto" w:fill="FFFFFF"/>
          <w:lang w:val="en-US" w:eastAsia="zh-CN" w:bidi="ar-SA"/>
        </w:rPr>
        <w:t>（六）国有资本经营预算财政拨款支出决算情况说明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880" w:firstLineChars="200"/>
        <w:jc w:val="both"/>
        <w:textAlignment w:val="auto"/>
        <w:rPr>
          <w:rFonts w:hint="default" w:ascii="方正仿宋_GBK" w:hAnsi="方正仿宋_GBK" w:eastAsia="方正仿宋_GBK" w:cs="方正仿宋_GBK"/>
          <w:sz w:val="32"/>
          <w:szCs w:val="32"/>
        </w:rPr>
      </w:pPr>
      <w:r>
        <w:rPr>
          <w:rFonts w:ascii="Times New Roman" w:hAnsi="Times New Roman" w:eastAsia="方正仿宋_GBK" w:cs="方正仿宋_GBK"/>
          <w:b w:val="0"/>
          <w:bCs w:val="0"/>
          <w:sz w:val="32"/>
          <w:szCs w:val="32"/>
          <w:shd w:val="clear" w:color="auto" w:fill="FFFFFF"/>
        </w:rPr>
        <w:t>本单位202</w:t>
      </w:r>
      <w:r>
        <w:rPr>
          <w:rFonts w:hint="eastAsia" w:ascii="Times New Roman" w:hAnsi="Times New Roman" w:eastAsia="方正仿宋_GBK" w:cs="方正仿宋_GBK"/>
          <w:b w:val="0"/>
          <w:bCs w:val="0"/>
          <w:sz w:val="32"/>
          <w:szCs w:val="32"/>
          <w:shd w:val="clear" w:color="auto" w:fill="FFFFFF"/>
          <w:lang w:val="en-US" w:eastAsia="zh-CN"/>
        </w:rPr>
        <w:t>4</w:t>
      </w:r>
      <w:r>
        <w:rPr>
          <w:rFonts w:ascii="Times New Roman" w:hAnsi="Times New Roman" w:eastAsia="方正仿宋_GBK" w:cs="方正仿宋_GBK"/>
          <w:b w:val="0"/>
          <w:bCs w:val="0"/>
          <w:sz w:val="32"/>
          <w:szCs w:val="32"/>
          <w:shd w:val="clear" w:color="auto" w:fill="FFFFFF"/>
        </w:rPr>
        <w:t>年度无国有资本经营预算财政拨款支出。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880" w:firstLineChars="200"/>
        <w:textAlignment w:val="auto"/>
        <w:rPr>
          <w:rStyle w:val="11"/>
          <w:rFonts w:hint="default" w:ascii="黑体" w:hAnsi="黑体" w:eastAsia="黑体" w:cs="黑体"/>
          <w:sz w:val="32"/>
          <w:szCs w:val="32"/>
          <w:shd w:val="clear" w:color="auto" w:fill="FFFFFF"/>
        </w:rPr>
      </w:pPr>
      <w:r>
        <w:rPr>
          <w:rStyle w:val="11"/>
          <w:rFonts w:hint="eastAsia" w:ascii="方正黑体_GBK" w:hAnsi="方正黑体_GBK" w:eastAsia="方正黑体_GBK" w:cs="方正黑体_GBK"/>
          <w:b w:val="0"/>
          <w:bCs/>
          <w:sz w:val="32"/>
          <w:szCs w:val="32"/>
          <w:shd w:val="clear" w:color="auto" w:fill="FFFFFF"/>
        </w:rPr>
        <w:t>三、</w:t>
      </w:r>
      <w:r>
        <w:rPr>
          <w:rStyle w:val="11"/>
          <w:rFonts w:hint="eastAsia" w:ascii="方正黑体_GBK" w:hAnsi="方正黑体_GBK" w:eastAsia="方正黑体_GBK" w:cs="方正黑体_GBK"/>
          <w:b w:val="0"/>
          <w:bCs/>
          <w:sz w:val="32"/>
          <w:szCs w:val="32"/>
          <w:shd w:val="clear" w:color="auto" w:fill="FFFFFF"/>
          <w:lang w:eastAsia="zh-CN"/>
        </w:rPr>
        <w:t>财政拨款</w:t>
      </w:r>
      <w:r>
        <w:rPr>
          <w:rStyle w:val="11"/>
          <w:rFonts w:hint="eastAsia" w:ascii="方正黑体_GBK" w:hAnsi="方正黑体_GBK" w:eastAsia="方正黑体_GBK" w:cs="方正黑体_GBK"/>
          <w:b w:val="0"/>
          <w:bCs/>
          <w:sz w:val="32"/>
          <w:szCs w:val="32"/>
          <w:shd w:val="clear" w:color="auto" w:fill="FFFFFF"/>
        </w:rPr>
        <w:t>“三公”经费情况说明</w:t>
      </w:r>
    </w:p>
    <w:p>
      <w:pPr>
        <w:pStyle w:val="14"/>
        <w:keepNext w:val="0"/>
        <w:keepLines w:val="0"/>
        <w:pageBreakBefore w:val="0"/>
        <w:widowControl/>
        <w:kinsoku/>
        <w:wordWrap/>
        <w:overflowPunct/>
        <w:topLinePunct w:val="0"/>
        <w:autoSpaceDE w:val="0"/>
        <w:autoSpaceDN/>
        <w:bidi w:val="0"/>
        <w:adjustRightInd/>
        <w:snapToGrid/>
        <w:spacing w:line="576" w:lineRule="exact"/>
        <w:ind w:left="0" w:leftChars="0" w:right="0" w:rightChars="0" w:firstLine="880" w:firstLineChars="200"/>
        <w:textAlignment w:val="auto"/>
        <w:rPr>
          <w:rStyle w:val="11"/>
          <w:rFonts w:hint="eastAsia" w:ascii="方正楷体_GBK" w:hAnsi="方正楷体_GBK" w:eastAsia="方正楷体_GBK" w:cs="方正楷体_GBK"/>
          <w:b w:val="0"/>
          <w:bCs w:val="0"/>
          <w:sz w:val="32"/>
          <w:szCs w:val="32"/>
          <w:shd w:val="clear" w:color="auto" w:fill="FFFFFF"/>
          <w:lang w:val="en-US" w:eastAsia="zh-CN" w:bidi="ar-SA"/>
        </w:rPr>
      </w:pPr>
      <w:r>
        <w:rPr>
          <w:rStyle w:val="11"/>
          <w:rFonts w:hint="eastAsia" w:ascii="方正楷体_GBK" w:hAnsi="方正楷体_GBK" w:eastAsia="方正楷体_GBK" w:cs="方正楷体_GBK"/>
          <w:b w:val="0"/>
          <w:bCs w:val="0"/>
          <w:sz w:val="32"/>
          <w:szCs w:val="32"/>
          <w:shd w:val="clear" w:color="auto" w:fill="FFFFFF"/>
          <w:lang w:val="en-US" w:eastAsia="zh-CN" w:bidi="ar-SA"/>
        </w:rPr>
        <w:t>（一）“三公”经费支出总体情况说明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88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较年初预算数减少0.38万元，下降100.0%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b w:val="0"/>
          <w:bCs w:val="0"/>
          <w:sz w:val="32"/>
          <w:szCs w:val="32"/>
        </w:rPr>
        <w:t>缩减开支，过“紧日子”。</w:t>
      </w:r>
      <w:r>
        <w:rPr>
          <w:rFonts w:hint="default" w:ascii="Times New Roman" w:hAnsi="Times New Roman" w:eastAsia="方正仿宋_GBK"/>
          <w:sz w:val="32"/>
          <w:szCs w:val="32"/>
          <w:shd w:val="clear" w:color="auto" w:fill="FFFFFF"/>
        </w:rPr>
        <w:t>较上年支出数减少0.36万元，下降100.0%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b w:val="0"/>
          <w:bCs w:val="0"/>
          <w:sz w:val="32"/>
          <w:szCs w:val="32"/>
        </w:rPr>
        <w:t>缩减开支，过“紧日子”。</w:t>
      </w:r>
    </w:p>
    <w:p>
      <w:pPr>
        <w:pStyle w:val="14"/>
        <w:keepNext w:val="0"/>
        <w:keepLines w:val="0"/>
        <w:pageBreakBefore w:val="0"/>
        <w:widowControl/>
        <w:kinsoku/>
        <w:wordWrap/>
        <w:overflowPunct/>
        <w:topLinePunct w:val="0"/>
        <w:autoSpaceDE w:val="0"/>
        <w:autoSpaceDN/>
        <w:bidi w:val="0"/>
        <w:adjustRightInd/>
        <w:snapToGrid/>
        <w:spacing w:line="576" w:lineRule="exact"/>
        <w:ind w:left="0" w:leftChars="0" w:right="0" w:rightChars="0" w:firstLine="880" w:firstLineChars="200"/>
        <w:textAlignment w:val="auto"/>
        <w:rPr>
          <w:rStyle w:val="11"/>
          <w:rFonts w:hint="eastAsia" w:ascii="方正楷体_GBK" w:hAnsi="方正楷体_GBK" w:eastAsia="方正楷体_GBK" w:cs="方正楷体_GBK"/>
          <w:b w:val="0"/>
          <w:bCs w:val="0"/>
          <w:sz w:val="32"/>
          <w:szCs w:val="32"/>
          <w:shd w:val="clear" w:color="auto" w:fill="FFFFFF"/>
          <w:lang w:val="en-US" w:eastAsia="zh-CN" w:bidi="ar-SA"/>
        </w:rPr>
      </w:pPr>
      <w:r>
        <w:rPr>
          <w:rStyle w:val="11"/>
          <w:rFonts w:hint="eastAsia" w:ascii="方正楷体_GBK" w:hAnsi="方正楷体_GBK" w:eastAsia="方正楷体_GBK" w:cs="方正楷体_GBK"/>
          <w:b w:val="0"/>
          <w:bCs w:val="0"/>
          <w:sz w:val="32"/>
          <w:szCs w:val="32"/>
          <w:shd w:val="clear" w:color="auto" w:fill="FFFFFF"/>
          <w:lang w:val="en-US" w:eastAsia="zh-CN" w:bidi="ar-SA"/>
        </w:rPr>
        <w:t>（二）“三公”经费分项支出情况</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88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ascii="Times New Roman" w:hAnsi="Times New Roman" w:eastAsia="方正仿宋_GBK" w:cs="方正仿宋_GBK"/>
          <w:b w:val="0"/>
          <w:bCs w:val="0"/>
          <w:sz w:val="32"/>
          <w:szCs w:val="32"/>
          <w:shd w:val="clear" w:color="auto" w:fill="FFFFFF"/>
        </w:rPr>
        <w:t>费用支出较年初预算数无增减</w:t>
      </w:r>
      <w:r>
        <w:rPr>
          <w:rFonts w:hint="eastAsia" w:ascii="Times New Roman" w:hAnsi="Times New Roman" w:eastAsia="方正仿宋_GBK" w:cs="方正仿宋_GBK"/>
          <w:b w:val="0"/>
          <w:bCs w:val="0"/>
          <w:sz w:val="32"/>
          <w:szCs w:val="32"/>
          <w:shd w:val="clear" w:color="auto" w:fill="FFFFFF"/>
          <w:lang w:eastAsia="zh-CN"/>
        </w:rPr>
        <w:t>。</w:t>
      </w:r>
      <w:r>
        <w:rPr>
          <w:rFonts w:ascii="Times New Roman" w:hAnsi="Times New Roman" w:eastAsia="方正仿宋_GBK" w:cs="方正仿宋_GBK"/>
          <w:b w:val="0"/>
          <w:bCs w:val="0"/>
          <w:sz w:val="32"/>
          <w:szCs w:val="32"/>
          <w:shd w:val="clear" w:color="auto" w:fill="FFFFFF"/>
        </w:rPr>
        <w:t>较上年支出数无增减。</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88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ascii="Times New Roman" w:hAnsi="Times New Roman" w:eastAsia="方正仿宋_GBK" w:cs="方正仿宋_GBK"/>
          <w:b w:val="0"/>
          <w:bCs w:val="0"/>
          <w:sz w:val="32"/>
          <w:szCs w:val="32"/>
          <w:shd w:val="clear" w:color="auto" w:fill="FFFFFF"/>
        </w:rPr>
        <w:t>费用支出较年初预算数无增减</w:t>
      </w:r>
      <w:r>
        <w:rPr>
          <w:rFonts w:hint="eastAsia" w:ascii="Times New Roman" w:hAnsi="Times New Roman" w:eastAsia="方正仿宋_GBK" w:cs="方正仿宋_GBK"/>
          <w:b w:val="0"/>
          <w:bCs w:val="0"/>
          <w:sz w:val="32"/>
          <w:szCs w:val="32"/>
          <w:shd w:val="clear" w:color="auto" w:fill="FFFFFF"/>
          <w:lang w:eastAsia="zh-CN"/>
        </w:rPr>
        <w:t>。</w:t>
      </w:r>
      <w:r>
        <w:rPr>
          <w:rFonts w:ascii="Times New Roman" w:hAnsi="Times New Roman" w:eastAsia="方正仿宋_GBK" w:cs="方正仿宋_GBK"/>
          <w:b w:val="0"/>
          <w:bCs w:val="0"/>
          <w:sz w:val="32"/>
          <w:szCs w:val="32"/>
          <w:shd w:val="clear" w:color="auto" w:fill="FFFFFF"/>
        </w:rPr>
        <w:t>较上年支出数无增减。</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88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ascii="Times New Roman" w:hAnsi="Times New Roman" w:eastAsia="方正仿宋_GBK" w:cs="方正仿宋_GBK"/>
          <w:b w:val="0"/>
          <w:bCs w:val="0"/>
          <w:sz w:val="32"/>
          <w:szCs w:val="32"/>
          <w:shd w:val="clear" w:color="auto" w:fill="FFFFFF"/>
        </w:rPr>
        <w:t>费用支出较年初预算数无增减</w:t>
      </w:r>
      <w:r>
        <w:rPr>
          <w:rFonts w:hint="eastAsia" w:ascii="Times New Roman" w:hAnsi="Times New Roman" w:eastAsia="方正仿宋_GBK" w:cs="方正仿宋_GBK"/>
          <w:b w:val="0"/>
          <w:bCs w:val="0"/>
          <w:sz w:val="32"/>
          <w:szCs w:val="32"/>
          <w:shd w:val="clear" w:color="auto" w:fill="FFFFFF"/>
          <w:lang w:eastAsia="zh-CN"/>
        </w:rPr>
        <w:t>。</w:t>
      </w:r>
      <w:r>
        <w:rPr>
          <w:rFonts w:ascii="Times New Roman" w:hAnsi="Times New Roman" w:eastAsia="方正仿宋_GBK" w:cs="方正仿宋_GBK"/>
          <w:b w:val="0"/>
          <w:bCs w:val="0"/>
          <w:sz w:val="32"/>
          <w:szCs w:val="32"/>
          <w:shd w:val="clear" w:color="auto" w:fill="FFFFFF"/>
        </w:rPr>
        <w:t>较上年支出数无增减。</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88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万元，主要用于接待</w:t>
      </w:r>
      <w:r>
        <w:rPr>
          <w:rFonts w:hint="eastAsia" w:ascii="Times New Roman" w:hAnsi="Times New Roman" w:eastAsia="方正仿宋_GBK"/>
          <w:sz w:val="32"/>
          <w:szCs w:val="32"/>
        </w:rPr>
        <w:t>其他外来单位到我镇调研、考察等。</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较年初预算数减少0.38万元，下降100.0%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b w:val="0"/>
          <w:bCs w:val="0"/>
          <w:sz w:val="32"/>
          <w:szCs w:val="32"/>
          <w:shd w:val="clear" w:color="auto" w:fill="FFFFFF"/>
        </w:rPr>
        <w:t>加强管理，严控</w:t>
      </w:r>
      <w:r>
        <w:rPr>
          <w:rFonts w:ascii="Times New Roman" w:hAnsi="Times New Roman" w:eastAsia="方正仿宋_GBK" w:cs="方正仿宋_GBK"/>
          <w:b w:val="0"/>
          <w:bCs w:val="0"/>
          <w:sz w:val="32"/>
          <w:szCs w:val="32"/>
          <w:shd w:val="clear" w:color="auto" w:fill="FFFFFF"/>
        </w:rPr>
        <w:t>公务接待费</w:t>
      </w:r>
      <w:r>
        <w:rPr>
          <w:rFonts w:hint="eastAsia" w:ascii="Times New Roman" w:hAnsi="Times New Roman" w:eastAsia="方正仿宋_GBK" w:cs="方正仿宋_GBK"/>
          <w:b w:val="0"/>
          <w:bCs w:val="0"/>
          <w:sz w:val="32"/>
          <w:szCs w:val="32"/>
          <w:shd w:val="clear" w:color="auto" w:fill="FFFFFF"/>
        </w:rPr>
        <w:t>支出</w:t>
      </w:r>
      <w:r>
        <w:rPr>
          <w:rFonts w:ascii="Times New Roman" w:hAnsi="Times New Roman" w:eastAsia="方正仿宋_GBK" w:cs="方正仿宋_GBK"/>
          <w:b w:val="0"/>
          <w:bCs w:val="0"/>
          <w:sz w:val="32"/>
          <w:szCs w:val="32"/>
          <w:shd w:val="clear" w:color="auto" w:fill="FFFFFF"/>
        </w:rPr>
        <w:t>。</w:t>
      </w:r>
      <w:r>
        <w:rPr>
          <w:rFonts w:hint="default" w:ascii="Times New Roman" w:hAnsi="Times New Roman" w:eastAsia="方正仿宋_GBK"/>
          <w:sz w:val="32"/>
          <w:szCs w:val="32"/>
          <w:shd w:val="clear" w:color="auto" w:fill="FFFFFF"/>
        </w:rPr>
        <w:t>较上年支出数减少0.36万元，下降100.0%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b w:val="0"/>
          <w:bCs w:val="0"/>
          <w:sz w:val="32"/>
          <w:szCs w:val="32"/>
          <w:shd w:val="clear" w:color="auto" w:fill="FFFFFF"/>
        </w:rPr>
        <w:t>加强管理，严控</w:t>
      </w:r>
      <w:r>
        <w:rPr>
          <w:rFonts w:ascii="Times New Roman" w:hAnsi="Times New Roman" w:eastAsia="方正仿宋_GBK" w:cs="方正仿宋_GBK"/>
          <w:b w:val="0"/>
          <w:bCs w:val="0"/>
          <w:sz w:val="32"/>
          <w:szCs w:val="32"/>
          <w:shd w:val="clear" w:color="auto" w:fill="FFFFFF"/>
        </w:rPr>
        <w:t>公务接待费</w:t>
      </w:r>
      <w:r>
        <w:rPr>
          <w:rFonts w:hint="eastAsia" w:ascii="Times New Roman" w:hAnsi="Times New Roman" w:eastAsia="方正仿宋_GBK" w:cs="方正仿宋_GBK"/>
          <w:b w:val="0"/>
          <w:bCs w:val="0"/>
          <w:sz w:val="32"/>
          <w:szCs w:val="32"/>
          <w:shd w:val="clear" w:color="auto" w:fill="FFFFFF"/>
        </w:rPr>
        <w:t>支出</w:t>
      </w:r>
      <w:r>
        <w:rPr>
          <w:rFonts w:ascii="Times New Roman" w:hAnsi="Times New Roman" w:eastAsia="方正仿宋_GBK" w:cs="方正仿宋_GBK"/>
          <w:b w:val="0"/>
          <w:bCs w:val="0"/>
          <w:sz w:val="32"/>
          <w:szCs w:val="32"/>
          <w:shd w:val="clear" w:color="auto" w:fill="FFFFFF"/>
        </w:rPr>
        <w:t>。</w:t>
      </w:r>
    </w:p>
    <w:p>
      <w:pPr>
        <w:pStyle w:val="14"/>
        <w:keepNext w:val="0"/>
        <w:keepLines w:val="0"/>
        <w:pageBreakBefore w:val="0"/>
        <w:widowControl/>
        <w:kinsoku/>
        <w:wordWrap/>
        <w:overflowPunct/>
        <w:topLinePunct w:val="0"/>
        <w:autoSpaceDE w:val="0"/>
        <w:autoSpaceDN/>
        <w:bidi w:val="0"/>
        <w:adjustRightInd/>
        <w:snapToGrid/>
        <w:spacing w:line="576" w:lineRule="exact"/>
        <w:ind w:left="0" w:leftChars="0" w:right="0" w:rightChars="0" w:firstLine="880" w:firstLineChars="200"/>
        <w:textAlignment w:val="auto"/>
        <w:rPr>
          <w:rFonts w:ascii="楷体" w:hAnsi="楷体" w:eastAsia="楷体" w:cs="楷体"/>
          <w:b/>
          <w:bCs/>
          <w:sz w:val="32"/>
          <w:szCs w:val="32"/>
          <w:shd w:val="clear" w:color="auto" w:fill="FFFFFF"/>
        </w:rPr>
      </w:pPr>
      <w:r>
        <w:rPr>
          <w:rStyle w:val="11"/>
          <w:rFonts w:hint="eastAsia" w:ascii="方正楷体_GBK" w:hAnsi="方正楷体_GBK" w:eastAsia="方正楷体_GBK" w:cs="方正楷体_GBK"/>
          <w:b w:val="0"/>
          <w:bCs w:val="0"/>
          <w:sz w:val="32"/>
          <w:szCs w:val="32"/>
          <w:shd w:val="clear" w:color="auto" w:fill="FFFFFF"/>
          <w:lang w:val="en-US" w:eastAsia="zh-CN" w:bidi="ar-SA"/>
        </w:rPr>
        <w:t>（三）“三公”经费实物量情况</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88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880" w:firstLineChars="200"/>
        <w:textAlignment w:val="auto"/>
        <w:rPr>
          <w:rStyle w:val="11"/>
          <w:rFonts w:hint="default" w:ascii="方正黑体_GBK" w:hAnsi="方正黑体_GBK" w:eastAsia="方正黑体_GBK" w:cs="方正黑体_GBK"/>
          <w:b w:val="0"/>
          <w:bCs/>
          <w:sz w:val="32"/>
          <w:szCs w:val="32"/>
          <w:shd w:val="clear" w:color="auto" w:fill="FFFFFF"/>
        </w:rPr>
      </w:pPr>
      <w:r>
        <w:rPr>
          <w:rStyle w:val="11"/>
          <w:rFonts w:hint="eastAsia" w:ascii="方正黑体_GBK" w:hAnsi="方正黑体_GBK" w:eastAsia="方正黑体_GBK" w:cs="方正黑体_GBK"/>
          <w:b w:val="0"/>
          <w:bCs/>
          <w:sz w:val="32"/>
          <w:szCs w:val="32"/>
          <w:shd w:val="clear" w:color="auto" w:fill="FFFFFF"/>
        </w:rPr>
        <w:t>四、其他需要说明的事项</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880" w:firstLineChars="200"/>
        <w:jc w:val="both"/>
        <w:textAlignment w:val="auto"/>
        <w:rPr>
          <w:rStyle w:val="11"/>
          <w:rFonts w:hint="default" w:ascii="方正楷体_GBK" w:hAnsi="方正楷体_GBK" w:eastAsia="方正楷体_GBK" w:cs="方正楷体_GBK"/>
          <w:b w:val="0"/>
          <w:bCs/>
          <w:sz w:val="32"/>
          <w:szCs w:val="32"/>
          <w:shd w:val="clear" w:color="auto" w:fill="FFFFFF"/>
          <w:lang w:val="en-US" w:eastAsia="zh-CN" w:bidi="ar-SA"/>
        </w:rPr>
      </w:pPr>
      <w:r>
        <w:rPr>
          <w:rStyle w:val="11"/>
          <w:rFonts w:hint="eastAsia" w:ascii="方正楷体_GBK" w:hAnsi="方正楷体_GBK" w:eastAsia="方正楷体_GBK" w:cs="方正楷体_GBK"/>
          <w:b w:val="0"/>
          <w:bCs/>
          <w:sz w:val="32"/>
          <w:szCs w:val="32"/>
          <w:shd w:val="clear" w:color="auto" w:fill="FFFFFF"/>
          <w:lang w:val="en-US" w:eastAsia="zh-CN" w:bidi="ar-SA"/>
        </w:rPr>
        <w:t>（一）财政拨款会议费、培训费和差旅费情况说明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880" w:firstLineChars="200"/>
        <w:jc w:val="both"/>
        <w:textAlignment w:val="auto"/>
        <w:rPr>
          <w:rFonts w:hint="default" w:ascii="方正仿宋_GBK" w:hAnsi="方正仿宋_GBK" w:eastAsia="方正仿宋_GBK" w:cs="方正仿宋_GBK"/>
          <w:color w:val="auto"/>
          <w:sz w:val="32"/>
          <w:szCs w:val="32"/>
          <w:highlight w:val="yellow"/>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与2023年度相比，减少0.30万元，下降100.0%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rPr>
        <w:t>缩减开支，</w:t>
      </w:r>
      <w:r>
        <w:rPr>
          <w:rFonts w:hint="eastAsia" w:ascii="Times New Roman" w:hAnsi="Times New Roman" w:eastAsia="方正仿宋_GBK"/>
          <w:sz w:val="32"/>
          <w:szCs w:val="32"/>
          <w:lang w:val="en-US" w:eastAsia="zh-CN"/>
        </w:rPr>
        <w:t>减少会议费支出。</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0.73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与2023年度相比，增加0.73万元，增长100.0%</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val="en-US" w:eastAsia="zh-CN"/>
        </w:rPr>
        <w:t>是用于支付职工培训产生费用。</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与2023年度相比，无变化</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880" w:firstLineChars="200"/>
        <w:jc w:val="both"/>
        <w:textAlignment w:val="auto"/>
        <w:rPr>
          <w:rStyle w:val="11"/>
          <w:rFonts w:hint="eastAsia" w:ascii="方正楷体_GBK" w:hAnsi="方正楷体_GBK" w:eastAsia="方正楷体_GBK" w:cs="方正楷体_GBK"/>
          <w:b w:val="0"/>
          <w:bCs/>
          <w:sz w:val="32"/>
          <w:szCs w:val="32"/>
          <w:shd w:val="clear" w:color="auto" w:fill="FFFFFF"/>
          <w:lang w:val="en-US" w:eastAsia="zh-CN" w:bidi="ar-SA"/>
        </w:rPr>
      </w:pPr>
      <w:r>
        <w:rPr>
          <w:rStyle w:val="11"/>
          <w:rFonts w:hint="eastAsia" w:ascii="方正楷体_GBK" w:hAnsi="方正楷体_GBK" w:eastAsia="方正楷体_GBK" w:cs="方正楷体_GBK"/>
          <w:b w:val="0"/>
          <w:bCs/>
          <w:sz w:val="32"/>
          <w:szCs w:val="32"/>
          <w:shd w:val="clear" w:color="auto" w:fill="FFFFFF"/>
          <w:lang w:val="en-US" w:eastAsia="zh-CN" w:bidi="ar-SA"/>
        </w:rPr>
        <w:t>（二）机关运行经费情况说明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880" w:firstLineChars="200"/>
        <w:jc w:val="both"/>
        <w:textAlignment w:val="auto"/>
        <w:rPr>
          <w:rFonts w:hint="default" w:ascii="方正仿宋_GBK" w:hAnsi="方正仿宋_GBK" w:eastAsia="方正仿宋_GBK" w:cs="方正仿宋_GBK"/>
          <w:color w:val="auto"/>
          <w:sz w:val="32"/>
          <w:szCs w:val="32"/>
          <w:highlight w:val="yellow"/>
        </w:rPr>
      </w:pPr>
      <w:r>
        <w:rPr>
          <w:rFonts w:hint="default" w:ascii="Times New Roman" w:hAnsi="Times New Roman" w:eastAsia="方正仿宋_GBK" w:cs="方正仿宋_GBK"/>
          <w:b w:val="0"/>
          <w:bCs w:val="0"/>
          <w:sz w:val="32"/>
          <w:szCs w:val="32"/>
          <w:shd w:val="clear" w:color="auto" w:fill="FFFFFF"/>
        </w:rPr>
        <w:t>按照部门决算列报口径，我单位不在机关运行经费统计范围之内。</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880" w:firstLineChars="200"/>
        <w:jc w:val="both"/>
        <w:textAlignment w:val="auto"/>
        <w:rPr>
          <w:rStyle w:val="11"/>
          <w:rFonts w:hint="eastAsia" w:ascii="方正楷体_GBK" w:hAnsi="方正楷体_GBK" w:eastAsia="方正楷体_GBK" w:cs="方正楷体_GBK"/>
          <w:b w:val="0"/>
          <w:bCs/>
          <w:sz w:val="32"/>
          <w:szCs w:val="32"/>
          <w:shd w:val="clear" w:color="auto" w:fill="FFFFFF"/>
          <w:lang w:val="en-US" w:eastAsia="zh-CN" w:bidi="ar-SA"/>
        </w:rPr>
      </w:pPr>
      <w:r>
        <w:rPr>
          <w:rStyle w:val="11"/>
          <w:rFonts w:hint="eastAsia" w:ascii="方正楷体_GBK" w:hAnsi="方正楷体_GBK" w:eastAsia="方正楷体_GBK" w:cs="方正楷体_GBK"/>
          <w:b w:val="0"/>
          <w:bCs/>
          <w:sz w:val="32"/>
          <w:szCs w:val="32"/>
          <w:shd w:val="clear" w:color="auto" w:fill="FFFFFF"/>
          <w:lang w:val="en-US" w:eastAsia="zh-CN" w:bidi="ar-SA"/>
        </w:rPr>
        <w:t>（三）国有资产占用情况说明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880" w:firstLineChars="200"/>
        <w:jc w:val="both"/>
        <w:textAlignment w:val="auto"/>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4"/>
        <w:keepNext w:val="0"/>
        <w:keepLines w:val="0"/>
        <w:pageBreakBefore w:val="0"/>
        <w:widowControl/>
        <w:kinsoku/>
        <w:wordWrap/>
        <w:overflowPunct/>
        <w:topLinePunct w:val="0"/>
        <w:autoSpaceDE w:val="0"/>
        <w:autoSpaceDN/>
        <w:bidi w:val="0"/>
        <w:adjustRightInd/>
        <w:snapToGrid/>
        <w:spacing w:line="576" w:lineRule="exact"/>
        <w:ind w:left="0" w:leftChars="0" w:right="0" w:rightChars="0" w:firstLine="880" w:firstLineChars="200"/>
        <w:textAlignment w:val="auto"/>
        <w:rPr>
          <w:rFonts w:ascii="楷体" w:hAnsi="楷体" w:eastAsia="楷体" w:cs="楷体"/>
          <w:b/>
          <w:bCs/>
          <w:sz w:val="32"/>
          <w:szCs w:val="32"/>
          <w:shd w:val="clear" w:color="auto" w:fill="FFFFFF"/>
        </w:rPr>
      </w:pPr>
      <w:r>
        <w:rPr>
          <w:rStyle w:val="11"/>
          <w:rFonts w:hint="eastAsia" w:ascii="方正楷体_GBK" w:hAnsi="方正楷体_GBK" w:eastAsia="方正楷体_GBK" w:cs="方正楷体_GBK"/>
          <w:b w:val="0"/>
          <w:bCs w:val="0"/>
          <w:sz w:val="32"/>
          <w:szCs w:val="32"/>
          <w:shd w:val="clear" w:color="auto" w:fill="FFFFFF"/>
          <w:lang w:val="en-US" w:eastAsia="zh-CN" w:bidi="ar-SA"/>
        </w:rPr>
        <w:t>（四）政府采购支出情况说明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76" w:lineRule="exact"/>
        <w:ind w:left="0" w:leftChars="0" w:right="0" w:rightChars="0" w:firstLine="880" w:firstLineChars="200"/>
        <w:jc w:val="both"/>
        <w:textAlignment w:val="auto"/>
        <w:rPr>
          <w:rFonts w:hint="default" w:ascii="方正仿宋_GBK" w:hAnsi="方正仿宋_GBK" w:eastAsia="方正仿宋_GBK" w:cs="方正仿宋_GBK"/>
          <w:color w:val="auto"/>
          <w:sz w:val="32"/>
          <w:szCs w:val="32"/>
          <w:highlight w:val="yellow"/>
        </w:rPr>
      </w:pPr>
      <w:r>
        <w:rPr>
          <w:rFonts w:ascii="Times New Roman" w:hAnsi="Times New Roman" w:eastAsia="方正仿宋_GBK" w:cs="方正仿宋_GBK"/>
          <w:b w:val="0"/>
          <w:bCs w:val="0"/>
          <w:sz w:val="32"/>
          <w:szCs w:val="32"/>
          <w:shd w:val="clear" w:color="auto" w:fill="FFFFFF"/>
        </w:rPr>
        <w:t>202</w:t>
      </w:r>
      <w:r>
        <w:rPr>
          <w:rFonts w:hint="eastAsia" w:ascii="Times New Roman" w:hAnsi="Times New Roman" w:eastAsia="方正仿宋_GBK" w:cs="方正仿宋_GBK"/>
          <w:b w:val="0"/>
          <w:bCs w:val="0"/>
          <w:sz w:val="32"/>
          <w:szCs w:val="32"/>
          <w:shd w:val="clear" w:color="auto" w:fill="FFFFFF"/>
          <w:lang w:val="en-US" w:eastAsia="zh-CN"/>
        </w:rPr>
        <w:t>4</w:t>
      </w:r>
      <w:r>
        <w:rPr>
          <w:rFonts w:ascii="Times New Roman" w:hAnsi="Times New Roman" w:eastAsia="方正仿宋_GBK" w:cs="方正仿宋_GBK"/>
          <w:b w:val="0"/>
          <w:bCs w:val="0"/>
          <w:sz w:val="32"/>
          <w:szCs w:val="32"/>
          <w:shd w:val="clear" w:color="auto" w:fill="FFFFFF"/>
        </w:rPr>
        <w:t>年度我单位未发生政府采购事项，无相关经费支出。</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rightChars="0" w:firstLine="880" w:firstLineChars="200"/>
        <w:textAlignment w:val="auto"/>
        <w:rPr>
          <w:rStyle w:val="11"/>
          <w:rFonts w:hint="eastAsia" w:ascii="黑体" w:hAnsi="黑体" w:eastAsia="黑体" w:cs="黑体"/>
          <w:sz w:val="32"/>
          <w:szCs w:val="32"/>
          <w:shd w:val="clear" w:color="auto" w:fill="FFFFFF"/>
          <w:lang w:val="en-US" w:eastAsia="zh-CN" w:bidi="ar-SA"/>
        </w:rPr>
      </w:pPr>
      <w:r>
        <w:rPr>
          <w:rStyle w:val="11"/>
          <w:rFonts w:hint="eastAsia" w:ascii="方正黑体_GBK" w:hAnsi="方正黑体_GBK" w:eastAsia="方正黑体_GBK" w:cs="方正黑体_GBK"/>
          <w:b w:val="0"/>
          <w:bCs w:val="0"/>
          <w:sz w:val="32"/>
          <w:szCs w:val="32"/>
          <w:shd w:val="clear" w:color="auto" w:fill="FFFFFF"/>
          <w:lang w:val="en-US" w:eastAsia="zh-CN" w:bidi="ar-SA"/>
        </w:rPr>
        <w:t>五、2024年度预算绩效管理情况说明</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6" w:lineRule="exact"/>
        <w:ind w:left="0" w:leftChars="0" w:right="0" w:rightChars="0" w:firstLine="880" w:firstLineChars="200"/>
        <w:jc w:val="left"/>
        <w:textAlignment w:val="auto"/>
        <w:rPr>
          <w:rFonts w:hint="eastAsia" w:ascii="楷体" w:hAnsi="楷体" w:eastAsia="楷体" w:cs="楷体"/>
          <w:b/>
          <w:bCs/>
          <w:kern w:val="0"/>
          <w:sz w:val="32"/>
          <w:szCs w:val="32"/>
          <w:shd w:val="clear" w:fill="FFFFFF"/>
        </w:rPr>
      </w:pPr>
      <w:r>
        <w:rPr>
          <w:rStyle w:val="11"/>
          <w:rFonts w:hint="eastAsia" w:ascii="方正楷体_GBK" w:hAnsi="方正楷体_GBK" w:eastAsia="方正楷体_GBK" w:cs="方正楷体_GBK"/>
          <w:b w:val="0"/>
          <w:bCs/>
          <w:sz w:val="32"/>
          <w:szCs w:val="32"/>
          <w:shd w:val="clear" w:color="auto" w:fill="FFFFFF"/>
          <w:lang w:val="en-US" w:eastAsia="zh-CN" w:bidi="ar-SA"/>
        </w:rPr>
        <w:t>（一）单位自评情况</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6" w:lineRule="exact"/>
        <w:ind w:left="0" w:leftChars="0" w:right="0" w:rightChars="0" w:firstLine="880" w:firstLineChars="200"/>
        <w:jc w:val="left"/>
        <w:textAlignment w:val="auto"/>
        <w:rPr>
          <w:rFonts w:hint="eastAsia" w:ascii="方正仿宋_GBK" w:hAnsi="方正仿宋_GBK" w:eastAsia="方正仿宋_GBK" w:cs="方正仿宋_GBK"/>
          <w:kern w:val="0"/>
          <w:sz w:val="32"/>
          <w:szCs w:val="32"/>
        </w:rPr>
      </w:pPr>
      <w:r>
        <w:rPr>
          <w:rFonts w:hint="eastAsia" w:ascii="Times New Roman" w:hAnsi="Times New Roman" w:eastAsia="方正仿宋_GBK"/>
          <w:b w:val="0"/>
          <w:bCs w:val="0"/>
          <w:sz w:val="32"/>
        </w:rPr>
        <w:t>本单位</w:t>
      </w:r>
      <w:r>
        <w:rPr>
          <w:rFonts w:hint="eastAsia" w:ascii="Times New Roman" w:hAnsi="Times New Roman" w:eastAsia="方正仿宋_GBK"/>
          <w:b w:val="0"/>
          <w:bCs w:val="0"/>
          <w:sz w:val="32"/>
          <w:lang w:val="en-US" w:eastAsia="zh-CN"/>
        </w:rPr>
        <w:t>2024年无特定目标类部门项目，未组织开展</w:t>
      </w:r>
      <w:r>
        <w:rPr>
          <w:rFonts w:hint="eastAsia" w:ascii="Times New Roman" w:hAnsi="Times New Roman" w:eastAsia="方正仿宋_GBK"/>
          <w:b w:val="0"/>
          <w:bCs w:val="0"/>
          <w:sz w:val="32"/>
        </w:rPr>
        <w:t>绩效自评。</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6" w:lineRule="exact"/>
        <w:ind w:left="0" w:leftChars="0" w:right="0" w:rightChars="0" w:firstLine="880" w:firstLineChars="200"/>
        <w:jc w:val="left"/>
        <w:textAlignment w:val="auto"/>
        <w:rPr>
          <w:rFonts w:hint="eastAsia" w:ascii="楷体" w:hAnsi="楷体" w:eastAsia="楷体" w:cs="楷体"/>
          <w:b/>
          <w:bCs/>
          <w:kern w:val="0"/>
          <w:sz w:val="32"/>
          <w:szCs w:val="32"/>
          <w:shd w:val="clear" w:fill="FFFFFF"/>
        </w:rPr>
      </w:pPr>
      <w:r>
        <w:rPr>
          <w:rStyle w:val="11"/>
          <w:rFonts w:hint="eastAsia" w:ascii="方正楷体_GBK" w:hAnsi="方正楷体_GBK" w:eastAsia="方正楷体_GBK" w:cs="方正楷体_GBK"/>
          <w:b w:val="0"/>
          <w:bCs/>
          <w:sz w:val="32"/>
          <w:szCs w:val="32"/>
          <w:shd w:val="clear" w:color="auto" w:fill="FFFFFF"/>
          <w:lang w:val="en-US" w:eastAsia="zh-CN" w:bidi="ar-SA"/>
        </w:rPr>
        <w:t>（二）单位绩效评价情况</w:t>
      </w:r>
    </w:p>
    <w:p>
      <w:pPr>
        <w:pStyle w:val="19"/>
        <w:keepNext w:val="0"/>
        <w:keepLines w:val="0"/>
        <w:pageBreakBefore w:val="0"/>
        <w:widowControl/>
        <w:kinsoku/>
        <w:wordWrap/>
        <w:overflowPunct/>
        <w:topLinePunct w:val="0"/>
        <w:autoSpaceDE w:val="0"/>
        <w:autoSpaceDN/>
        <w:bidi w:val="0"/>
        <w:adjustRightInd/>
        <w:snapToGrid/>
        <w:spacing w:before="0" w:after="0" w:afterAutospacing="0" w:line="576" w:lineRule="exact"/>
        <w:ind w:left="0" w:leftChars="0" w:right="0" w:rightChars="0" w:firstLine="880" w:firstLineChars="200"/>
        <w:textAlignment w:val="auto"/>
        <w:rPr>
          <w:rFonts w:hint="eastAsia" w:ascii="方正仿宋_GBK" w:hAnsi="方正仿宋_GBK" w:eastAsia="方正仿宋_GBK" w:cs="方正仿宋_GBK"/>
          <w:kern w:val="0"/>
          <w:sz w:val="32"/>
          <w:szCs w:val="32"/>
          <w:shd w:val="clear" w:fill="FFFFFF"/>
        </w:rPr>
      </w:pPr>
      <w:r>
        <w:rPr>
          <w:rFonts w:hint="eastAsia" w:ascii="Times New Roman" w:hAnsi="Times New Roman" w:eastAsia="方正仿宋_GBK"/>
          <w:b w:val="0"/>
          <w:bCs w:val="0"/>
          <w:sz w:val="32"/>
        </w:rPr>
        <w:t>本单位</w:t>
      </w:r>
      <w:r>
        <w:rPr>
          <w:rFonts w:hint="eastAsia" w:ascii="Times New Roman" w:hAnsi="Times New Roman" w:eastAsia="方正仿宋_GBK"/>
          <w:b w:val="0"/>
          <w:bCs w:val="0"/>
          <w:sz w:val="32"/>
          <w:lang w:val="en-US" w:eastAsia="zh-CN"/>
        </w:rPr>
        <w:t>2024年无特定目标类部门项目，未组织开展</w:t>
      </w:r>
      <w:r>
        <w:rPr>
          <w:rFonts w:hint="eastAsia" w:ascii="Times New Roman" w:hAnsi="Times New Roman" w:eastAsia="方正仿宋_GBK"/>
          <w:b w:val="0"/>
          <w:bCs w:val="0"/>
          <w:sz w:val="32"/>
        </w:rPr>
        <w:t>绩效</w:t>
      </w:r>
      <w:r>
        <w:rPr>
          <w:rFonts w:hint="eastAsia" w:ascii="Times New Roman" w:hAnsi="Times New Roman" w:eastAsia="方正仿宋_GBK"/>
          <w:b w:val="0"/>
          <w:bCs w:val="0"/>
          <w:sz w:val="32"/>
          <w:lang w:val="en-US" w:eastAsia="zh-CN"/>
        </w:rPr>
        <w:t>评价</w:t>
      </w:r>
      <w:r>
        <w:rPr>
          <w:rFonts w:hint="eastAsia" w:ascii="Times New Roman" w:hAnsi="Times New Roman" w:eastAsia="方正仿宋_GBK"/>
          <w:b w:val="0"/>
          <w:bCs w:val="0"/>
          <w:sz w:val="32"/>
        </w:rPr>
        <w:t>。</w:t>
      </w:r>
    </w:p>
    <w:p>
      <w:pPr>
        <w:pStyle w:val="19"/>
        <w:keepNext w:val="0"/>
        <w:keepLines w:val="0"/>
        <w:pageBreakBefore w:val="0"/>
        <w:widowControl/>
        <w:kinsoku/>
        <w:wordWrap/>
        <w:overflowPunct/>
        <w:topLinePunct w:val="0"/>
        <w:autoSpaceDE w:val="0"/>
        <w:autoSpaceDN/>
        <w:bidi w:val="0"/>
        <w:adjustRightInd/>
        <w:snapToGrid/>
        <w:spacing w:before="0" w:after="0" w:afterAutospacing="0" w:line="576" w:lineRule="exact"/>
        <w:ind w:left="0" w:leftChars="0" w:right="0" w:rightChars="0" w:firstLine="880" w:firstLineChars="200"/>
        <w:textAlignment w:val="auto"/>
        <w:rPr>
          <w:rFonts w:hint="eastAsia" w:ascii="方正仿宋_GBK" w:hAnsi="方正仿宋_GBK" w:eastAsia="方正仿宋_GBK" w:cs="方正仿宋_GBK"/>
          <w:b w:val="0"/>
          <w:bCs w:val="0"/>
          <w:kern w:val="0"/>
          <w:sz w:val="32"/>
          <w:szCs w:val="32"/>
          <w:shd w:val="clear" w:fill="FFFFFF"/>
        </w:rPr>
      </w:pPr>
      <w:r>
        <w:rPr>
          <w:rStyle w:val="11"/>
          <w:rFonts w:hint="eastAsia" w:ascii="方正楷体_GBK" w:hAnsi="方正楷体_GBK" w:eastAsia="方正楷体_GBK" w:cs="方正楷体_GBK"/>
          <w:b w:val="0"/>
          <w:bCs w:val="0"/>
          <w:kern w:val="0"/>
          <w:sz w:val="32"/>
          <w:szCs w:val="32"/>
          <w:shd w:val="clear" w:color="auto" w:fill="FFFFFF"/>
          <w:lang w:val="en-US" w:eastAsia="zh-CN" w:bidi="ar-SA"/>
        </w:rPr>
        <w:t>（三）财政绩效评价情况</w:t>
      </w:r>
    </w:p>
    <w:p>
      <w:pPr>
        <w:pStyle w:val="19"/>
        <w:keepNext w:val="0"/>
        <w:keepLines w:val="0"/>
        <w:pageBreakBefore w:val="0"/>
        <w:widowControl/>
        <w:kinsoku/>
        <w:wordWrap/>
        <w:overflowPunct/>
        <w:topLinePunct w:val="0"/>
        <w:autoSpaceDE w:val="0"/>
        <w:autoSpaceDN/>
        <w:bidi w:val="0"/>
        <w:adjustRightInd/>
        <w:snapToGrid/>
        <w:spacing w:before="0" w:after="0" w:afterAutospacing="0" w:line="576" w:lineRule="exact"/>
        <w:ind w:left="0" w:leftChars="0" w:right="0" w:rightChars="0" w:firstLine="880" w:firstLineChars="200"/>
        <w:textAlignment w:val="auto"/>
        <w:rPr>
          <w:rFonts w:hint="eastAsia" w:ascii="方正仿宋_GBK" w:hAnsi="方正仿宋_GBK" w:eastAsia="方正仿宋_GBK" w:cs="方正仿宋_GBK"/>
          <w:kern w:val="0"/>
          <w:sz w:val="32"/>
          <w:szCs w:val="32"/>
          <w:shd w:val="clear" w:fill="FFFFFF"/>
        </w:rPr>
      </w:pPr>
      <w:r>
        <w:rPr>
          <w:rFonts w:hint="eastAsia" w:ascii="Times New Roman" w:hAnsi="Times New Roman" w:eastAsia="方正仿宋_GBK" w:cs="方正仿宋_GBK"/>
          <w:b w:val="0"/>
          <w:bCs w:val="0"/>
          <w:sz w:val="32"/>
          <w:szCs w:val="32"/>
          <w:shd w:val="clear" w:color="auto" w:fill="FFFFFF"/>
        </w:rPr>
        <w:t>市财政局未委托第三方对我单位开展绩效评价。</w:t>
      </w:r>
    </w:p>
    <w:p>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76" w:lineRule="exact"/>
        <w:ind w:left="0" w:leftChars="0" w:right="0" w:rightChars="0" w:firstLine="880" w:firstLineChars="200"/>
        <w:textAlignment w:val="auto"/>
        <w:rPr>
          <w:rFonts w:hint="eastAsia" w:ascii="方正仿宋_GBK" w:hAnsi="方正仿宋_GBK" w:eastAsia="方正仿宋_GBK" w:cs="方正仿宋_GBK"/>
          <w:kern w:val="0"/>
          <w:sz w:val="32"/>
          <w:szCs w:val="32"/>
        </w:rPr>
      </w:pPr>
      <w:r>
        <w:rPr>
          <w:rStyle w:val="11"/>
          <w:rFonts w:hint="eastAsia" w:ascii="方正黑体_GBK" w:hAnsi="方正黑体_GBK" w:eastAsia="方正黑体_GBK" w:cs="方正黑体_GBK"/>
          <w:b w:val="0"/>
          <w:bCs w:val="0"/>
          <w:sz w:val="32"/>
          <w:szCs w:val="32"/>
          <w:shd w:val="clear" w:color="auto" w:fill="FFFFFF"/>
          <w:lang w:val="en-US" w:eastAsia="zh-CN" w:bidi="ar-SA"/>
        </w:rPr>
        <w:t>六、专业名词解释</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88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kern w:val="0"/>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88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kern w:val="0"/>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88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kern w:val="0"/>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88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kern w:val="0"/>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88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kern w:val="0"/>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88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kern w:val="0"/>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88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kern w:val="0"/>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88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kern w:val="0"/>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88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kern w:val="0"/>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88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kern w:val="0"/>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88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kern w:val="0"/>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88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kern w:val="0"/>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88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kern w:val="0"/>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88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kern w:val="0"/>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88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kern w:val="0"/>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88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kern w:val="0"/>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left="0" w:leftChars="0" w:right="0" w:rightChars="0" w:firstLine="880"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kern w:val="0"/>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76" w:lineRule="exact"/>
        <w:ind w:left="0" w:leftChars="0" w:right="0" w:rightChars="0" w:firstLine="880" w:firstLineChars="200"/>
        <w:textAlignment w:val="auto"/>
        <w:rPr>
          <w:rStyle w:val="11"/>
          <w:rFonts w:hint="eastAsia" w:ascii="方正黑体_GBK" w:hAnsi="方正黑体_GBK" w:eastAsia="方正黑体_GBK" w:cs="方正黑体_GBK"/>
          <w:b w:val="0"/>
          <w:bCs w:val="0"/>
          <w:sz w:val="32"/>
          <w:szCs w:val="32"/>
          <w:shd w:val="clear" w:color="auto" w:fill="FFFFFF"/>
          <w:lang w:val="en-US" w:eastAsia="zh-CN" w:bidi="ar-SA"/>
        </w:rPr>
      </w:pPr>
      <w:r>
        <w:rPr>
          <w:rStyle w:val="11"/>
          <w:rFonts w:hint="eastAsia" w:ascii="方正黑体_GBK" w:hAnsi="方正黑体_GBK" w:eastAsia="方正黑体_GBK" w:cs="方正黑体_GBK"/>
          <w:b w:val="0"/>
          <w:bCs w:val="0"/>
          <w:sz w:val="32"/>
          <w:szCs w:val="32"/>
          <w:shd w:val="clear" w:color="auto" w:fill="FFFFFF"/>
          <w:lang w:val="en-US" w:eastAsia="zh-CN" w:bidi="ar-SA"/>
        </w:rPr>
        <w:t>七、决算公开联系方式及信息反馈渠道</w:t>
      </w:r>
    </w:p>
    <w:p>
      <w:pPr>
        <w:pStyle w:val="19"/>
        <w:keepNext w:val="0"/>
        <w:keepLines w:val="0"/>
        <w:pageBreakBefore w:val="0"/>
        <w:widowControl w:val="0"/>
        <w:tabs>
          <w:tab w:val="center" w:pos="4153"/>
          <w:tab w:val="left" w:pos="7275"/>
        </w:tabs>
        <w:kinsoku/>
        <w:wordWrap/>
        <w:overflowPunct/>
        <w:topLinePunct w:val="0"/>
        <w:autoSpaceDN/>
        <w:bidi w:val="0"/>
        <w:adjustRightInd/>
        <w:spacing w:before="0" w:beforeAutospacing="0" w:after="0" w:afterAutospacing="0" w:line="576" w:lineRule="exact"/>
        <w:ind w:left="0" w:leftChars="0" w:right="0" w:rightChars="0" w:firstLine="880" w:firstLineChars="200"/>
        <w:textAlignment w:val="auto"/>
        <w:outlineLvl w:val="9"/>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 xml:space="preserve">联系方式：打通镇经济发展办公室            </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76" w:lineRule="exact"/>
        <w:ind w:left="0" w:leftChars="0" w:right="0" w:rightChars="0" w:firstLine="880" w:firstLineChars="200"/>
        <w:jc w:val="both"/>
        <w:textAlignment w:val="auto"/>
        <w:rPr>
          <w:rStyle w:val="11"/>
          <w:rFonts w:ascii="方正仿宋_GBK" w:hAnsi="方正仿宋_GBK" w:eastAsia="方正仿宋_GBK" w:cs="方正仿宋_GBK"/>
          <w:sz w:val="32"/>
          <w:szCs w:val="32"/>
          <w:shd w:val="clear" w:color="auto" w:fill="FFFF00"/>
        </w:rPr>
        <w:sectPr>
          <w:footerReference r:id="rId3" w:type="default"/>
          <w:pgSz w:w="11915" w:h="16840"/>
          <w:pgMar w:top="2098" w:right="1474" w:bottom="1984" w:left="1587" w:header="851" w:footer="992" w:gutter="0"/>
          <w:pgNumType w:fmt="numberInDash"/>
          <w:cols w:space="720" w:num="1"/>
          <w:docGrid w:type="lines" w:linePitch="312" w:charSpace="0"/>
        </w:sectPr>
      </w:pPr>
      <w:bookmarkStart w:id="0" w:name="_GoBack"/>
      <w:bookmarkEnd w:id="0"/>
      <w:r>
        <w:rPr>
          <w:rFonts w:hint="eastAsia" w:ascii="Times New Roman" w:hAnsi="Times New Roman" w:eastAsia="方正仿宋_GBK" w:cs="方正仿宋_GBK"/>
          <w:kern w:val="0"/>
          <w:sz w:val="32"/>
          <w:szCs w:val="32"/>
          <w:shd w:val="clear" w:color="auto" w:fill="FFFFFF"/>
          <w:lang w:val="en-US" w:eastAsia="zh-CN" w:bidi="ar-SA"/>
        </w:rPr>
        <w:t>电话48700125</w:t>
      </w:r>
    </w:p>
    <w:tbl>
      <w:tblPr>
        <w:tblStyle w:val="12"/>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重庆市綦江区打通镇综合行政执法大队</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128.00</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24.47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94.36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128.00</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128.00</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128.00</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2"/>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重庆市綦江区打通镇综合行政执法大队</w:t>
            </w:r>
          </w:p>
        </w:tc>
        <w:tc>
          <w:tcPr>
            <w:tcW w:w="145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9"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128.00</w:t>
            </w:r>
            <w:r>
              <w:rPr>
                <w:rFonts w:ascii="Times New Roman" w:hAnsi="Times New Roman"/>
                <w:b/>
                <w:color w:val="000000"/>
                <w:sz w:val="20"/>
                <w:u w:color="auto"/>
              </w:rPr>
              <w:t xml:space="preserve"> </w:t>
            </w:r>
          </w:p>
        </w:tc>
        <w:tc>
          <w:tcPr>
            <w:tcW w:w="14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128.00</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24.47</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24.47</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5.75</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5.75</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3.04</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3.04</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4.17</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4.17</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4.17</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4.17</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4.95</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4.95</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4.95</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4.95</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4.15</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4.15</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94.36</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94.36</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94.36</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94.36</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94.36</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94.36</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4.21</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4.21</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4.21</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4.21</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4.21</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4.21</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2"/>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重庆市綦江区打通镇综合行政执法大队 </w:t>
            </w: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128.00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128.00</w:t>
            </w:r>
            <w:r>
              <w:rPr>
                <w:rFonts w:ascii="Times New Roman" w:hAnsi="Times New Roman"/>
                <w:b/>
                <w:color w:val="000000"/>
                <w:sz w:val="20"/>
                <w:u w:color="auto"/>
              </w:rPr>
              <w:t xml:space="preserve"> </w:t>
            </w:r>
          </w:p>
        </w:tc>
        <w:tc>
          <w:tcPr>
            <w:tcW w:w="162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24.47</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24.47</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5.75</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5.75</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3.04</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3.04</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4.17</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4.17</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4.17</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4.17</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4.95</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4.95</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4.95</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4.95</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4.15</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4.15</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94.36</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94.36</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94.36</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94.36</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94.36</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94.36</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4.21</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4.21</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4.21</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4.21</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4.21</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4.21</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2"/>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重庆市綦江区打通镇综合行政执法大队</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128.00</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24.47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24.47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94.36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94.36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128.00</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128.00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128.00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128.00</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128.00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128.00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2"/>
        <w:tblW w:w="15322" w:type="dxa"/>
        <w:tblInd w:w="0" w:type="dxa"/>
        <w:tblLayout w:type="fixed"/>
        <w:tblCellMar>
          <w:top w:w="0" w:type="dxa"/>
          <w:left w:w="0" w:type="dxa"/>
          <w:bottom w:w="0" w:type="dxa"/>
          <w:right w:w="0" w:type="dxa"/>
        </w:tblCellMar>
      </w:tblPr>
      <w:tblGrid>
        <w:gridCol w:w="1305"/>
        <w:gridCol w:w="4073"/>
        <w:gridCol w:w="3306"/>
        <w:gridCol w:w="3297"/>
        <w:gridCol w:w="3341"/>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重庆市綦江区打通镇综合行政执法大队</w:t>
            </w: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128.00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128.00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24.47</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24.47</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20.30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20.30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11.50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11.50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5.75</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5.75</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3.04</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4.17</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4.17</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4.17</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4.17</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4.95</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4.95</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4.15</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4.15</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94.36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94.36</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94.36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94.36</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94.36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94.36</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4.21</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4.21</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4.21</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4.21</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2"/>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重庆市綦江区打通镇综合行政执法大队</w:t>
            </w:r>
          </w:p>
        </w:tc>
        <w:tc>
          <w:tcPr>
            <w:tcW w:w="141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1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102.16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18.62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26.08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44.26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109.38</w:t>
            </w:r>
            <w:r>
              <w:rPr>
                <w:rFonts w:ascii="Times New Roman" w:hAnsi="Times New Roman"/>
                <w:color w:val="000000"/>
                <w:sz w:val="18"/>
                <w:u w:color="auto"/>
              </w:rPr>
              <w:t xml:space="preserve"> </w:t>
            </w:r>
          </w:p>
        </w:tc>
        <w:tc>
          <w:tcPr>
            <w:tcW w:w="8659"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18.62</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2"/>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重庆市綦江区打通镇综合行政执法大队</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2"/>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重庆市綦江区打通镇综合行政执法大队</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2"/>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重庆市綦江区打通镇综合行政执法大队</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0.73</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黑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 w:name="time">
    <w:altName w:val="Segoe Print"/>
    <w:panose1 w:val="00000000000000000000"/>
    <w:charset w:val="00"/>
    <w:family w:val="auto"/>
    <w:pitch w:val="default"/>
    <w:sig w:usb0="00000000" w:usb1="00000000" w:usb2="00000000" w:usb3="00000000" w:csb0="00000000" w:csb1="00000000"/>
  </w:font>
  <w:font w:name="方正魏碑_GBK">
    <w:panose1 w:val="03000509000000000000"/>
    <w:charset w:val="86"/>
    <w:family w:val="auto"/>
    <w:pitch w:val="default"/>
    <w:sig w:usb0="00000001" w:usb1="080E0000" w:usb2="00000000" w:usb3="00000000" w:csb0="00040000" w:csb1="00000000"/>
  </w:font>
  <w:font w:name="方正魏碑简体">
    <w:panose1 w:val="02010601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WenQuanYi Micro Hei">
    <w:altName w:val="宋体"/>
    <w:panose1 w:val="020B0606030804020204"/>
    <w:charset w:val="00"/>
    <w:family w:val="auto"/>
    <w:pitch w:val="default"/>
    <w:sig w:usb0="00000000" w:usb1="00000000" w:usb2="00800036" w:usb3="00000000" w:csb0="603E019F" w:csb1="DFD70000"/>
  </w:font>
  <w:font w:name=")">
    <w:altName w:val="Segoe Print"/>
    <w:panose1 w:val="00000000000000000000"/>
    <w:charset w:val="00"/>
    <w:family w:val="auto"/>
    <w:pitch w:val="default"/>
    <w:sig w:usb0="00000000" w:usb1="00000000" w:usb2="00000000" w:usb3="00000000" w:csb0="00000000" w:csb1="00000000"/>
  </w:font>
  <w:font w:name=")time">
    <w:altName w:val="Segoe Print"/>
    <w:panose1 w:val="00000000000000000000"/>
    <w:charset w:val="00"/>
    <w:family w:val="auto"/>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w:pict>
        <v:shape id="_x0000_s1033" o:spid="_x0000_s1033"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4384;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3360;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F0A277"/>
    <w:multiLevelType w:val="singleLevel"/>
    <w:tmpl w:val="68F0A27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6B1B2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5504FE"/>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character" w:styleId="11">
    <w:name w:val="Strong"/>
    <w:qFormat/>
    <w:uiPriority w:val="0"/>
    <w:rPr>
      <w:b/>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0"/>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0"/>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3935</Words>
  <Characters>22430</Characters>
  <Lines>186</Lines>
  <Paragraphs>52</Paragraphs>
  <ScaleCrop>false</ScaleCrop>
  <LinksUpToDate>false</LinksUpToDate>
  <CharactersWithSpaces>26313</CharactersWithSpaces>
  <Application>WPS Office_10.1.0.5745_F1E327BC-269C-435d-A152-05C5408002CA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2025-10-16T07:45:18Z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y fmtid="{D5CDD505-2E9C-101B-9397-08002B2CF9AE}" pid="3" name="ICV">
    <vt:lpwstr>BB46EABDBB2749749395447164B066B3_12</vt:lpwstr>
  </property>
</Properties>
</file>