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重庆市綦江区打通镇产业发展服务中心</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Fonts w:hint="default" w:ascii="方正仿宋_GBK" w:hAnsi="方正仿宋_GBK" w:eastAsia="方正仿宋_GBK" w:cs="方正仿宋_GBK"/>
          <w:sz w:val="32"/>
          <w:szCs w:val="32"/>
        </w:rPr>
      </w:pPr>
      <w:r>
        <w:rPr>
          <w:rStyle w:val="11"/>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eastAsia" w:eastAsia="方正仿宋_GBK" w:cs="方正仿宋_GBK"/>
          <w:sz w:val="32"/>
          <w:szCs w:val="32"/>
        </w:rPr>
      </w:pPr>
      <w:r>
        <w:rPr>
          <w:rFonts w:hint="default" w:ascii="Times New Roman" w:hAnsi="Times New Roman" w:eastAsia="方正仿宋_GBK" w:cs="Times New Roman"/>
          <w:color w:val="auto"/>
          <w:sz w:val="32"/>
          <w:szCs w:val="32"/>
          <w:lang w:eastAsia="zh-CN"/>
        </w:rPr>
        <w:t>根据《中共重庆市綦江区委机构编制委员会关于印发</w:t>
      </w:r>
      <w:r>
        <w:rPr>
          <w:rFonts w:hint="default" w:ascii="Times New Roman" w:hAnsi="Times New Roman" w:eastAsia="方正仿宋_GBK" w:cs="Times New Roman"/>
          <w:color w:val="auto"/>
          <w:sz w:val="32"/>
          <w:szCs w:val="32"/>
          <w:lang w:val="en-US" w:eastAsia="zh-CN"/>
        </w:rPr>
        <w:t>&lt;</w:t>
      </w:r>
      <w:r>
        <w:rPr>
          <w:rFonts w:hint="default" w:ascii="Times New Roman" w:hAnsi="Times New Roman" w:eastAsia="方正仿宋_GBK" w:cs="Times New Roman"/>
          <w:color w:val="auto"/>
          <w:sz w:val="32"/>
          <w:szCs w:val="32"/>
          <w:lang w:eastAsia="zh-CN"/>
        </w:rPr>
        <w:t>重庆市綦江区打通镇内设机构和事业单位机构编制方案</w:t>
      </w:r>
      <w:r>
        <w:rPr>
          <w:rFonts w:hint="default" w:ascii="Times New Roman" w:hAnsi="Times New Roman" w:eastAsia="方正仿宋_GBK" w:cs="Times New Roman"/>
          <w:color w:val="auto"/>
          <w:sz w:val="32"/>
          <w:szCs w:val="32"/>
          <w:lang w:val="en-US" w:eastAsia="zh-CN"/>
        </w:rPr>
        <w:t>&gt;</w:t>
      </w:r>
      <w:r>
        <w:rPr>
          <w:rFonts w:hint="default" w:ascii="Times New Roman" w:hAnsi="Times New Roman" w:eastAsia="方正仿宋_GBK" w:cs="Times New Roman"/>
          <w:color w:val="auto"/>
          <w:sz w:val="32"/>
          <w:szCs w:val="32"/>
          <w:lang w:eastAsia="zh-CN"/>
        </w:rPr>
        <w:t>的通知》</w:t>
      </w:r>
      <w:r>
        <w:rPr>
          <w:rFonts w:hint="default" w:ascii="Times New Roman" w:hAnsi="Times New Roman" w:eastAsia="方正仿宋_GBK" w:cs="Times New Roman"/>
          <w:color w:val="auto"/>
          <w:sz w:val="32"/>
          <w:szCs w:val="32"/>
          <w:lang w:val="en-US" w:eastAsia="zh-CN"/>
        </w:rPr>
        <w:t>（綦委编〔2024〕54号）</w:t>
      </w:r>
      <w:r>
        <w:rPr>
          <w:rFonts w:hint="default" w:ascii="Times New Roman" w:hAnsi="Times New Roman" w:eastAsia="方正仿宋_GBK" w:cs="Times New Roman"/>
          <w:color w:val="auto"/>
          <w:sz w:val="32"/>
          <w:szCs w:val="32"/>
          <w:lang w:eastAsia="zh-CN"/>
        </w:rPr>
        <w:t>文件</w:t>
      </w:r>
      <w:r>
        <w:rPr>
          <w:rFonts w:hint="eastAsia" w:eastAsia="方正仿宋_GBK" w:cs="方正仿宋_GBK"/>
          <w:sz w:val="32"/>
          <w:szCs w:val="32"/>
        </w:rPr>
        <w:t>精神，</w:t>
      </w:r>
      <w:r>
        <w:rPr>
          <w:rFonts w:ascii="Times New Roman" w:hAnsi="Times New Roman" w:eastAsia="方正仿宋_GBK"/>
          <w:b w:val="0"/>
          <w:bCs/>
          <w:sz w:val="32"/>
          <w:szCs w:val="32"/>
        </w:rPr>
        <w:t>制定本方案</w:t>
      </w:r>
      <w:r>
        <w:rPr>
          <w:rFonts w:hint="eastAsia" w:ascii="Times New Roman" w:hAnsi="Times New Roman" w:eastAsia="方正仿宋_GBK"/>
          <w:b w:val="0"/>
          <w:bCs/>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eastAsia="方正仿宋_GBK" w:cs="方正仿宋_GBK"/>
          <w:sz w:val="32"/>
          <w:szCs w:val="32"/>
        </w:rPr>
      </w:pPr>
      <w:r>
        <w:rPr>
          <w:rFonts w:hint="eastAsia" w:ascii="Times New Roman" w:hAnsi="Times New Roman" w:eastAsia="方正仿宋_GBK" w:cs="方正仿宋_GBK"/>
          <w:b w:val="0"/>
          <w:bCs/>
          <w:sz w:val="32"/>
        </w:rPr>
        <w:t>重庆市綦江区打通镇产业发展服务中心属于国家</w:t>
      </w:r>
      <w:r>
        <w:rPr>
          <w:rFonts w:hint="eastAsia" w:ascii="Times New Roman" w:hAnsi="Times New Roman" w:eastAsia="方正仿宋_GBK" w:cs="方正仿宋_GBK"/>
          <w:b w:val="0"/>
          <w:bCs/>
          <w:sz w:val="32"/>
          <w:lang w:val="en-US" w:eastAsia="zh-CN"/>
        </w:rPr>
        <w:t>事业单位</w:t>
      </w:r>
      <w:r>
        <w:rPr>
          <w:rFonts w:hint="eastAsia" w:ascii="Times New Roman" w:hAnsi="Times New Roman" w:eastAsia="方正仿宋_GBK" w:cs="方正仿宋_GBK"/>
          <w:b w:val="0"/>
          <w:bCs/>
          <w:sz w:val="32"/>
        </w:rPr>
        <w:t>，其主要职责有：</w:t>
      </w:r>
      <w:r>
        <w:rPr>
          <w:rFonts w:hint="eastAsia" w:ascii="Times New Roman" w:hAnsi="Times New Roman" w:eastAsia="方正仿宋_GBK" w:cs="方正仿宋_GBK"/>
          <w:b w:val="0"/>
          <w:bCs/>
          <w:color w:val="auto"/>
          <w:sz w:val="32"/>
        </w:rPr>
        <w:t>承担农机、农产品质量、农村清洁能源（沼气、太阳能）、渔业船舶、林业、水利、防汛抗旱、水产、畜牧兽医、气象等方面的事务性工作；承担农村经营管理、重大技术推广、信息服务、资源环境保护、灾害防治等方面的事务性工作；承担农村土地承包管理、农民负担监督管理、农村集体资产管理等方面的事务性工作；承担扶贫开发、乡村振兴方面的事务性工作；协助开展惠农资金补贴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b w:val="0"/>
          <w:bCs/>
          <w:kern w:val="0"/>
          <w:sz w:val="32"/>
          <w:szCs w:val="32"/>
          <w:lang w:val="en-US" w:eastAsia="zh-CN" w:bidi="ar-SA"/>
        </w:rPr>
        <w:t>重庆市綦江区打通镇</w:t>
      </w:r>
      <w:r>
        <w:rPr>
          <w:rFonts w:hint="eastAsia" w:ascii="Times New Roman" w:hAnsi="Times New Roman" w:eastAsia="方正仿宋_GBK" w:cs="方正仿宋_GBK"/>
          <w:b w:val="0"/>
          <w:bCs/>
          <w:sz w:val="32"/>
        </w:rPr>
        <w:t>产业发展</w:t>
      </w:r>
      <w:r>
        <w:rPr>
          <w:rFonts w:hint="eastAsia" w:ascii="Times New Roman" w:hAnsi="Times New Roman" w:eastAsia="方正仿宋_GBK" w:cs="Times New Roman"/>
          <w:b w:val="0"/>
          <w:bCs/>
          <w:kern w:val="0"/>
          <w:sz w:val="32"/>
          <w:szCs w:val="32"/>
          <w:lang w:val="en-US" w:eastAsia="zh-CN" w:bidi="ar-SA"/>
        </w:rPr>
        <w:t>服务中心，为二级预算单位，为重庆市綦江区打通镇人民政府下属事业单位，</w:t>
      </w:r>
      <w:r>
        <w:rPr>
          <w:rFonts w:hint="eastAsia" w:ascii="Times New Roman" w:hAnsi="Times New Roman" w:eastAsia="方正仿宋_GBK" w:cs="方正仿宋_GBK"/>
          <w:b w:val="0"/>
          <w:bCs/>
          <w:sz w:val="32"/>
          <w:szCs w:val="32"/>
          <w:lang w:val="en-US" w:eastAsia="zh-CN"/>
        </w:rPr>
        <w:t>设置农业综合服务办公室、乡村振兴办公室。</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570.24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收、支与2023年度相比，增加110.10万元，增长23.9%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基本支出较上年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570.24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与2023年度相比，增加110.10万元，增长23.9%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570.24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570.24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与2023年度相比，增加110.10万元，增长23.9%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基本支出较上年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570.24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570.24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财政拨款收、支总计各增加110.10万元，增长23.9%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财政拨款较上年</w:t>
      </w:r>
      <w:r>
        <w:rPr>
          <w:rFonts w:hint="eastAsia" w:ascii="Times New Roman" w:hAnsi="Times New Roman"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方正仿宋_GBK"/>
          <w:b w:val="0"/>
          <w:bCs w:val="0"/>
          <w:sz w:val="32"/>
          <w:szCs w:val="32"/>
          <w:shd w:val="clear" w:color="auto" w:fill="FFFFFF"/>
          <w:lang w:eastAsia="zh-CN"/>
        </w:rPr>
        <w:t>，</w:t>
      </w:r>
      <w:r>
        <w:rPr>
          <w:rFonts w:hint="eastAsia" w:ascii="Times New Roman" w:hAnsi="Times New Roman" w:eastAsia="方正仿宋_GBK" w:cs="方正仿宋_GBK"/>
          <w:b w:val="0"/>
          <w:bCs w:val="0"/>
          <w:sz w:val="32"/>
          <w:szCs w:val="32"/>
          <w:shd w:val="clear" w:color="auto" w:fill="FFFFFF"/>
        </w:rPr>
        <w:t>基本支出较上年</w:t>
      </w:r>
      <w:r>
        <w:rPr>
          <w:rFonts w:hint="eastAsia" w:ascii="Times New Roman" w:hAnsi="Times New Roman"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方正仿宋_GBK"/>
          <w:b w:val="0"/>
          <w:bCs w:val="0"/>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570.24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与2023年度相比，增加110.10万元，增长23.9%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较年初预算数增加76.88万元，增长15.6%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570.24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与2023年度相比，增加110.10万元，增长23.9%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基本支出较上年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较年初预算数增加76.88万元，增长15.6%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基本支出较上年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124.61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较年初预算数增加29.63万元，增长31.2%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社会保障与就业</w:t>
      </w:r>
      <w:r>
        <w:rPr>
          <w:rFonts w:hint="eastAsia" w:ascii="Times New Roman" w:hAnsi="Times New Roman" w:eastAsia="方正仿宋_GBK"/>
          <w:sz w:val="32"/>
          <w:szCs w:val="32"/>
          <w:lang w:val="en-US" w:eastAsia="zh-CN"/>
        </w:rPr>
        <w:t>等工作支出增加</w:t>
      </w:r>
      <w:r>
        <w:rPr>
          <w:rFonts w:hint="eastAsia" w:ascii="Times New Roman" w:hAnsi="Times New Roman" w:eastAsia="方正仿宋_GBK"/>
          <w:color w:val="000000" w:themeColor="text1"/>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21.98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较年初预算数增加1.15万元，增长5.5%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卫生健康</w:t>
      </w:r>
      <w:r>
        <w:rPr>
          <w:rFonts w:hint="eastAsia" w:ascii="Times New Roman" w:hAnsi="Times New Roman" w:eastAsia="方正仿宋_GBK"/>
          <w:color w:val="auto"/>
          <w:sz w:val="32"/>
          <w:szCs w:val="32"/>
        </w:rPr>
        <w:t>开支</w:t>
      </w:r>
      <w:r>
        <w:rPr>
          <w:rFonts w:hint="eastAsia" w:ascii="Times New Roman" w:hAnsi="Times New Roman" w:eastAsia="方正仿宋_GBK"/>
          <w:color w:val="auto"/>
          <w:sz w:val="32"/>
          <w:szCs w:val="32"/>
          <w:lang w:val="en-US" w:eastAsia="zh-CN"/>
        </w:rPr>
        <w:t>增加</w:t>
      </w:r>
      <w:r>
        <w:rPr>
          <w:rFonts w:hint="eastAsia" w:ascii="Times New Roman" w:hAnsi="Times New Roman" w:eastAsia="方正仿宋_GBK"/>
          <w:color w:val="auto"/>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402.66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较年初预算数增加45.44万元，增长12.7%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农林水相关支出增加。</w:t>
      </w:r>
    </w:p>
    <w:p>
      <w:pPr>
        <w:keepNext w:val="0"/>
        <w:keepLines w:val="0"/>
        <w:pageBreakBefore w:val="0"/>
        <w:kinsoku/>
        <w:wordWrap/>
        <w:overflowPunct/>
        <w:topLinePunct w:val="0"/>
        <w:autoSpaceDN/>
        <w:bidi w:val="0"/>
        <w:adjustRightInd/>
        <w:spacing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21.00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较年初预算数增加0.68万元，增长3.4%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住房保障</w:t>
      </w:r>
      <w:r>
        <w:rPr>
          <w:rFonts w:hint="eastAsia" w:ascii="Times New Roman" w:hAnsi="Times New Roman" w:eastAsia="方正仿宋_GBK"/>
          <w:sz w:val="32"/>
          <w:szCs w:val="32"/>
          <w:lang w:val="en-US" w:eastAsia="zh-CN"/>
        </w:rPr>
        <w:t>相关支出增加</w:t>
      </w:r>
      <w:r>
        <w:rPr>
          <w:rFonts w:hint="eastAsia" w:ascii="Times New Roman" w:hAnsi="Times New Roman" w:eastAsia="方正仿宋_GBK"/>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570.24</w:t>
      </w:r>
      <w:r>
        <w:rPr>
          <w:rFonts w:ascii="方正仿宋_GBK" w:hAnsi="方正仿宋_GBK" w:eastAsia="方正仿宋_GBK" w:cs="方正仿宋_GBK"/>
          <w:sz w:val="32"/>
          <w:szCs w:val="32"/>
          <w:shd w:val="clear" w:color="auto" w:fill="FFFFFF"/>
        </w:rPr>
        <w:t>万元。其中：</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494.77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与2023年度相比，增加118.08万元，增长31.4%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人员变动、经费标准等变动产生</w:t>
      </w:r>
      <w:r>
        <w:rPr>
          <w:rFonts w:ascii="Times New Roman" w:hAnsi="Times New Roman" w:eastAsia="方正仿宋_GBK" w:cs="方正仿宋_GBK"/>
          <w:b w:val="0"/>
          <w:bCs w:val="0"/>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b w:val="0"/>
          <w:bCs w:val="0"/>
          <w:sz w:val="32"/>
          <w:szCs w:val="32"/>
        </w:rPr>
        <w:t>职工工资、社保、住房公积金等支出。</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75.47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与2023年度相比，减少7.98万元，下降9.6%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b w:val="0"/>
          <w:bCs w:val="0"/>
          <w:color w:val="auto"/>
          <w:sz w:val="32"/>
          <w:szCs w:val="32"/>
        </w:rPr>
        <w:t>政府缩减开支过“紧日子”</w:t>
      </w:r>
      <w:r>
        <w:rPr>
          <w:rFonts w:hint="eastAsia" w:ascii="Times New Roman" w:hAnsi="Times New Roman" w:eastAsia="方正仿宋_GBK"/>
          <w:b w:val="0"/>
          <w:bCs w:val="0"/>
          <w:color w:val="auto"/>
          <w:sz w:val="32"/>
          <w:szCs w:val="32"/>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b w:val="0"/>
          <w:bCs w:val="0"/>
          <w:sz w:val="32"/>
          <w:szCs w:val="32"/>
        </w:rPr>
        <w:t>办公费、水费、电费、差旅费、公务接待费、会议费等支出。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（五）政府性基金预算收支决算情况说明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outlineLvl w:val="9"/>
        <w:rPr>
          <w:rFonts w:hint="default" w:ascii="方正仿宋_GBK" w:hAnsi="方正仿宋_GBK" w:eastAsia="方正仿宋_GBK" w:cs="方正仿宋_GBK"/>
          <w:sz w:val="32"/>
          <w:szCs w:val="32"/>
        </w:rPr>
      </w:pPr>
      <w:r>
        <w:rPr>
          <w:rFonts w:ascii="Times New Roman" w:hAnsi="Times New Roman" w:eastAsia="方正仿宋_GBK" w:cs="方正仿宋_GBK"/>
          <w:b w:val="0"/>
          <w:bCs w:val="0"/>
          <w:sz w:val="32"/>
          <w:szCs w:val="32"/>
          <w:shd w:val="clear" w:color="auto" w:fill="FFFFFF"/>
        </w:rPr>
        <w:t>本单位202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b w:val="0"/>
          <w:bCs w:val="0"/>
          <w:sz w:val="32"/>
          <w:szCs w:val="32"/>
          <w:shd w:val="clear" w:color="auto" w:fill="FFFFFF"/>
        </w:rPr>
        <w:t>本单位202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11.99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较年初预算数减少2.79万元，下降18.9%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缩减开支，过“紧日子”。</w:t>
      </w:r>
      <w:r>
        <w:rPr>
          <w:rFonts w:hint="default" w:ascii="Times New Roman" w:hAnsi="Times New Roman" w:eastAsia="方正仿宋_GBK"/>
          <w:sz w:val="32"/>
          <w:szCs w:val="32"/>
          <w:shd w:val="clear" w:color="auto" w:fill="FFFFFF"/>
        </w:rPr>
        <w:t>较上年支出数减少0.01万元，下降0.1%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缩减开支，过“紧日子”。</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11.99</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b w:val="0"/>
          <w:bCs w:val="0"/>
          <w:sz w:val="32"/>
          <w:szCs w:val="32"/>
        </w:rPr>
        <w:t>公务用车加油、维修、道路通行、购买车辆保险、洗停车费。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较年初预算数减少1.51万元，下降11.2%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b w:val="0"/>
          <w:bCs w:val="0"/>
          <w:sz w:val="32"/>
          <w:szCs w:val="32"/>
        </w:rPr>
        <w:t>加强管理，严控公务用车运行支出。</w:t>
      </w:r>
      <w:r>
        <w:rPr>
          <w:rFonts w:hint="default" w:ascii="Times New Roman" w:hAnsi="Times New Roman" w:eastAsia="方正仿宋_GBK"/>
          <w:sz w:val="32"/>
          <w:szCs w:val="32"/>
          <w:shd w:val="clear" w:color="auto" w:fill="FFFFFF"/>
        </w:rPr>
        <w:t>较上年支出数减少0.01万元，下降0.1%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b w:val="0"/>
          <w:bCs w:val="0"/>
          <w:sz w:val="32"/>
          <w:szCs w:val="32"/>
        </w:rPr>
        <w:t>加强管理，严控公务用车运行支出。</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万元，主要用于接待</w:t>
      </w:r>
      <w:r>
        <w:rPr>
          <w:rFonts w:hint="eastAsia" w:ascii="Times New Roman" w:hAnsi="Times New Roman" w:eastAsia="方正仿宋_GBK"/>
          <w:sz w:val="32"/>
          <w:szCs w:val="32"/>
        </w:rPr>
        <w:t>其他外来单位到我镇调研、考察等。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较年初预算数减少1.28万元，下降100.0%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加强管理，严控</w:t>
      </w:r>
      <w:r>
        <w:rPr>
          <w:rFonts w:ascii="Times New Roman" w:hAnsi="Times New Roman" w:eastAsia="方正仿宋_GBK" w:cs="方正仿宋_GBK"/>
          <w:b w:val="0"/>
          <w:bCs w:val="0"/>
          <w:sz w:val="32"/>
          <w:szCs w:val="32"/>
          <w:shd w:val="clear" w:color="auto" w:fill="FFFFFF"/>
        </w:rPr>
        <w:t>公务接待费</w:t>
      </w:r>
      <w:r>
        <w:rPr>
          <w:rFonts w:hint="eastAsia" w:ascii="Times New Roman" w:hAnsi="Times New Roman" w:eastAsia="方正仿宋_GBK" w:cs="方正仿宋_GBK"/>
          <w:b w:val="0"/>
          <w:bCs w:val="0"/>
          <w:sz w:val="32"/>
          <w:szCs w:val="32"/>
          <w:shd w:val="clear" w:color="auto" w:fill="FFFFFF"/>
        </w:rPr>
        <w:t>支出</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（三）“三公”经费实物量情况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jc w:val="both"/>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与2023年度相比，减少1.80万元，下降66.9%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职工参加培训</w:t>
      </w:r>
      <w:r>
        <w:rPr>
          <w:rFonts w:hint="eastAsia" w:ascii="Times New Roman" w:hAnsi="Times New Roman" w:eastAsia="方正仿宋_GBK" w:cs="方正仿宋_GBK"/>
          <w:b w:val="0"/>
          <w:bCs w:val="0"/>
          <w:sz w:val="32"/>
          <w:szCs w:val="32"/>
          <w:shd w:val="clear" w:color="auto" w:fill="FFFFFF"/>
          <w:lang w:val="en-US" w:eastAsia="zh-CN"/>
        </w:rPr>
        <w:t>减少</w:t>
      </w:r>
      <w:r>
        <w:rPr>
          <w:rFonts w:hint="eastAsia" w:ascii="Times New Roman" w:hAnsi="Times New Roman" w:eastAsia="方正仿宋_GBK" w:cs="方正仿宋_GBK"/>
          <w:b w:val="0"/>
          <w:bCs w:val="0"/>
          <w:sz w:val="32"/>
          <w:szCs w:val="32"/>
          <w:shd w:val="clear" w:color="auto" w:fill="FFFFFF"/>
        </w:rPr>
        <w:t>，培训费</w:t>
      </w:r>
      <w:r>
        <w:rPr>
          <w:rFonts w:hint="eastAsia" w:ascii="Times New Roman" w:hAnsi="Times New Roman" w:eastAsia="方正仿宋_GBK" w:cs="方正仿宋_GBK"/>
          <w:b w:val="0"/>
          <w:bCs w:val="0"/>
          <w:sz w:val="32"/>
          <w:szCs w:val="32"/>
          <w:shd w:val="clear" w:color="auto" w:fill="FFFFFF"/>
          <w:lang w:val="en-US" w:eastAsia="zh-CN"/>
        </w:rPr>
        <w:t>减少</w:t>
      </w:r>
      <w:r>
        <w:rPr>
          <w:rFonts w:ascii="Times New Roman" w:hAnsi="Times New Roman" w:eastAsia="方正仿宋_GBK" w:cs="方正仿宋_GBK"/>
          <w:b w:val="0"/>
          <w:bCs w:val="0"/>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与2023年度相比，增加1.12万元，增长1866.7%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职工</w:t>
      </w:r>
      <w:r>
        <w:rPr>
          <w:rFonts w:ascii="方正仿宋_GBK" w:hAnsi="方正仿宋_GBK" w:eastAsia="方正仿宋_GBK" w:cs="方正仿宋_GBK"/>
          <w:sz w:val="32"/>
          <w:szCs w:val="32"/>
          <w:shd w:val="clear" w:color="auto" w:fill="FFFFFF"/>
        </w:rPr>
        <w:t>前往北京进行信访劝返工作</w:t>
      </w:r>
      <w:r>
        <w:rPr>
          <w:rFonts w:hint="eastAsia" w:ascii="方正仿宋_GBK" w:hAnsi="方正仿宋_GBK" w:eastAsia="方正仿宋_GBK" w:cs="方正仿宋_GBK"/>
          <w:sz w:val="32"/>
          <w:szCs w:val="32"/>
          <w:shd w:val="clear" w:color="auto" w:fill="FFFFFF"/>
          <w:lang w:val="en-US" w:eastAsia="zh-CN"/>
        </w:rPr>
        <w:t>差旅</w:t>
      </w:r>
      <w:r>
        <w:rPr>
          <w:rFonts w:ascii="方正仿宋_GBK" w:hAnsi="方正仿宋_GBK" w:eastAsia="方正仿宋_GBK" w:cs="方正仿宋_GBK"/>
          <w:sz w:val="32"/>
          <w:szCs w:val="32"/>
          <w:shd w:val="clear" w:color="auto" w:fill="FFFFFF"/>
        </w:rPr>
        <w:t>费等</w:t>
      </w:r>
      <w:r>
        <w:rPr>
          <w:rFonts w:hint="eastAsia" w:ascii="方正仿宋_GBK" w:hAnsi="方正仿宋_GBK" w:eastAsia="方正仿宋_GBK" w:cs="方正仿宋_GBK"/>
          <w:sz w:val="32"/>
          <w:szCs w:val="32"/>
          <w:shd w:val="clear" w:color="auto" w:fill="FFFFFF"/>
          <w:lang w:val="en-US" w:eastAsia="zh-CN"/>
        </w:rPr>
        <w:t>增加。</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s="方正仿宋_GBK"/>
          <w:b w:val="0"/>
          <w:bCs w:val="0"/>
          <w:sz w:val="32"/>
          <w:szCs w:val="32"/>
          <w:shd w:val="clear" w:color="auto" w:fill="FFFFFF"/>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（四）政府采购支出情况说明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outlineLvl w:val="9"/>
        <w:rPr>
          <w:rFonts w:ascii="方正仿宋_GBK" w:hAnsi="方正仿宋_GBK" w:eastAsia="方正仿宋_GBK" w:cs="方正仿宋_GBK"/>
          <w:b/>
          <w:bCs/>
          <w:color w:val="auto"/>
          <w:sz w:val="32"/>
          <w:szCs w:val="32"/>
          <w:highlight w:val="yellow"/>
          <w:shd w:val="clear" w:color="auto" w:fill="FFFFFF"/>
        </w:rPr>
      </w:pP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楷体" w:hAnsi="楷体" w:eastAsia="楷体" w:cs="楷体"/>
          <w:b/>
          <w:bCs/>
          <w:kern w:val="0"/>
          <w:sz w:val="32"/>
          <w:szCs w:val="32"/>
          <w:shd w:val="clear"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b w:val="0"/>
          <w:bCs w:val="0"/>
          <w:sz w:val="32"/>
        </w:rPr>
        <w:t>本单位</w:t>
      </w:r>
      <w:r>
        <w:rPr>
          <w:rFonts w:hint="eastAsia" w:ascii="Times New Roman" w:hAnsi="Times New Roman" w:eastAsia="方正仿宋_GBK"/>
          <w:b w:val="0"/>
          <w:bCs w:val="0"/>
          <w:sz w:val="32"/>
          <w:lang w:val="en-US" w:eastAsia="zh-CN"/>
        </w:rPr>
        <w:t>2024年无特定目标类部门项目，未组织开展</w:t>
      </w:r>
      <w:r>
        <w:rPr>
          <w:rFonts w:hint="eastAsia" w:ascii="Times New Roman" w:hAnsi="Times New Roman" w:eastAsia="方正仿宋_GBK"/>
          <w:b w:val="0"/>
          <w:bCs w:val="0"/>
          <w:sz w:val="32"/>
        </w:rPr>
        <w:t>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楷体" w:hAnsi="楷体" w:eastAsia="楷体" w:cs="楷体"/>
          <w:b/>
          <w:bCs/>
          <w:kern w:val="0"/>
          <w:sz w:val="32"/>
          <w:szCs w:val="32"/>
          <w:shd w:val="clear"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b w:val="0"/>
          <w:bCs w:val="0"/>
          <w:sz w:val="32"/>
        </w:rPr>
        <w:t>本单位</w:t>
      </w:r>
      <w:r>
        <w:rPr>
          <w:rFonts w:hint="eastAsia" w:ascii="Times New Roman" w:hAnsi="Times New Roman" w:eastAsia="方正仿宋_GBK"/>
          <w:b w:val="0"/>
          <w:bCs w:val="0"/>
          <w:sz w:val="32"/>
          <w:lang w:val="en-US" w:eastAsia="zh-CN"/>
        </w:rPr>
        <w:t>2024年无特定目标类部门项目，未组织开展</w:t>
      </w:r>
      <w:r>
        <w:rPr>
          <w:rFonts w:hint="eastAsia" w:ascii="Times New Roman" w:hAnsi="Times New Roman" w:eastAsia="方正仿宋_GBK"/>
          <w:b w:val="0"/>
          <w:bCs w:val="0"/>
          <w:sz w:val="32"/>
        </w:rPr>
        <w:t>绩效</w:t>
      </w:r>
      <w:r>
        <w:rPr>
          <w:rFonts w:hint="eastAsia" w:ascii="Times New Roman" w:hAnsi="Times New Roman" w:eastAsia="方正仿宋_GBK"/>
          <w:b w:val="0"/>
          <w:bCs w:val="0"/>
          <w:sz w:val="32"/>
          <w:lang w:val="en-US" w:eastAsia="zh-CN"/>
        </w:rPr>
        <w:t>评价</w:t>
      </w:r>
      <w:r>
        <w:rPr>
          <w:rFonts w:hint="eastAsia" w:ascii="Times New Roman" w:hAnsi="Times New Roman" w:eastAsia="方正仿宋_GBK"/>
          <w:b w:val="0"/>
          <w:bCs w:val="0"/>
          <w:sz w:val="32"/>
        </w:rPr>
        <w:t>。</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kern w:val="0"/>
          <w:sz w:val="32"/>
          <w:szCs w:val="32"/>
          <w:shd w:val="clear" w:color="auto" w:fill="FFFFFF"/>
          <w:lang w:val="en-US" w:eastAsia="zh-CN" w:bidi="ar-SA"/>
        </w:rPr>
      </w:pPr>
      <w:r>
        <w:rPr>
          <w:rStyle w:val="11"/>
          <w:rFonts w:hint="eastAsia" w:ascii="方正楷体_GBK" w:hAnsi="方正楷体_GBK" w:eastAsia="方正楷体_GBK" w:cs="方正楷体_GBK"/>
          <w:b w:val="0"/>
          <w:bCs w:val="0"/>
          <w:kern w:val="0"/>
          <w:sz w:val="32"/>
          <w:szCs w:val="32"/>
          <w:shd w:val="clear" w:color="auto" w:fill="FFFFFF"/>
          <w:lang w:val="en-US" w:eastAsia="zh-CN" w:bidi="ar-SA"/>
        </w:rPr>
        <w:t>（三）财政绩效评价情况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方正仿宋_GBK"/>
          <w:b w:val="0"/>
          <w:bCs w:val="0"/>
          <w:sz w:val="32"/>
          <w:szCs w:val="32"/>
          <w:shd w:val="clear" w:color="auto" w:fill="FFFFFF"/>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w:t>
      </w:r>
      <w:r>
        <w:rPr>
          <w:rStyle w:val="11"/>
          <w:rFonts w:hint="eastAsia" w:ascii="方正楷体_GBK" w:hAnsi="方正楷体_GBK" w:eastAsia="方正楷体_GBK" w:cs="方正楷体_GBK"/>
          <w:b w:val="0"/>
          <w:bCs/>
          <w:kern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bookmarkStart w:id="0" w:name="_GoBack"/>
      <w:bookmarkEnd w:id="0"/>
      <w:r>
        <w:rPr>
          <w:rFonts w:hint="eastAsia" w:ascii="方正仿宋_GBK" w:hAnsi="方正仿宋_GBK" w:eastAsia="方正仿宋_GBK" w:cs="方正仿宋_GBK"/>
          <w:kern w:val="0"/>
          <w:sz w:val="32"/>
          <w:szCs w:val="32"/>
          <w:shd w:val="clear" w:fill="FFFFFF"/>
        </w:rPr>
        <w:t>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9"/>
        <w:keepNext w:val="0"/>
        <w:keepLines w:val="0"/>
        <w:pageBreakBefore w:val="0"/>
        <w:widowControl w:val="0"/>
        <w:tabs>
          <w:tab w:val="center" w:pos="4153"/>
          <w:tab w:val="left" w:pos="7275"/>
        </w:tabs>
        <w:kinsoku/>
        <w:wordWrap/>
        <w:overflowPunct/>
        <w:topLinePunct w:val="0"/>
        <w:autoSpaceDN/>
        <w:bidi w:val="0"/>
        <w:adjustRightInd/>
        <w:spacing w:before="0" w:beforeAutospacing="0" w:after="0" w:afterAutospacing="0" w:line="576" w:lineRule="exact"/>
        <w:ind w:left="0" w:leftChars="0" w:right="0" w:rightChars="0" w:firstLine="88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 xml:space="preserve">联系方式：打通镇经济发展办公室            </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right="0" w:rightChars="0" w:firstLine="880"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方正仿宋_GBK"/>
          <w:kern w:val="0"/>
          <w:sz w:val="32"/>
          <w:szCs w:val="32"/>
          <w:shd w:val="clear" w:color="auto" w:fill="FFFFFF"/>
          <w:lang w:val="en-US" w:eastAsia="zh-CN" w:bidi="ar-SA"/>
        </w:rPr>
        <w:t>电话48700125</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重庆市綦江区打通镇产业发展服务中心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570.24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重庆市綦江区打通镇产业发展服务中心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570.24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570.24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重庆市綦江区打通镇产业发展服务中心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570.24</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570.24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重庆市綦江区打通镇产业发展服务中心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重庆市綦江区打通镇产业发展服务中心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570.24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570.24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124.61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重庆市綦江区打通镇产业发展服务中心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494.77</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重庆市綦江区打通镇产业发展服务中心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重庆市綦江区打通镇产业发展服务中心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重庆市綦江区打通镇产业发展服务中心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方正魏碑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enQuanYi Micro Hei">
    <w:altName w:val="宋体"/>
    <w:panose1 w:val="020B0606030804020204"/>
    <w:charset w:val="00"/>
    <w:family w:val="auto"/>
    <w:pitch w:val="default"/>
    <w:sig w:usb0="00000000" w:usb1="00000000" w:usb2="00800036" w:usb3="00000000" w:csb0="603E01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52425"/>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091058"/>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27EA4"/>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9C2C72"/>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F87F4E"/>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2025-10-16T07:23:26Z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ICV">
    <vt:lpwstr>BB46EABDBB2749749395447164B066B3_12</vt:lpwstr>
  </property>
</Properties>
</file>