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廖茂文           单位负责人：雷文婧</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right="0" w:rightChars="0" w:firstLine="720" w:firstLineChars="200"/>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重庆市綦江区打通镇人民政府</w:t>
      </w:r>
    </w:p>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right="0" w:rightChars="0" w:firstLine="720" w:firstLineChars="200"/>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Fonts w:hint="default"/>
          <w:sz w:val="27"/>
          <w:szCs w:val="27"/>
          <w:shd w:val="clear" w:color="auto" w:fill="FFFF00"/>
        </w:rPr>
      </w:pP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720" w:firstLineChars="200"/>
        <w:textAlignment w:val="auto"/>
        <w:rPr>
          <w:rFonts w:hint="eastAsia" w:ascii="方正黑体_GBK" w:hAnsi="方正黑体_GBK" w:eastAsia="方正黑体_GBK" w:cs="方正黑体_GBK"/>
          <w:sz w:val="32"/>
          <w:szCs w:val="32"/>
        </w:rPr>
      </w:pPr>
      <w:r>
        <w:rPr>
          <w:rStyle w:val="11"/>
          <w:rFonts w:hint="eastAsia" w:ascii="方正黑体_GBK" w:hAnsi="方正黑体_GBK" w:eastAsia="方正黑体_GBK" w:cs="方正黑体_GBK"/>
          <w:b w:val="0"/>
          <w:bCs/>
          <w:sz w:val="32"/>
          <w:szCs w:val="32"/>
          <w:shd w:val="clear" w:color="auto" w:fill="FFFFFF"/>
        </w:rPr>
        <w:t>一、部门基本情况</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72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720" w:firstLineChars="200"/>
        <w:jc w:val="both"/>
        <w:textAlignment w:val="auto"/>
        <w:rPr>
          <w:rFonts w:eastAsia="方正仿宋_GBK" w:cs="方正仿宋_GBK"/>
          <w:sz w:val="32"/>
          <w:szCs w:val="32"/>
        </w:rPr>
      </w:pPr>
      <w:r>
        <w:rPr>
          <w:rFonts w:hint="default" w:ascii="Times New Roman" w:hAnsi="Times New Roman" w:eastAsia="方正仿宋_GBK" w:cs="Times New Roman"/>
          <w:color w:val="auto"/>
          <w:sz w:val="32"/>
          <w:szCs w:val="32"/>
          <w:lang w:eastAsia="zh-CN"/>
        </w:rPr>
        <w:t>根据《中共重庆市綦江区委机构编制委员会关于印发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重庆市綦江区打通镇内设机构和事业单位机构编制方案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lang w:val="en-US" w:eastAsia="zh-CN"/>
        </w:rPr>
        <w:t>（綦委编〔2024〕54号）</w:t>
      </w:r>
      <w:r>
        <w:rPr>
          <w:rFonts w:hint="default" w:ascii="Times New Roman" w:hAnsi="Times New Roman" w:eastAsia="方正仿宋_GBK" w:cs="Times New Roman"/>
          <w:color w:val="auto"/>
          <w:sz w:val="32"/>
          <w:szCs w:val="32"/>
          <w:lang w:eastAsia="zh-CN"/>
        </w:rPr>
        <w:t>文件</w:t>
      </w:r>
      <w:r>
        <w:rPr>
          <w:rFonts w:hint="eastAsia" w:eastAsia="方正仿宋_GBK" w:cs="方正仿宋_GBK"/>
          <w:sz w:val="32"/>
          <w:szCs w:val="32"/>
        </w:rPr>
        <w:t>精神，我镇内设</w:t>
      </w:r>
      <w:r>
        <w:rPr>
          <w:rFonts w:hint="eastAsia" w:eastAsia="方正仿宋_GBK" w:cs="方正仿宋_GBK"/>
          <w:sz w:val="32"/>
          <w:szCs w:val="32"/>
          <w:lang w:val="en-US" w:eastAsia="zh-CN"/>
        </w:rPr>
        <w:t>“一中心四板块”</w:t>
      </w:r>
      <w:r>
        <w:rPr>
          <w:rFonts w:hint="eastAsia" w:eastAsia="方正仿宋_GBK" w:cs="方正仿宋_GBK"/>
          <w:sz w:val="32"/>
          <w:szCs w:val="32"/>
        </w:rPr>
        <w:t>，分别为：</w:t>
      </w:r>
    </w:p>
    <w:p>
      <w:pPr>
        <w:keepNext w:val="0"/>
        <w:keepLines w:val="0"/>
        <w:pageBreakBefore w:val="0"/>
        <w:widowControl w:val="0"/>
        <w:kinsoku/>
        <w:wordWrap/>
        <w:overflowPunct/>
        <w:topLinePunct w:val="0"/>
        <w:autoSpaceDN/>
        <w:bidi w:val="0"/>
        <w:adjustRightInd/>
        <w:spacing w:line="576" w:lineRule="exact"/>
        <w:ind w:left="0" w:leftChars="0" w:right="0" w:rightChars="0" w:firstLine="720" w:firstLineChars="200"/>
        <w:textAlignment w:val="auto"/>
        <w:rPr>
          <w:rFonts w:hint="eastAsia" w:eastAsia="方正仿宋_GBK" w:cs="方正仿宋_GBK"/>
          <w:sz w:val="32"/>
          <w:szCs w:val="32"/>
        </w:rPr>
      </w:pPr>
      <w:r>
        <w:rPr>
          <w:rFonts w:hint="eastAsia" w:eastAsia="方正仿宋_GBK" w:cs="方正仿宋_GBK"/>
          <w:b/>
          <w:bCs/>
          <w:sz w:val="32"/>
          <w:szCs w:val="32"/>
          <w:lang w:val="en-US" w:eastAsia="zh-CN"/>
        </w:rPr>
        <w:t>1.</w:t>
      </w:r>
      <w:r>
        <w:rPr>
          <w:rFonts w:hint="eastAsia" w:eastAsia="方正仿宋_GBK" w:cs="方正仿宋_GBK"/>
          <w:b/>
          <w:bCs/>
          <w:sz w:val="32"/>
          <w:szCs w:val="32"/>
        </w:rPr>
        <w:t>基层治理指挥中心。</w:t>
      </w:r>
      <w:r>
        <w:rPr>
          <w:rFonts w:hint="eastAsia" w:eastAsia="方正仿宋_GBK" w:cs="方正仿宋_GBK"/>
          <w:sz w:val="32"/>
          <w:szCs w:val="32"/>
        </w:rPr>
        <w:t>主要负责承担基层治理指挥中心的日常运行和指挥调度相关工作。负责重要事项综合协调，承担政府信息公开、机要、保密、档案、公文、会务等工作；督促检查各项决议和领导指示的贯彻落实。负责一体化治理智治平台的日常维护、运行监测、分析研判、协同流转、应急指挥、督查考核等工作，做好同城市运行和治理中心及业务平台的对接，对村（社区）和网格员使用平台进行相关业务培训和答疑等工作。负责承担综合性事务、机关接待、后勤保障、党务政务值班值守、工会等工作。</w:t>
      </w:r>
    </w:p>
    <w:p>
      <w:pPr>
        <w:keepNext w:val="0"/>
        <w:keepLines w:val="0"/>
        <w:pageBreakBefore w:val="0"/>
        <w:widowControl w:val="0"/>
        <w:kinsoku/>
        <w:wordWrap/>
        <w:overflowPunct/>
        <w:topLinePunct w:val="0"/>
        <w:autoSpaceDN/>
        <w:bidi w:val="0"/>
        <w:adjustRightInd/>
        <w:spacing w:line="576" w:lineRule="exact"/>
        <w:ind w:left="0" w:leftChars="0" w:right="0" w:rightChars="0" w:firstLine="720" w:firstLineChars="200"/>
        <w:textAlignment w:val="auto"/>
        <w:rPr>
          <w:rFonts w:eastAsia="方正仿宋_GBK" w:cs="方正仿宋_GBK"/>
          <w:sz w:val="32"/>
          <w:szCs w:val="32"/>
        </w:rPr>
      </w:pPr>
      <w:r>
        <w:rPr>
          <w:rFonts w:hint="eastAsia" w:eastAsia="方正仿宋_GBK" w:cs="方正仿宋_GBK"/>
          <w:b/>
          <w:bCs/>
          <w:sz w:val="32"/>
          <w:szCs w:val="32"/>
        </w:rPr>
        <w:t>2.党的建设</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基层党组织建设；指导开展党建工作，承担区党代会代表联络服务工作，党组织换届选举，党员发展、教育培训、管理和重大事项请示报告，驻镇驻村干部管理等工作。负责党建带群建，开展工会、团委、妇联等工作。负责村级干部队伍和网格员培养管理、招录考察、评价考核、日常监督等工作。负责党建引领基层治理，推进基层民主政治建设；负责推动“两企三新”党建工作，推动行业协会商会党建和群团组织工作；负责社会工作人才队伍建设，推动志愿服务项目的规划设计、组织实施等工作。负责机关、事业单位及其工作人员工作目标的制定、考核和奖惩工作；负责机关干部的教育、培养、考核和监督；负责机构编制、干部人事等工作。负责辖区内人大代表、政协委员联络服务工作，组织本辖区人大代表、政协委员开展各项活动，负责协助征求、收集、整理、答复人大代表建议和政委委员提案。负责纪检监察日常工作，处置权限范围内党组织、党员和干部有关党的纪律的宣传教育及违反党纪政纪、有关法律法规的信访举报和问题线索等，落实全面从严治党要求。负责承担意识形态、宣传、网格安全与信息化和新时代文明实践和精神文明建设事务性工作；负责统一战线工作，团结、组织党内外干部和群众，做好民主党派、党外知识分子、民族宗教、新的社会阶层人士、港澳台侨、商会服务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720" w:firstLineChars="200"/>
        <w:jc w:val="both"/>
        <w:textAlignment w:val="auto"/>
        <w:outlineLvl w:val="9"/>
        <w:rPr>
          <w:rFonts w:hint="eastAsia" w:eastAsia="方正仿宋_GBK" w:cs="方正仿宋_GBK"/>
          <w:sz w:val="32"/>
          <w:szCs w:val="32"/>
        </w:rPr>
      </w:pPr>
      <w:r>
        <w:rPr>
          <w:rFonts w:hint="eastAsia" w:eastAsia="方正仿宋_GBK" w:cs="方正仿宋_GBK"/>
          <w:b/>
          <w:bCs/>
          <w:sz w:val="32"/>
          <w:szCs w:val="32"/>
        </w:rPr>
        <w:t>3.经济发展</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经济发展规划，宣传贯彻农业、工贸、农村经营管理及其法律法规；指导企业管理、生产、经营、技术改造和职工业务培训；承担科技推广与普及工作。负责各类经济社会发展指标统计，指导企业升规纳统，搜集、整理、分析、提供和管理基本统计资料，建立综合统计台账；牵头公平竞争环境建设，做好企业服务工作，做好防范和处置非法集资宣传教育、监测预警、大数据管理和节能监督管理工作；组织开展统计法制宣传和科普宣传；承担国民经济核算、城乡居民人均收入调查、国家各项大型普查、各类抽样调查。负责村镇规划建设，协助违建整治工作；承担建筑施工安全、房屋安全工作；服务辖区内重点项目建设；承担辖区内廉租住房的申报受理工作；承担辖区防空防灾一体化建设工作；负责公路建设、隐患治理、养护管理等工作。负责协调规划和自然资源管理有关工作，组织编制村镇规划和规划实施的监督检查；开展地灾防治，落实耕地保护目标任务，承担辖区内违法建筑的发现、制止、报告、处置、卫片图斑整改等工作。负责生态环境保护、城乡环境整治，承担生态文明、环境保护等相关法律法规宣传教育等工作。负责财政收支、预决算、总会计、惠农资金兑付、财政资金监督检查、绩效评价、村级财务及内部审计等工作。负责农村经营和农村集体资产管理，承担农机、农产品质量、农村清洁能源（沼气、太阳能）、渔业船舶、气象等方面的事务性工作；承担农村经营管理、重大技术推广、信息服务、资源环境保护、灾害防治等方面的事务性工作；承担农村土地承包管理、农村宅基地审批、农民负担监督等方面的事务性工作；协助开展惠农资金补贴工作；负责统筹乡村振兴、衔接资金项目、发展壮大农村集体经济工作；承担巩固脱贫攻坚成果与乡村振兴有效衔接等工作；负责农村人居环境整治工作。负责市政设施、市容环卫等方面管理服务相关工作；定期巡查背街小巷的清洁卫生情况；管理维护城市相关基础设施；协助市容市貌整治工作。负责河长制工作，水利政策法规宣传，河道巡查管理、河道违法图斑整改；负责防汛抗旱、山坪塘建设及安全管理，农村饮水，水资源节约和保护工作；负责水库移民后续扶持和工程项目管理等工作。负责林长制工作、森林资源管理与保护（林地违法日常巡查、林业违法图斑整改）、天然林管护、国地绿化、林业科技推广等工作，林木林地权属争议处理、林业用地、林木砍伐审批，林权制度改革相关工作；森林防火巡查、防火卡点管理，松材线虫除治等病虫害管理工作。负责畜牧发展、防疫检疫、动物疫病防控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方正仿宋_GBK" w:cs="方正仿宋_GBK"/>
          <w:sz w:val="32"/>
          <w:szCs w:val="32"/>
        </w:rPr>
      </w:pPr>
      <w:r>
        <w:rPr>
          <w:rFonts w:hint="eastAsia" w:eastAsia="方正仿宋_GBK" w:cs="方正仿宋_GBK"/>
          <w:b/>
          <w:bCs/>
          <w:sz w:val="32"/>
          <w:szCs w:val="32"/>
        </w:rPr>
        <w:t>4.民生服务</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民政事务管理，宣传贯彻社会事务相关法律法规。负责低保申请、特困救助、高龄失能老人、临时救助、孤儿、事实无人抚养儿童、流浪乞讨人员、残疾人等群体的管理和服务。负责承担劳动就业服务和管理工作，宣传贯彻落实劳动就业等相关法律法规；承担农村劳务综合开发、管理工作；协助开展劳动监察执法、劳动争议调解等劳动权益保障服务工作；指导村（社区）开展劳动就业工作；负责公益性岗位招录和管理等。负责承担社会保障、城乡医保、退休人员社会化服务和管理等工作；宣传贯彻落实社会保障等相关法律法规；承担城乡医保、城乡养老保险和养老金增发等工作；指导村（社区）开展退休人员社会化管理服务工作。负责开展文化、体育、广播电视、旅游等方面服务工作；负责文化宣传、交流、文艺活动组织实施；承担农家书屋（图书室）及协助农体工程监督管理工作，协助监督管理辖区文化市场；指导辖区开展教育管理工作。负责爱国卫生、药具管理、医患信访调解、生育关怀、计生协会、老年人协会等工作。负责便民服务中心、政务服务中心窗口和平台建设以及内部统筹协调，承担退役军人相关管理服务工作。负责婚姻登记；公交卡年审、充值；林木采伐许可；指纹认证；优待证办理；社保卡办理、补换；创业担保贷款办理；残疾证办理；孤儿审核申报，完成领导交办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eastAsia="方正仿宋_GBK" w:cs="方正仿宋_GBK"/>
          <w:sz w:val="32"/>
          <w:szCs w:val="32"/>
        </w:rPr>
      </w:pPr>
      <w:r>
        <w:rPr>
          <w:rFonts w:hint="eastAsia" w:eastAsia="方正仿宋_GBK" w:cs="方正仿宋_GBK"/>
          <w:b/>
          <w:bCs/>
          <w:sz w:val="32"/>
          <w:szCs w:val="32"/>
        </w:rPr>
        <w:t>5.平安法治</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社会治安综合治理、防范和处理邪教等工作；宣传贯彻执行中央、市、区关于政法、社会治安综合治理、社会稳定、信访等方面的法律政策；承担矛盾纠纷排查及人民调解工作；承担重点地区整治、铁路护路、视频监控等工作；承担禁毒、禁种铲毒工作；承担扫黑除恶专项工作。负责收集、排查辖区内信访稳定因素；统筹接访劝返维稳、信访积案稳控化解和信访稳定事项调度工作。负责安全生产综合监管、应急管理、消防管理等工作；宣传贯彻执行安全生产方面的法律政策，落实安全生产各项措施；承担公共应急事件、救灾抢险等方面处置工作。负责集中行使依法授权或委托的城市管理、农林水利、规划建设、卫生健康、生态环境保护、文化旅游、交通、民政管理等领域的行政执法权；配合区级部门及派驻机构开展其他领域的联合执法。负责武装工作，做好民兵训练和应急队伍组建、培训、管理等。负责食药品安全监管、产品质量安全监管、特种设备安全监管、消费者权益保护、食品生产加工小作坊、食品摊贩、家庭集体宴席服务活动经营者的监督管理、食品安全隐患排查、信息报告和查处传销行为等。负责行政执法协调工作；指导监督行政复议应诉工作、政府法律顾问、普法宣传、法治文化建设，以及基层法律服务所，镇街和村居（社区）公共法律服务工作站（室）、村居（社区）法律顾问、社区法律之家工作；组织开展普法与依法治理工作；指导管理人民调解工作，参与调处重大疑难复杂纠纷；承担社区矫正相关工作；协调相关部门、镇街开展刑满释放人员安置帮教工作；统筹提供基层公共法律服务、法律咨询服务。负责公安行政管理活动、社会治安防范、交通秩序维护，预防、制止违法犯罪活动，接受、处理群众求助，依法化解矛盾纠纷等。</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72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pPr>
        <w:pStyle w:val="20"/>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76" w:lineRule="exact"/>
        <w:ind w:left="0" w:leftChars="0" w:right="0" w:rightChars="0" w:firstLine="720" w:firstLineChars="200"/>
        <w:jc w:val="both"/>
        <w:textAlignment w:val="auto"/>
        <w:rPr>
          <w:rFonts w:hint="eastAsia" w:ascii="Times New Roman" w:hAnsi="Times New Roman" w:eastAsia="仿宋_GB2312" w:cs="仿宋_GB2312"/>
          <w:sz w:val="32"/>
        </w:rPr>
      </w:pPr>
      <w:r>
        <w:rPr>
          <w:rFonts w:hint="eastAsia" w:ascii="Times New Roman" w:hAnsi="Times New Roman" w:eastAsia="方正仿宋_GBK" w:cs="方正仿宋_GBK"/>
          <w:sz w:val="32"/>
        </w:rPr>
        <w:t>重庆市綦江区打通镇人民政府</w:t>
      </w:r>
      <w:r>
        <w:rPr>
          <w:rFonts w:hint="eastAsia" w:ascii="Times New Roman" w:hAnsi="Times New Roman" w:eastAsia="方正仿宋_GBK" w:cs="方正仿宋_GBK"/>
          <w:sz w:val="32"/>
          <w:lang w:eastAsia="zh-CN"/>
        </w:rPr>
        <w:t>，</w:t>
      </w:r>
      <w:r>
        <w:rPr>
          <w:rFonts w:hint="eastAsia" w:ascii="Times New Roman" w:hAnsi="Times New Roman" w:eastAsia="方正仿宋_GBK" w:cs="仿宋_GB2312"/>
          <w:sz w:val="32"/>
        </w:rPr>
        <w:t>下属</w:t>
      </w:r>
      <w:r>
        <w:rPr>
          <w:rFonts w:hint="eastAsia" w:ascii="Times New Roman" w:hAnsi="Times New Roman" w:eastAsia="方正仿宋_GBK" w:cs="仿宋_GB2312"/>
          <w:sz w:val="32"/>
          <w:lang w:val="en-US" w:eastAsia="zh-CN"/>
        </w:rPr>
        <w:t>6</w:t>
      </w:r>
      <w:r>
        <w:rPr>
          <w:rFonts w:hint="eastAsia" w:ascii="Times New Roman" w:hAnsi="Times New Roman" w:eastAsia="方正仿宋_GBK" w:cs="仿宋_GB2312"/>
          <w:sz w:val="32"/>
        </w:rPr>
        <w:t>个二级预算单位，</w:t>
      </w:r>
      <w:r>
        <w:rPr>
          <w:rFonts w:hint="eastAsia" w:ascii="Times New Roman" w:hAnsi="Times New Roman" w:eastAsia="仿宋_GB2312" w:cs="仿宋_GB2312"/>
          <w:sz w:val="32"/>
        </w:rPr>
        <w:t>主要设置</w:t>
      </w:r>
      <w:r>
        <w:rPr>
          <w:rFonts w:hint="eastAsia" w:ascii="Times New Roman" w:hAnsi="Times New Roman" w:eastAsia="仿宋_GB2312" w:cs="仿宋_GB2312"/>
          <w:sz w:val="32"/>
          <w:lang w:eastAsia="zh-CN"/>
        </w:rPr>
        <w:t>如下</w:t>
      </w:r>
      <w:r>
        <w:rPr>
          <w:rFonts w:hint="eastAsia" w:ascii="Times New Roman" w:hAnsi="Times New Roman" w:eastAsia="仿宋_GB2312" w:cs="仿宋_GB2312"/>
          <w:sz w:val="32"/>
        </w:rPr>
        <w:t>：</w:t>
      </w:r>
    </w:p>
    <w:p>
      <w:pPr>
        <w:pStyle w:val="20"/>
        <w:keepNext w:val="0"/>
        <w:keepLines w:val="0"/>
        <w:pageBreakBefore w:val="0"/>
        <w:widowControl w:val="0"/>
        <w:numPr>
          <w:ilvl w:val="0"/>
          <w:numId w:val="1"/>
        </w:numPr>
        <w:tabs>
          <w:tab w:val="center" w:pos="4153"/>
          <w:tab w:val="left" w:pos="7275"/>
        </w:tabs>
        <w:kinsoku/>
        <w:wordWrap/>
        <w:overflowPunct/>
        <w:topLinePunct w:val="0"/>
        <w:autoSpaceDN/>
        <w:bidi w:val="0"/>
        <w:adjustRightInd/>
        <w:spacing w:beforeAutospacing="0" w:afterAutospacing="0" w:line="576" w:lineRule="exact"/>
        <w:ind w:left="0" w:leftChars="0" w:right="0" w:rightChars="0" w:firstLine="720" w:firstLineChars="200"/>
        <w:jc w:val="both"/>
        <w:textAlignment w:val="auto"/>
        <w:rPr>
          <w:rFonts w:hint="eastAsia" w:ascii="Times New Roman" w:hAnsi="Times New Roman" w:eastAsia="方正仿宋_GBK"/>
          <w:sz w:val="32"/>
          <w:szCs w:val="32"/>
          <w:lang w:val="en-US" w:eastAsia="zh-CN"/>
        </w:rPr>
      </w:pPr>
      <w:r>
        <w:rPr>
          <w:rFonts w:ascii="Times New Roman" w:hAnsi="Times New Roman" w:eastAsia="方正楷体_GBK"/>
          <w:sz w:val="32"/>
          <w:szCs w:val="32"/>
        </w:rPr>
        <w:t>综合办事机构</w:t>
      </w:r>
      <w:r>
        <w:rPr>
          <w:rFonts w:hint="eastAsia" w:ascii="Times New Roman" w:hAnsi="Times New Roman" w:eastAsia="方正楷体_GBK"/>
          <w:sz w:val="32"/>
          <w:szCs w:val="32"/>
          <w:lang w:eastAsia="zh-CN"/>
        </w:rPr>
        <w:t>（</w:t>
      </w:r>
      <w:r>
        <w:rPr>
          <w:rFonts w:hint="eastAsia" w:ascii="Times New Roman" w:hAnsi="Times New Roman" w:eastAsia="方正仿宋_GBK" w:cs="方正仿宋_GBK"/>
          <w:sz w:val="32"/>
        </w:rPr>
        <w:t>重庆市綦江区打通镇人民政府机关</w:t>
      </w:r>
      <w:r>
        <w:rPr>
          <w:rFonts w:hint="eastAsia" w:ascii="Times New Roman" w:hAnsi="Times New Roman" w:eastAsia="方正仿宋_GBK" w:cs="方正仿宋_GBK"/>
          <w:sz w:val="32"/>
          <w:lang w:val="en-US" w:eastAsia="zh-CN"/>
        </w:rPr>
        <w:t>本级</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rPr>
        <w:t>：</w:t>
      </w:r>
      <w:r>
        <w:rPr>
          <w:rFonts w:hint="eastAsia" w:ascii="Times New Roman" w:hAnsi="Times New Roman" w:eastAsia="方正仿宋_GBK"/>
          <w:sz w:val="32"/>
          <w:szCs w:val="32"/>
          <w:lang w:eastAsia="zh-CN"/>
        </w:rPr>
        <w:t>含</w:t>
      </w:r>
      <w:r>
        <w:rPr>
          <w:rFonts w:hint="eastAsia" w:ascii="Times New Roman" w:hAnsi="Times New Roman" w:eastAsia="方正仿宋_GBK"/>
          <w:sz w:val="32"/>
          <w:szCs w:val="32"/>
        </w:rPr>
        <w:t>基层治理指挥中心</w:t>
      </w:r>
      <w:r>
        <w:rPr>
          <w:rFonts w:ascii="Times New Roman" w:hAnsi="Times New Roman" w:eastAsia="方正仿宋_GBK"/>
          <w:sz w:val="32"/>
          <w:szCs w:val="32"/>
        </w:rPr>
        <w:t>、</w:t>
      </w:r>
      <w:r>
        <w:rPr>
          <w:rFonts w:hint="eastAsia" w:ascii="Times New Roman" w:hAnsi="Times New Roman" w:eastAsia="方正仿宋_GBK"/>
          <w:sz w:val="32"/>
          <w:szCs w:val="32"/>
        </w:rPr>
        <w:t>党的建设</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、经济发展</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、民生服务</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、平安法治</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jc w:val="both"/>
        <w:textAlignment w:val="auto"/>
        <w:outlineLvl w:val="9"/>
        <w:rPr>
          <w:rStyle w:val="11"/>
          <w:rFonts w:hint="eastAsia" w:ascii="方正楷体_GBK" w:hAnsi="方正楷体_GBK" w:eastAsia="方正楷体_GBK" w:cs="方正楷体_GBK"/>
          <w:b w:val="0"/>
          <w:bCs/>
          <w:sz w:val="32"/>
          <w:szCs w:val="32"/>
          <w:shd w:val="clear" w:color="auto" w:fill="FFFFFF"/>
        </w:rPr>
      </w:pPr>
      <w:r>
        <w:rPr>
          <w:rFonts w:hint="eastAsia" w:ascii="Times New Roman" w:hAnsi="Times New Roman" w:eastAsia="方正楷体_GBK"/>
          <w:sz w:val="32"/>
          <w:szCs w:val="32"/>
          <w:lang w:val="en-US" w:eastAsia="zh-CN"/>
        </w:rPr>
        <w:t>2、</w:t>
      </w:r>
      <w:r>
        <w:rPr>
          <w:rFonts w:ascii="Times New Roman" w:hAnsi="Times New Roman" w:eastAsia="方正楷体_GBK"/>
          <w:sz w:val="32"/>
          <w:szCs w:val="32"/>
        </w:rPr>
        <w:t>事业单位</w:t>
      </w:r>
      <w:r>
        <w:rPr>
          <w:rFonts w:hint="eastAsia" w:ascii="Times New Roman" w:hAnsi="Times New Roman" w:eastAsia="方正楷体_GBK"/>
          <w:sz w:val="32"/>
          <w:szCs w:val="32"/>
        </w:rPr>
        <w:t>：</w:t>
      </w:r>
      <w:r>
        <w:rPr>
          <w:rFonts w:hint="eastAsia" w:ascii="Times New Roman" w:hAnsi="Times New Roman" w:eastAsia="方正仿宋_GBK" w:cs="方正仿宋_GBK"/>
          <w:sz w:val="32"/>
        </w:rPr>
        <w:t>重庆市綦江区打通镇</w:t>
      </w:r>
      <w:r>
        <w:rPr>
          <w:rFonts w:hint="eastAsia" w:ascii="Times New Roman" w:hAnsi="Times New Roman" w:eastAsia="方正仿宋_GBK" w:cs="方正仿宋_GBK"/>
          <w:sz w:val="32"/>
          <w:lang w:val="en-US" w:eastAsia="zh-CN"/>
        </w:rPr>
        <w:t>产业</w:t>
      </w:r>
      <w:r>
        <w:rPr>
          <w:rFonts w:hint="eastAsia" w:ascii="Times New Roman" w:hAnsi="Times New Roman" w:eastAsia="方正仿宋_GBK" w:cs="方正仿宋_GBK"/>
          <w:sz w:val="32"/>
        </w:rPr>
        <w:t>服务中心、重庆市綦江区打通镇</w:t>
      </w:r>
      <w:r>
        <w:rPr>
          <w:rFonts w:hint="eastAsia" w:ascii="Times New Roman" w:hAnsi="Times New Roman" w:eastAsia="方正仿宋_GBK" w:cs="方正仿宋_GBK"/>
          <w:sz w:val="32"/>
          <w:lang w:val="en-US" w:eastAsia="zh-CN"/>
        </w:rPr>
        <w:t>新时代文明实践服务</w:t>
      </w:r>
      <w:r>
        <w:rPr>
          <w:rFonts w:hint="eastAsia" w:ascii="Times New Roman" w:hAnsi="Times New Roman" w:eastAsia="方正仿宋_GBK" w:cs="方正仿宋_GBK"/>
          <w:sz w:val="32"/>
        </w:rPr>
        <w:t>中心、重庆市綦江区打通镇便民服务中心（退役军人服务站）、重庆市綦江区打通镇综合行政执法大队</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rPr>
        <w:t>重庆市綦江区打通镇</w:t>
      </w:r>
      <w:r>
        <w:rPr>
          <w:rFonts w:hint="eastAsia" w:ascii="Times New Roman" w:hAnsi="Times New Roman" w:eastAsia="方正仿宋_GBK" w:cs="方正仿宋_GBK"/>
          <w:sz w:val="32"/>
          <w:lang w:val="en-US" w:eastAsia="zh-CN"/>
        </w:rPr>
        <w:t>村镇建设</w:t>
      </w:r>
      <w:r>
        <w:rPr>
          <w:rFonts w:hint="eastAsia" w:ascii="Times New Roman" w:hAnsi="Times New Roman" w:eastAsia="方正仿宋_GBK" w:cs="方正仿宋_GBK"/>
          <w:sz w:val="32"/>
        </w:rPr>
        <w:t>服务中心。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72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（一）收入支出决算总体情况说明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年度收入总计</w:t>
      </w:r>
      <w:r>
        <w:rPr>
          <w:rFonts w:hint="eastAsia" w:ascii="Times New Roman" w:hAnsi="Times New Roman" w:eastAsia="方正仿宋_GBK" w:cs="方正仿宋_GBK"/>
          <w:sz w:val="32"/>
          <w:szCs w:val="32"/>
          <w:shd w:val="clear" w:color="auto" w:fill="FFFFFF"/>
          <w:lang w:val="en-US" w:eastAsia="zh-CN"/>
        </w:rPr>
        <w:t>5444.47</w:t>
      </w:r>
      <w:r>
        <w:rPr>
          <w:rFonts w:ascii="Times New Roman" w:hAnsi="Times New Roman" w:eastAsia="方正仿宋_GBK" w:cs="方正仿宋_GBK"/>
          <w:sz w:val="32"/>
          <w:szCs w:val="32"/>
          <w:shd w:val="clear" w:color="auto" w:fill="FFFFFF"/>
        </w:rPr>
        <w:t>万元，支出总计</w:t>
      </w:r>
      <w:r>
        <w:rPr>
          <w:rFonts w:hint="eastAsia" w:ascii="Times New Roman" w:hAnsi="Times New Roman" w:eastAsia="方正仿宋_GBK" w:cs="方正仿宋_GBK"/>
          <w:sz w:val="32"/>
          <w:szCs w:val="32"/>
          <w:shd w:val="clear" w:color="auto" w:fill="FFFFFF"/>
          <w:lang w:val="en-US" w:eastAsia="zh-CN"/>
        </w:rPr>
        <w:t>5444.47</w:t>
      </w:r>
      <w:r>
        <w:rPr>
          <w:rFonts w:ascii="Times New Roman" w:hAnsi="Times New Roman" w:eastAsia="方正仿宋_GBK" w:cs="方正仿宋_GBK"/>
          <w:sz w:val="32"/>
          <w:szCs w:val="32"/>
          <w:shd w:val="clear" w:color="auto" w:fill="FFFFFF"/>
        </w:rPr>
        <w:t>万元。收支较上年决算数</w:t>
      </w:r>
      <w:r>
        <w:rPr>
          <w:rFonts w:hint="eastAsia" w:ascii="Times New Roman" w:hAnsi="Times New Roman" w:eastAsia="方正仿宋_GBK" w:cs="方正仿宋_GBK"/>
          <w:sz w:val="32"/>
          <w:szCs w:val="32"/>
          <w:shd w:val="clear" w:color="auto" w:fill="FFFFFF"/>
          <w:lang w:val="en-US" w:eastAsia="zh-CN"/>
        </w:rPr>
        <w:t>增加974.42</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w:t>
      </w:r>
      <w:r>
        <w:rPr>
          <w:rFonts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%，主要原因是</w:t>
      </w:r>
      <w:r>
        <w:rPr>
          <w:rFonts w:hint="eastAsia" w:ascii="仿宋_GB2312" w:hAnsi="仿宋" w:eastAsia="仿宋_GB2312"/>
          <w:sz w:val="32"/>
          <w:szCs w:val="32"/>
        </w:rPr>
        <w:t>一般公共预算财政拨款较上年增加</w:t>
      </w:r>
      <w:r>
        <w:rPr>
          <w:rFonts w:hint="eastAsia" w:ascii="Times New Roman" w:hAnsi="Times New Roman"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b/>
          <w:bCs/>
          <w:sz w:val="32"/>
          <w:szCs w:val="32"/>
          <w:shd w:val="clear" w:color="auto" w:fill="FFFFFF"/>
        </w:rPr>
        <w:t>2.收入情况。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年度收入合计</w:t>
      </w:r>
      <w:r>
        <w:rPr>
          <w:rFonts w:hint="eastAsia" w:ascii="Times New Roman" w:hAnsi="Times New Roman" w:eastAsia="方正仿宋_GBK" w:cs="方正仿宋_GBK"/>
          <w:sz w:val="32"/>
          <w:szCs w:val="32"/>
          <w:shd w:val="clear" w:color="auto" w:fill="FFFFFF"/>
          <w:lang w:val="en-US" w:eastAsia="zh-CN"/>
        </w:rPr>
        <w:t>5388.7</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val="en-US" w:eastAsia="zh-CN"/>
        </w:rPr>
        <w:t>增加920.11</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w:t>
      </w:r>
      <w:r>
        <w:rPr>
          <w:rFonts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0.59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收入</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其中：财政拨款收入</w:t>
      </w:r>
      <w:r>
        <w:rPr>
          <w:rFonts w:hint="eastAsia" w:ascii="Times New Roman" w:hAnsi="Times New Roman" w:eastAsia="方正仿宋_GBK" w:cs="方正仿宋_GBK"/>
          <w:sz w:val="32"/>
          <w:szCs w:val="32"/>
          <w:shd w:val="clear" w:color="auto" w:fill="FFFFFF"/>
          <w:lang w:val="en-US" w:eastAsia="zh-CN"/>
        </w:rPr>
        <w:t>5388.7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hint="eastAsia" w:ascii="Times New Roman" w:hAnsi="Times New Roman" w:eastAsia="方正仿宋_GBK" w:cs="方正仿宋_GBK"/>
          <w:sz w:val="32"/>
          <w:szCs w:val="32"/>
          <w:lang w:val="en-US" w:eastAsia="zh-CN"/>
        </w:rPr>
        <w:t>55.77</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年度支出合计</w:t>
      </w:r>
      <w:r>
        <w:rPr>
          <w:rFonts w:hint="eastAsia" w:ascii="Times New Roman" w:hAnsi="Times New Roman" w:eastAsia="方正仿宋_GBK" w:cs="方正仿宋_GBK"/>
          <w:sz w:val="32"/>
          <w:szCs w:val="32"/>
          <w:shd w:val="clear" w:color="auto" w:fill="FFFFFF"/>
          <w:lang w:val="en-US" w:eastAsia="zh-CN"/>
        </w:rPr>
        <w:t>5444.47</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val="en-US" w:eastAsia="zh-CN"/>
        </w:rPr>
        <w:t>增加974.42</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w:t>
      </w:r>
      <w:r>
        <w:rPr>
          <w:rFonts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收入</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其中：基本支出</w:t>
      </w:r>
      <w:r>
        <w:rPr>
          <w:rFonts w:hint="eastAsia" w:ascii="Times New Roman" w:hAnsi="Times New Roman" w:eastAsia="方正仿宋_GBK" w:cs="方正仿宋_GBK"/>
          <w:sz w:val="32"/>
          <w:szCs w:val="32"/>
          <w:lang w:val="en-US" w:eastAsia="zh-CN"/>
        </w:rPr>
        <w:t>2204.16</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40.48</w:t>
      </w:r>
      <w:r>
        <w:rPr>
          <w:rFonts w:ascii="Times New Roman" w:hAnsi="Times New Roman" w:eastAsia="方正仿宋_GBK" w:cs="方正仿宋_GBK"/>
          <w:sz w:val="32"/>
          <w:szCs w:val="32"/>
          <w:shd w:val="clear" w:color="auto" w:fill="FFFFFF"/>
        </w:rPr>
        <w:t>%；项目支出</w:t>
      </w:r>
      <w:r>
        <w:rPr>
          <w:rFonts w:hint="eastAsia" w:ascii="Times New Roman" w:hAnsi="Times New Roman" w:eastAsia="方正仿宋_GBK" w:cs="方正仿宋_GBK"/>
          <w:sz w:val="32"/>
          <w:szCs w:val="32"/>
          <w:lang w:val="en-US" w:eastAsia="zh-CN"/>
        </w:rPr>
        <w:t>3240.31</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59.52</w:t>
      </w:r>
      <w:r>
        <w:rPr>
          <w:rFonts w:ascii="Times New Roman" w:hAnsi="Times New Roman" w:eastAsia="方正仿宋_GBK" w:cs="方正仿宋_GBK"/>
          <w:sz w:val="32"/>
          <w:szCs w:val="32"/>
          <w:shd w:val="clear" w:color="auto" w:fill="FFFFFF"/>
        </w:rPr>
        <w:t>%；经营支出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万元，0，主要原因是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年度财政拨款收、支总计</w:t>
      </w:r>
      <w:r>
        <w:rPr>
          <w:rFonts w:hint="eastAsia" w:ascii="Times New Roman" w:hAnsi="Times New Roman" w:eastAsia="方正仿宋_GBK" w:cs="方正仿宋_GBK"/>
          <w:sz w:val="32"/>
          <w:szCs w:val="32"/>
          <w:shd w:val="clear" w:color="auto" w:fill="FFFFFF"/>
          <w:lang w:val="en-US" w:eastAsia="zh-CN"/>
        </w:rPr>
        <w:t>5444.47</w:t>
      </w:r>
      <w:r>
        <w:rPr>
          <w:rFonts w:ascii="Times New Roman" w:hAnsi="Times New Roman" w:eastAsia="方正仿宋_GBK" w:cs="方正仿宋_GBK"/>
          <w:sz w:val="32"/>
          <w:szCs w:val="32"/>
          <w:shd w:val="clear" w:color="auto" w:fill="FFFFFF"/>
        </w:rPr>
        <w:t>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w:t>
      </w:r>
      <w:r>
        <w:rPr>
          <w:rFonts w:hint="eastAsia" w:ascii="Times New Roman" w:hAnsi="Times New Roman" w:eastAsia="方正仿宋_GBK" w:cs="方正仿宋_GBK"/>
          <w:sz w:val="32"/>
          <w:szCs w:val="32"/>
          <w:shd w:val="clear" w:color="auto" w:fill="FFFFFF"/>
          <w:lang w:val="en-US" w:eastAsia="zh-CN"/>
        </w:rPr>
        <w:t>增加974.42</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w:t>
      </w:r>
      <w:r>
        <w:rPr>
          <w:rFonts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项目增多，</w:t>
      </w:r>
      <w:r>
        <w:rPr>
          <w:rFonts w:hint="eastAsia" w:ascii="仿宋_GB2312" w:hAnsi="仿宋" w:eastAsia="仿宋_GB2312"/>
          <w:sz w:val="32"/>
          <w:szCs w:val="32"/>
        </w:rPr>
        <w:t>一般公共预算财政拨款</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年度一般公共预算财政拨款收入</w:t>
      </w:r>
      <w:r>
        <w:rPr>
          <w:rFonts w:hint="eastAsia" w:ascii="Times New Roman" w:hAnsi="Times New Roman" w:eastAsia="方正仿宋_GBK" w:cs="方正仿宋_GBK"/>
          <w:sz w:val="32"/>
          <w:szCs w:val="32"/>
          <w:lang w:val="en-US" w:eastAsia="zh-CN"/>
        </w:rPr>
        <w:t>5247.73</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val="en-US" w:eastAsia="zh-CN"/>
        </w:rPr>
        <w:t>增加856.41</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增长19.50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一般公共预算收入</w:t>
      </w:r>
      <w:r>
        <w:rPr>
          <w:rFonts w:hint="eastAsia" w:ascii="Times New Roman" w:hAnsi="Times New Roman" w:eastAsia="方正仿宋_GBK" w:cs="方正仿宋_GBK"/>
          <w:sz w:val="32"/>
          <w:szCs w:val="32"/>
          <w:shd w:val="clear" w:color="auto" w:fill="FFFFFF"/>
          <w:lang w:val="en-US" w:eastAsia="zh-CN"/>
        </w:rPr>
        <w:t>较去年增加</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763.03</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17.01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一般公共预算收入</w:t>
      </w:r>
      <w:r>
        <w:rPr>
          <w:rFonts w:hint="eastAsia" w:ascii="Times New Roman" w:hAnsi="Times New Roman" w:eastAsia="方正仿宋_GBK" w:cs="方正仿宋_GBK"/>
          <w:sz w:val="32"/>
          <w:szCs w:val="32"/>
          <w:shd w:val="clear" w:color="auto" w:fill="FFFFFF"/>
          <w:lang w:val="en-US" w:eastAsia="zh-CN"/>
        </w:rPr>
        <w:t>调剂增加</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cs="方正仿宋_GBK"/>
          <w:sz w:val="32"/>
          <w:szCs w:val="32"/>
          <w:lang w:val="en-US" w:eastAsia="zh-CN"/>
        </w:rPr>
        <w:t>55.77</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w:t>
      </w:r>
      <w:r>
        <w:rPr>
          <w:rFonts w:hint="eastAsia" w:ascii="Times New Roman" w:hAnsi="Times New Roman" w:eastAsia="方正仿宋_GBK" w:cs="方正仿宋_GBK"/>
          <w:sz w:val="32"/>
          <w:szCs w:val="32"/>
          <w:lang w:val="en-US" w:eastAsia="zh-CN"/>
        </w:rPr>
        <w:t>5303.50</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val="en-US" w:eastAsia="zh-CN"/>
        </w:rPr>
        <w:t>增加910.72</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增长20.73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收入</w:t>
      </w:r>
      <w:r>
        <w:rPr>
          <w:rFonts w:hint="eastAsia" w:ascii="Times New Roman" w:hAnsi="Times New Roman" w:eastAsia="方正仿宋_GBK" w:cs="方正仿宋_GBK"/>
          <w:sz w:val="32"/>
          <w:szCs w:val="32"/>
          <w:shd w:val="clear" w:color="auto" w:fill="FFFFFF"/>
          <w:lang w:val="en-US" w:eastAsia="zh-CN"/>
        </w:rPr>
        <w:t>增加，项目支出增加</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818.80</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18.26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一般公共预算收入</w:t>
      </w:r>
      <w:r>
        <w:rPr>
          <w:rFonts w:hint="eastAsia" w:ascii="Times New Roman" w:hAnsi="Times New Roman" w:eastAsia="方正仿宋_GBK" w:cs="方正仿宋_GBK"/>
          <w:sz w:val="32"/>
          <w:szCs w:val="32"/>
          <w:shd w:val="clear" w:color="auto" w:fill="FFFFFF"/>
          <w:lang w:val="en-US" w:eastAsia="zh-CN"/>
        </w:rPr>
        <w:t>调剂增加。</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本部门202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年度一般公共预算财政拨款支出主要用于以下几个方面：</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（1）一般公共服务支出</w:t>
      </w:r>
      <w:r>
        <w:rPr>
          <w:rFonts w:hint="eastAsia" w:ascii="Times New Roman" w:hAnsi="Times New Roman" w:eastAsia="方正仿宋_GBK" w:cs="方正仿宋_GBK"/>
          <w:sz w:val="32"/>
          <w:szCs w:val="32"/>
          <w:lang w:val="en-US" w:eastAsia="zh-CN"/>
        </w:rPr>
        <w:t>1054.24</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19.36</w:t>
      </w:r>
      <w:r>
        <w:rPr>
          <w:rFonts w:ascii="Times New Roman" w:hAnsi="Times New Roman" w:eastAsia="方正仿宋_GBK" w:cs="方正仿宋_GBK"/>
          <w:sz w:val="32"/>
          <w:szCs w:val="32"/>
          <w:shd w:val="clear" w:color="auto" w:fill="FFFFFF"/>
        </w:rPr>
        <w:t>%，较年初预算数</w:t>
      </w:r>
      <w:r>
        <w:rPr>
          <w:rFonts w:hint="eastAsia" w:ascii="Times New Roman" w:hAnsi="Times New Roman" w:eastAsia="方正仿宋_GBK" w:cs="方正仿宋_GBK"/>
          <w:sz w:val="32"/>
          <w:szCs w:val="32"/>
          <w:shd w:val="clear" w:color="auto" w:fill="FFFFFF"/>
          <w:lang w:val="en-US" w:eastAsia="zh-CN"/>
        </w:rPr>
        <w:t>减少10.03</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下降0.94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压缩开支</w:t>
      </w:r>
      <w:r>
        <w:rPr>
          <w:rFonts w:hint="eastAsia" w:ascii="Times New Roman" w:hAnsi="Times New Roman" w:eastAsia="方正仿宋_GBK"/>
          <w:color w:val="000000" w:themeColor="text1"/>
          <w:sz w:val="32"/>
          <w:szCs w:val="32"/>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）公共安全支出</w:t>
      </w:r>
      <w:r>
        <w:rPr>
          <w:rFonts w:hint="eastAsia" w:ascii="Times New Roman" w:hAnsi="Times New Roman" w:eastAsia="方正仿宋_GBK" w:cs="方正仿宋_GBK"/>
          <w:sz w:val="32"/>
          <w:szCs w:val="32"/>
          <w:lang w:val="en-US" w:eastAsia="zh-CN"/>
        </w:rPr>
        <w:t>45.96</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0.84</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17.36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60.69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2024年开展</w:t>
      </w:r>
      <w:r>
        <w:rPr>
          <w:rFonts w:hint="eastAsia" w:ascii="Times New Roman" w:hAnsi="Times New Roman" w:eastAsia="方正仿宋_GBK" w:cs="方正仿宋_GBK"/>
          <w:sz w:val="32"/>
          <w:szCs w:val="32"/>
          <w:shd w:val="clear" w:color="auto" w:fill="FFFFFF"/>
        </w:rPr>
        <w:t>普法宣传</w:t>
      </w:r>
      <w:r>
        <w:rPr>
          <w:rFonts w:hint="eastAsia" w:ascii="Times New Roman" w:hAnsi="Times New Roman" w:eastAsia="方正仿宋_GBK" w:cs="方正仿宋_GBK"/>
          <w:sz w:val="32"/>
          <w:szCs w:val="32"/>
          <w:shd w:val="clear" w:color="auto" w:fill="FFFFFF"/>
          <w:lang w:val="en-US" w:eastAsia="zh-CN"/>
        </w:rPr>
        <w:t>工作，项目调剂指标</w:t>
      </w:r>
      <w:r>
        <w:rPr>
          <w:rFonts w:ascii="Times New Roman" w:hAnsi="Times New Roman" w:eastAsia="方正仿宋_GBK" w:cs="方正仿宋_GBK"/>
          <w:sz w:val="32"/>
          <w:szCs w:val="32"/>
          <w:shd w:val="clear" w:color="auto" w:fill="FFFFFF"/>
        </w:rPr>
        <w:t>资金</w:t>
      </w:r>
      <w:r>
        <w:rPr>
          <w:rFonts w:hint="eastAsia" w:ascii="Times New Roman" w:hAnsi="Times New Roman" w:eastAsia="方正仿宋_GBK" w:cs="方正仿宋_GBK"/>
          <w:sz w:val="32"/>
          <w:szCs w:val="32"/>
          <w:shd w:val="clear" w:color="auto" w:fill="FFFFFF"/>
          <w:lang w:val="en-US" w:eastAsia="zh-CN"/>
        </w:rPr>
        <w:t>增加。</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）文化旅游体育与传媒支出</w:t>
      </w:r>
      <w:r>
        <w:rPr>
          <w:rFonts w:hint="eastAsia" w:ascii="Times New Roman" w:hAnsi="Times New Roman" w:eastAsia="方正仿宋_GBK" w:cs="方正仿宋_GBK"/>
          <w:sz w:val="32"/>
          <w:szCs w:val="32"/>
          <w:lang w:val="en-US" w:eastAsia="zh-CN"/>
        </w:rPr>
        <w:t>131.61</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2.42</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45.37</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52.61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打通镇20</w:t>
      </w:r>
      <w:r>
        <w:rPr>
          <w:rFonts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举办</w:t>
      </w:r>
      <w:r>
        <w:rPr>
          <w:rFonts w:hint="eastAsia" w:ascii="Times New Roman" w:hAnsi="Times New Roman" w:eastAsia="方正仿宋_GBK" w:cs="方正仿宋_GBK"/>
          <w:sz w:val="32"/>
          <w:szCs w:val="32"/>
          <w:shd w:val="clear" w:color="auto" w:fill="FFFFFF"/>
        </w:rPr>
        <w:t>群众文化</w:t>
      </w:r>
      <w:r>
        <w:rPr>
          <w:rFonts w:hint="eastAsia" w:ascii="Times New Roman" w:hAnsi="Times New Roman" w:eastAsia="方正仿宋_GBK" w:cs="方正仿宋_GBK"/>
          <w:sz w:val="32"/>
          <w:szCs w:val="32"/>
          <w:shd w:val="clear" w:color="auto" w:fill="FFFFFF"/>
          <w:lang w:val="en-US" w:eastAsia="zh-CN"/>
        </w:rPr>
        <w:t>活动等</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活动相关费用增加。</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lang w:val="en-US" w:eastAsia="zh-CN"/>
        </w:rPr>
        <w:t>638.97</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11.74</w:t>
      </w:r>
      <w:r>
        <w:rPr>
          <w:rFonts w:ascii="Times New Roman" w:hAnsi="Times New Roman" w:eastAsia="方正仿宋_GBK" w:cs="方正仿宋_GBK"/>
          <w:sz w:val="32"/>
          <w:szCs w:val="32"/>
          <w:shd w:val="clear" w:color="auto" w:fill="FFFFFF"/>
        </w:rPr>
        <w:t>%，较年初预算数</w:t>
      </w:r>
      <w:r>
        <w:rPr>
          <w:rFonts w:hint="eastAsia" w:ascii="Times New Roman" w:hAnsi="Times New Roman" w:eastAsia="方正仿宋_GBK" w:cs="方正仿宋_GBK"/>
          <w:sz w:val="32"/>
          <w:szCs w:val="32"/>
          <w:shd w:val="clear" w:color="auto" w:fill="FFFFFF"/>
          <w:lang w:val="en-US" w:eastAsia="zh-CN"/>
        </w:rPr>
        <w:t>增加96.19</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增长17.72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社会保障与就业</w:t>
      </w:r>
      <w:r>
        <w:rPr>
          <w:rFonts w:hint="eastAsia" w:ascii="Times New Roman" w:hAnsi="Times New Roman" w:eastAsia="方正仿宋_GBK"/>
          <w:sz w:val="32"/>
          <w:szCs w:val="32"/>
          <w:lang w:val="en-US" w:eastAsia="zh-CN"/>
        </w:rPr>
        <w:t>等工作支出增加</w:t>
      </w:r>
      <w:r>
        <w:rPr>
          <w:rFonts w:hint="eastAsia" w:ascii="Times New Roman" w:hAnsi="Times New Roman" w:eastAsia="方正仿宋_GBK"/>
          <w:color w:val="000000" w:themeColor="text1"/>
          <w:sz w:val="32"/>
          <w:szCs w:val="32"/>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lang w:val="en-US" w:eastAsia="zh-CN"/>
        </w:rPr>
        <w:t>100.84</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1.85</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0.46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0.46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职工基本医疗保险缴费增加</w:t>
      </w:r>
      <w:r>
        <w:rPr>
          <w:rFonts w:hint="eastAsia" w:ascii="Times New Roman" w:hAnsi="Times New Roman" w:eastAsia="方正仿宋_GBK"/>
          <w:sz w:val="32"/>
          <w:szCs w:val="32"/>
          <w:lang w:val="en-US" w:eastAsia="zh-CN"/>
        </w:rPr>
        <w:t>和防疫相关工作支出增加</w:t>
      </w:r>
      <w:r>
        <w:rPr>
          <w:rFonts w:hint="eastAsia" w:ascii="Times New Roman" w:hAnsi="Times New Roman" w:eastAsia="方正仿宋_GBK"/>
          <w:sz w:val="32"/>
          <w:szCs w:val="32"/>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）节能环保支出</w:t>
      </w:r>
      <w:r>
        <w:rPr>
          <w:rFonts w:hint="eastAsia" w:ascii="Times New Roman" w:hAnsi="Times New Roman" w:eastAsia="方正仿宋_GBK" w:cs="方正仿宋_GBK"/>
          <w:sz w:val="32"/>
          <w:szCs w:val="32"/>
          <w:lang w:val="en-US" w:eastAsia="zh-CN"/>
        </w:rPr>
        <w:t>89.64</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1.65</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89.64</w:t>
      </w:r>
      <w:r>
        <w:rPr>
          <w:rFonts w:ascii="Times New Roman" w:hAnsi="Times New Roman" w:eastAsia="方正仿宋_GBK" w:cs="方正仿宋_GBK"/>
          <w:sz w:val="32"/>
          <w:szCs w:val="32"/>
          <w:shd w:val="clear" w:color="auto" w:fill="FFFFFF"/>
        </w:rPr>
        <w:t>万元，增长100.00%，主要原因是</w:t>
      </w:r>
      <w:r>
        <w:rPr>
          <w:rFonts w:hint="eastAsia" w:ascii="Times New Roman" w:hAnsi="Times New Roman" w:eastAsia="方正仿宋_GBK" w:cs="方正仿宋_GBK"/>
          <w:sz w:val="32"/>
          <w:szCs w:val="32"/>
          <w:shd w:val="clear" w:color="auto" w:fill="FFFFFF"/>
          <w:lang w:val="en-US" w:eastAsia="zh-CN"/>
        </w:rPr>
        <w:t>用于支付</w:t>
      </w:r>
      <w:r>
        <w:rPr>
          <w:rFonts w:ascii="Times New Roman" w:hAnsi="Times New Roman" w:eastAsia="方正仿宋_GBK" w:cs="方正仿宋_GBK"/>
          <w:sz w:val="32"/>
          <w:szCs w:val="32"/>
          <w:shd w:val="clear" w:color="auto" w:fill="FFFFFF"/>
        </w:rPr>
        <w:t>去产能公益性岗位人员工资</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）城乡社区支出</w:t>
      </w:r>
      <w:r>
        <w:rPr>
          <w:rFonts w:hint="eastAsia" w:ascii="Times New Roman" w:hAnsi="Times New Roman" w:eastAsia="方正仿宋_GBK" w:cs="方正仿宋_GBK"/>
          <w:sz w:val="32"/>
          <w:szCs w:val="32"/>
          <w:lang w:val="en-US" w:eastAsia="zh-CN"/>
        </w:rPr>
        <w:t>683.73</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12.56</w:t>
      </w:r>
      <w:r>
        <w:rPr>
          <w:rFonts w:ascii="Times New Roman" w:hAnsi="Times New Roman" w:eastAsia="方正仿宋_GBK" w:cs="方正仿宋_GBK"/>
          <w:sz w:val="32"/>
          <w:szCs w:val="32"/>
          <w:shd w:val="clear" w:color="auto" w:fill="FFFFFF"/>
        </w:rPr>
        <w:t>%，较年初预算数</w:t>
      </w:r>
      <w:r>
        <w:rPr>
          <w:rFonts w:hint="eastAsia" w:ascii="Times New Roman" w:hAnsi="Times New Roman" w:eastAsia="方正仿宋_GBK" w:cs="方正仿宋_GBK"/>
          <w:sz w:val="32"/>
          <w:szCs w:val="32"/>
          <w:shd w:val="clear" w:color="auto" w:fill="FFFFFF"/>
          <w:lang w:val="en-US" w:eastAsia="zh-CN"/>
        </w:rPr>
        <w:t>增加259.74</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增长61.26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市政场镇环卫支出的</w:t>
      </w:r>
      <w:r>
        <w:rPr>
          <w:rFonts w:hint="eastAsia" w:ascii="Times New Roman" w:hAnsi="Times New Roman" w:eastAsia="方正仿宋_GBK"/>
          <w:sz w:val="32"/>
          <w:szCs w:val="32"/>
          <w:lang w:val="en-US" w:eastAsia="zh-CN"/>
        </w:rPr>
        <w:t>增加</w:t>
      </w:r>
      <w:r>
        <w:rPr>
          <w:rFonts w:hint="eastAsia" w:ascii="Times New Roman" w:hAnsi="Times New Roman" w:eastAsia="方正仿宋_GBK"/>
          <w:sz w:val="32"/>
          <w:szCs w:val="32"/>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eastAsia"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）农林水支出</w:t>
      </w:r>
      <w:r>
        <w:rPr>
          <w:rFonts w:hint="eastAsia" w:ascii="Times New Roman" w:hAnsi="Times New Roman" w:eastAsia="方正仿宋_GBK" w:cs="方正仿宋_GBK"/>
          <w:sz w:val="32"/>
          <w:szCs w:val="32"/>
          <w:lang w:val="en-US" w:eastAsia="zh-CN"/>
        </w:rPr>
        <w:t>1740.67</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31.97</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341.62</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24.42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乡村振兴支出的</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交通运输支出</w:t>
      </w:r>
      <w:r>
        <w:rPr>
          <w:rFonts w:hint="eastAsia" w:ascii="Times New Roman" w:hAnsi="Times New Roman" w:eastAsia="方正仿宋_GBK" w:cs="方正仿宋_GBK"/>
          <w:sz w:val="32"/>
          <w:szCs w:val="32"/>
          <w:shd w:val="clear" w:color="auto" w:fill="FFFFFF"/>
          <w:lang w:val="en-US" w:eastAsia="zh-CN"/>
        </w:rPr>
        <w:t>129.62</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2.38</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543.79</w:t>
      </w:r>
      <w:r>
        <w:rPr>
          <w:rFonts w:ascii="Times New Roman" w:hAnsi="Times New Roman"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80.75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olor w:val="auto"/>
          <w:sz w:val="32"/>
          <w:szCs w:val="32"/>
        </w:rPr>
        <w:t>压减项目支出</w:t>
      </w:r>
      <w:r>
        <w:rPr>
          <w:rFonts w:hint="eastAsia" w:ascii="Times New Roman" w:hAnsi="Times New Roman" w:eastAsia="方正仿宋_GBK"/>
          <w:sz w:val="32"/>
          <w:szCs w:val="32"/>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自然资源海洋气象等支出</w:t>
      </w:r>
      <w:r>
        <w:rPr>
          <w:rFonts w:hint="eastAsia" w:ascii="Times New Roman" w:hAnsi="Times New Roman" w:eastAsia="方正仿宋_GBK" w:cs="方正仿宋_GBK"/>
          <w:sz w:val="32"/>
          <w:szCs w:val="32"/>
          <w:lang w:val="en-US" w:eastAsia="zh-CN"/>
        </w:rPr>
        <w:t>8.61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hint="eastAsia" w:ascii="Times New Roman" w:hAnsi="Times New Roman" w:eastAsia="方正仿宋_GBK" w:cs="方正仿宋_GBK"/>
          <w:sz w:val="32"/>
          <w:szCs w:val="32"/>
          <w:lang w:val="en-US" w:eastAsia="zh-CN"/>
        </w:rPr>
        <w:t>16</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8.61</w:t>
      </w:r>
      <w:r>
        <w:rPr>
          <w:rFonts w:ascii="Times New Roman" w:hAnsi="Times New Roman" w:eastAsia="方正仿宋_GBK" w:cs="方正仿宋_GBK"/>
          <w:sz w:val="32"/>
          <w:szCs w:val="32"/>
          <w:shd w:val="clear" w:color="auto" w:fill="FFFFFF"/>
        </w:rPr>
        <w:t>万元，增长100.00%，主要原因是</w:t>
      </w:r>
      <w:r>
        <w:rPr>
          <w:rFonts w:hint="eastAsia" w:ascii="Times New Roman" w:hAnsi="Times New Roman" w:eastAsia="方正仿宋_GBK" w:cs="方正仿宋_GBK"/>
          <w:sz w:val="32"/>
          <w:szCs w:val="32"/>
          <w:shd w:val="clear" w:color="auto" w:fill="FFFFFF"/>
          <w:lang w:val="en-US" w:eastAsia="zh-CN"/>
        </w:rPr>
        <w:t>该支出8.61万元为</w:t>
      </w:r>
      <w:r>
        <w:rPr>
          <w:rFonts w:hint="eastAsia" w:ascii="Times New Roman" w:hAnsi="Times New Roman" w:eastAsia="方正仿宋_GBK" w:cs="方正仿宋_GBK"/>
          <w:sz w:val="32"/>
          <w:szCs w:val="32"/>
          <w:shd w:val="clear" w:color="auto" w:fill="FFFFFF"/>
        </w:rPr>
        <w:t>年初结转和结余</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）住房保障支出</w:t>
      </w:r>
      <w:r>
        <w:rPr>
          <w:rFonts w:hint="eastAsia" w:ascii="Times New Roman" w:hAnsi="Times New Roman" w:eastAsia="方正仿宋_GBK" w:cs="方正仿宋_GBK"/>
          <w:sz w:val="32"/>
          <w:szCs w:val="32"/>
          <w:shd w:val="clear" w:color="auto" w:fill="FFFFFF"/>
          <w:lang w:val="en-US" w:eastAsia="zh-CN"/>
        </w:rPr>
        <w:t>728.67</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13.38</w:t>
      </w:r>
      <w:r>
        <w:rPr>
          <w:rFonts w:ascii="Times New Roman" w:hAnsi="Times New Roman" w:eastAsia="方正仿宋_GBK" w:cs="方正仿宋_GBK"/>
          <w:sz w:val="32"/>
          <w:szCs w:val="32"/>
          <w:shd w:val="clear" w:color="auto" w:fill="FFFFFF"/>
        </w:rPr>
        <w:t>%，较年初预算数</w:t>
      </w:r>
      <w:r>
        <w:rPr>
          <w:rFonts w:hint="eastAsia" w:ascii="Times New Roman" w:hAnsi="Times New Roman" w:eastAsia="方正仿宋_GBK" w:cs="方正仿宋_GBK"/>
          <w:sz w:val="32"/>
          <w:szCs w:val="32"/>
          <w:shd w:val="clear" w:color="auto" w:fill="FFFFFF"/>
          <w:lang w:val="en-US" w:eastAsia="zh-CN"/>
        </w:rPr>
        <w:t>增加618.41</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增长560.86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农村危旧房改造支出的</w:t>
      </w:r>
      <w:r>
        <w:rPr>
          <w:rFonts w:hint="eastAsia" w:ascii="Times New Roman" w:hAnsi="Times New Roman" w:eastAsia="方正仿宋_GBK"/>
          <w:sz w:val="32"/>
          <w:szCs w:val="32"/>
          <w:lang w:val="en-US" w:eastAsia="zh-CN"/>
        </w:rPr>
        <w:t>增加等</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N/>
        <w:bidi w:val="0"/>
        <w:adjustRightInd/>
        <w:spacing w:beforeAutospacing="0" w:afterAutospacing="0" w:line="576" w:lineRule="exact"/>
        <w:ind w:left="0" w:leftChars="0" w:right="0" w:rightChars="0" w:firstLine="72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2）</w:t>
      </w:r>
      <w:r>
        <w:rPr>
          <w:rFonts w:ascii="Times New Roman" w:hAnsi="Times New Roman" w:eastAsia="方正仿宋_GBK" w:cs="方正仿宋_GBK"/>
          <w:sz w:val="32"/>
          <w:szCs w:val="32"/>
        </w:rPr>
        <w:t>灾害防治及应急管理支出</w:t>
      </w:r>
      <w:r>
        <w:rPr>
          <w:rFonts w:hint="eastAsia" w:ascii="Times New Roman" w:hAnsi="Times New Roman" w:eastAsia="方正仿宋_GBK" w:cs="方正仿宋_GBK"/>
          <w:sz w:val="32"/>
          <w:szCs w:val="32"/>
          <w:lang w:val="en-US" w:eastAsia="zh-CN"/>
        </w:rPr>
        <w:t>61.89</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1.14</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54.91</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786.74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用于支付购买水罐消防车费用</w:t>
      </w:r>
      <w:r>
        <w:rPr>
          <w:rFonts w:hint="eastAsia" w:ascii="Times New Roman" w:hAnsi="Times New Roman" w:eastAsia="方正仿宋_GBK" w:cs="方正仿宋_GBK"/>
          <w:sz w:val="32"/>
          <w:szCs w:val="32"/>
          <w:shd w:val="clear" w:color="auto" w:fill="FFFFFF"/>
          <w:lang w:eastAsia="zh-CN"/>
        </w:rPr>
        <w:t>。</w:t>
      </w:r>
    </w:p>
    <w:p>
      <w:pPr>
        <w:keepNext w:val="0"/>
        <w:keepLines w:val="0"/>
        <w:pageBreakBefore w:val="0"/>
        <w:widowControl w:val="0"/>
        <w:kinsoku/>
        <w:wordWrap/>
        <w:overflowPunct/>
        <w:topLinePunct w:val="0"/>
        <w:autoSpaceDN/>
        <w:bidi w:val="0"/>
        <w:adjustRightInd/>
        <w:spacing w:beforeAutospacing="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其他支出</w:t>
      </w:r>
      <w:r>
        <w:rPr>
          <w:rFonts w:hint="eastAsia" w:ascii="Times New Roman" w:hAnsi="Times New Roman" w:eastAsia="方正仿宋_GBK" w:cs="方正仿宋_GBK"/>
          <w:sz w:val="32"/>
          <w:szCs w:val="32"/>
          <w:shd w:val="clear" w:color="auto" w:fill="FFFFFF"/>
          <w:lang w:val="en-US" w:eastAsia="zh-CN"/>
        </w:rPr>
        <w:t>30.00</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0.55</w:t>
      </w:r>
      <w:r>
        <w:rPr>
          <w:rFonts w:ascii="Times New Roman" w:hAnsi="Times New Roman" w:eastAsia="方正仿宋_GBK" w:cs="方正仿宋_GBK"/>
          <w:sz w:val="32"/>
          <w:szCs w:val="32"/>
          <w:shd w:val="clear" w:color="auto" w:fill="FFFFFF"/>
        </w:rPr>
        <w:t>%，较年初预算数</w:t>
      </w:r>
      <w:r>
        <w:rPr>
          <w:rFonts w:hint="eastAsia" w:ascii="Times New Roman" w:hAnsi="Times New Roman" w:eastAsia="方正仿宋_GBK" w:cs="方正仿宋_GBK"/>
          <w:sz w:val="32"/>
          <w:szCs w:val="32"/>
          <w:shd w:val="clear" w:color="auto" w:fill="FFFFFF"/>
          <w:lang w:val="en-US" w:eastAsia="zh-CN"/>
        </w:rPr>
        <w:t>增加30.00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增长100.00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2024年重点地区转型发展专项（资源型地区转型发展方向）中央基建投资预算-綦江区采煤沉陷区打通镇隐患安全排危改造工程支出的</w:t>
      </w:r>
      <w:r>
        <w:rPr>
          <w:rFonts w:hint="eastAsia" w:ascii="Times New Roman" w:hAnsi="Times New Roman" w:eastAsia="方正仿宋_GBK"/>
          <w:sz w:val="32"/>
          <w:szCs w:val="32"/>
          <w:lang w:val="en-US" w:eastAsia="zh-CN"/>
        </w:rPr>
        <w:t>增加等</w:t>
      </w:r>
      <w:r>
        <w:rPr>
          <w:rFonts w:hint="eastAsia" w:ascii="Times New Roman" w:hAnsi="Times New Roman" w:eastAsia="方正仿宋_GBK"/>
          <w:sz w:val="32"/>
          <w:szCs w:val="32"/>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2204.16</w:t>
      </w:r>
      <w:r>
        <w:rPr>
          <w:rFonts w:ascii="方正仿宋_GBK" w:hAnsi="方正仿宋_GBK" w:eastAsia="方正仿宋_GBK" w:cs="方正仿宋_GBK"/>
          <w:sz w:val="32"/>
          <w:szCs w:val="32"/>
          <w:shd w:val="clear" w:color="auto" w:fill="FFFFFF"/>
        </w:rPr>
        <w:t>万元。其中：</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eastAsia"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1873.78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与2023年度相比，增加167.70万元，增长9.8%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人员变动、经费标准等变动产生。</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sz w:val="32"/>
          <w:szCs w:val="32"/>
        </w:rPr>
        <w:t>职工工资、社保、住房公积金等支出。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与2023年度相比，减少33.50万元，下降9.2%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一般公共预算财政拨款较上年减少。</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sz w:val="32"/>
          <w:szCs w:val="32"/>
        </w:rPr>
        <w:t>办公费、水费、电费、差旅费、公务接待费、会议费等支出。</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Times New Roman" w:hAnsi="Times New Roman"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2024年度政府性基金预算财政拨款年初结转结余0.00万元，年末结转结余0.00万元。本年收入140.96万元，与2023年度相比，增加63.69万元，增长82.4%，主要原因是政府性基金预算财政拨款收入调剂增加，202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年共</w:t>
      </w:r>
      <w:r>
        <w:rPr>
          <w:rFonts w:hint="eastAsia" w:ascii="Times New Roman" w:hAnsi="Times New Roman" w:eastAsia="方正仿宋_GBK" w:cs="方正仿宋_GBK"/>
          <w:sz w:val="32"/>
          <w:szCs w:val="32"/>
          <w:shd w:val="clear" w:color="auto" w:fill="FFFFFF"/>
          <w:lang w:val="en-US" w:eastAsia="zh-CN"/>
        </w:rPr>
        <w:t>1409641.07</w:t>
      </w:r>
      <w:r>
        <w:rPr>
          <w:rFonts w:hint="eastAsia" w:ascii="Times New Roman" w:hAnsi="Times New Roman" w:eastAsia="方正仿宋_GBK" w:cs="方正仿宋_GBK"/>
          <w:sz w:val="32"/>
          <w:szCs w:val="32"/>
          <w:shd w:val="clear" w:color="auto" w:fill="FFFFFF"/>
        </w:rPr>
        <w:t>元。（2023年结转指标</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綦江财发〔2023〕1号（渝财建〔2022〕260号）：600000元，配套费返还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綦江财发〔2024〕33号：</w:t>
      </w:r>
      <w:r>
        <w:rPr>
          <w:rFonts w:hint="eastAsia" w:ascii="Times New Roman" w:hAnsi="Times New Roman" w:eastAsia="方正仿宋_GBK" w:cs="方正仿宋_GBK"/>
          <w:sz w:val="32"/>
          <w:szCs w:val="32"/>
          <w:shd w:val="clear" w:color="auto" w:fill="FFFFFF"/>
          <w:lang w:val="en-US" w:eastAsia="zh-CN"/>
        </w:rPr>
        <w:t>723900</w:t>
      </w:r>
      <w:r>
        <w:rPr>
          <w:rFonts w:hint="eastAsia" w:ascii="Times New Roman" w:hAnsi="Times New Roman" w:eastAsia="方正仿宋_GBK" w:cs="方正仿宋_GBK"/>
          <w:sz w:val="32"/>
          <w:szCs w:val="32"/>
          <w:shd w:val="clear" w:color="auto" w:fill="FFFFFF"/>
        </w:rPr>
        <w:t>元，交通局调剂第一季度养护经费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綦江财发〔2024〕1号：68941.07元，规资局调剂</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綦江财发〔2024〕1号：8400元，规资局调剂</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綦江财发〔2024〕225号（渝财建〔2024〕139号）：8400元。）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140.96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与2023年度相比，增加63.69万元，增长82.4%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本年项目支出增加。</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本部门202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57.02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较年初预算数增加29.29万元，增长105.6%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2024年购入公务用车1辆，因此“三公”经费支出增加</w:t>
      </w:r>
      <w:r>
        <w:rPr>
          <w:rFonts w:hint="eastAsia" w:ascii="Times New Roman" w:hAnsi="Times New Roman" w:eastAsia="方正仿宋_GBK"/>
          <w:sz w:val="32"/>
          <w:szCs w:val="32"/>
        </w:rPr>
        <w:t>。</w:t>
      </w:r>
      <w:r>
        <w:rPr>
          <w:rFonts w:hint="default" w:ascii="Times New Roman" w:hAnsi="Times New Roman" w:eastAsia="方正仿宋_GBK"/>
          <w:sz w:val="32"/>
          <w:szCs w:val="32"/>
          <w:shd w:val="clear" w:color="auto" w:fill="FFFFFF"/>
        </w:rPr>
        <w:t>较上年支出数增加34.96万元，增长158.5%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2024年购入公务用车1辆，因此“三公”经费支出增加</w:t>
      </w:r>
      <w:r>
        <w:rPr>
          <w:rFonts w:hint="eastAsia" w:ascii="Times New Roman" w:hAnsi="Times New Roman" w:eastAsia="方正仿宋_GBK"/>
          <w:sz w:val="32"/>
          <w:szCs w:val="32"/>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年度本部门因公出国（境）费用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费用支出较年初预算数无增减。较上年支出数无增减，主要原因是</w:t>
      </w:r>
      <w:r>
        <w:rPr>
          <w:rFonts w:hint="eastAsia" w:ascii="Times New Roman" w:hAnsi="Times New Roman" w:eastAsia="方正仿宋_GBK" w:cs="方正仿宋_GBK"/>
          <w:sz w:val="32"/>
          <w:szCs w:val="32"/>
          <w:shd w:val="clear" w:color="auto" w:fill="FFFFFF"/>
          <w:lang w:val="en-US" w:eastAsia="zh-CN"/>
        </w:rPr>
        <w:t>本单位无应公出国（境）事由</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公务车购置费</w:t>
      </w:r>
      <w:r>
        <w:rPr>
          <w:rFonts w:hint="default" w:ascii="Times New Roman" w:hAnsi="Times New Roman" w:eastAsia="方正仿宋_GBK"/>
          <w:sz w:val="32"/>
          <w:szCs w:val="32"/>
          <w:shd w:val="clear" w:color="auto" w:fill="FFFFFF"/>
        </w:rPr>
        <w:t>34.98</w:t>
      </w:r>
      <w:r>
        <w:rPr>
          <w:rFonts w:ascii="Times New Roman" w:hAnsi="Times New Roman"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val="en-US" w:eastAsia="zh-CN"/>
        </w:rPr>
        <w:t>2024年购入公务用车1辆。</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较年初预算数增加34.98万元，增长100.0%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2024年购入公务用车1辆，因此2024年公务用车购置费增加。（綦车管办函〔2023〕13号）</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hint="default" w:ascii="Times New Roman" w:hAnsi="Times New Roman" w:eastAsia="方正仿宋_GBK"/>
          <w:sz w:val="32"/>
          <w:szCs w:val="32"/>
          <w:shd w:val="clear" w:color="auto" w:fill="FFFFFF"/>
        </w:rPr>
        <w:t>20.94</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sz w:val="32"/>
          <w:szCs w:val="32"/>
        </w:rPr>
        <w:t>公务用车加油、维修、道路通行、购买车辆保险、洗停车费。</w:t>
      </w:r>
      <w:r>
        <w:rPr>
          <w:rFonts w:ascii="Times New Roman" w:hAnsi="Times New Roman" w:eastAsia="方正仿宋_GBK" w:cs="方正仿宋_GBK"/>
          <w:sz w:val="32"/>
          <w:szCs w:val="32"/>
          <w:shd w:val="clear" w:color="auto" w:fill="FFFFFF"/>
        </w:rPr>
        <w:t>费用支出较年初预算数减少</w:t>
      </w:r>
      <w:r>
        <w:rPr>
          <w:rFonts w:hint="default" w:ascii="Times New Roman" w:hAnsi="Times New Roman" w:eastAsia="方正仿宋_GBK"/>
          <w:sz w:val="32"/>
          <w:szCs w:val="32"/>
          <w:shd w:val="clear" w:color="auto" w:fill="FFFFFF"/>
        </w:rPr>
        <w:t>1.56万元，下降6.9%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加强管理，严控公务用车运行支出。</w:t>
      </w:r>
      <w:r>
        <w:rPr>
          <w:rFonts w:ascii="Times New Roman" w:hAnsi="Times New Roman" w:eastAsia="方正仿宋_GBK" w:cs="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0.01万元，下降0.1%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加强管理，严控公务用车运行支出。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hint="default" w:ascii="Times New Roman" w:hAnsi="Times New Roman" w:eastAsia="方正仿宋_GBK"/>
          <w:sz w:val="32"/>
          <w:szCs w:val="32"/>
          <w:shd w:val="clear" w:color="auto" w:fill="FFFFFF"/>
        </w:rPr>
        <w:t>1.10</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sz w:val="32"/>
          <w:szCs w:val="32"/>
        </w:rPr>
        <w:t>其他外来单位到我镇调研、考察等。</w:t>
      </w:r>
      <w:r>
        <w:rPr>
          <w:rFonts w:ascii="Times New Roman" w:hAnsi="Times New Roman" w:eastAsia="方正仿宋_GBK" w:cs="方正仿宋_GBK"/>
          <w:sz w:val="32"/>
          <w:szCs w:val="32"/>
          <w:shd w:val="clear" w:color="auto" w:fill="FFFFFF"/>
        </w:rPr>
        <w:t>费用支出较年初预算数减少</w:t>
      </w:r>
      <w:r>
        <w:rPr>
          <w:rFonts w:hint="default" w:ascii="Times New Roman" w:hAnsi="Times New Roman" w:eastAsia="方正仿宋_GBK"/>
          <w:sz w:val="32"/>
          <w:szCs w:val="32"/>
          <w:shd w:val="clear" w:color="auto" w:fill="FFFFFF"/>
        </w:rPr>
        <w:t>4.13万元，下降79.0%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厉行节约、严控支出。</w:t>
      </w:r>
      <w:r>
        <w:rPr>
          <w:rFonts w:ascii="Times New Roman" w:hAnsi="Times New Roman" w:eastAsia="方正仿宋_GBK" w:cs="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0.01万元，下降0.9%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厉行节约、严控支出。</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145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75.86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34.98</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4.19</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4.25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与2023年度相比，增加3.85万元，增长962.5%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会议费开支</w:t>
      </w:r>
      <w:r>
        <w:rPr>
          <w:rFonts w:hint="eastAsia" w:ascii="Times New Roman" w:hAnsi="Times New Roman" w:eastAsia="方正仿宋_GBK" w:cs="方正仿宋_GBK"/>
          <w:sz w:val="32"/>
          <w:szCs w:val="32"/>
          <w:shd w:val="clear" w:color="auto" w:fill="FFFFFF"/>
          <w:lang w:val="en-US" w:eastAsia="zh-CN"/>
        </w:rPr>
        <w:t>增加</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与2023年度相比，减少6.19万元，下降61.0%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职工参加培训</w:t>
      </w:r>
      <w:r>
        <w:rPr>
          <w:rFonts w:hint="eastAsia" w:ascii="Times New Roman" w:hAnsi="Times New Roman" w:eastAsia="方正仿宋_GBK" w:cs="方正仿宋_GBK"/>
          <w:sz w:val="32"/>
          <w:szCs w:val="32"/>
          <w:shd w:val="clear" w:color="auto" w:fill="FFFFFF"/>
          <w:lang w:val="en-US" w:eastAsia="zh-CN"/>
        </w:rPr>
        <w:t>减少</w:t>
      </w:r>
      <w:r>
        <w:rPr>
          <w:rFonts w:hint="eastAsia" w:ascii="Times New Roman" w:hAnsi="Times New Roman" w:eastAsia="方正仿宋_GBK" w:cs="方正仿宋_GBK"/>
          <w:sz w:val="32"/>
          <w:szCs w:val="32"/>
          <w:shd w:val="clear" w:color="auto" w:fill="FFFFFF"/>
        </w:rPr>
        <w:t>，培训费</w:t>
      </w:r>
      <w:r>
        <w:rPr>
          <w:rFonts w:hint="eastAsia" w:ascii="Times New Roman" w:hAnsi="Times New Roman" w:eastAsia="方正仿宋_GBK" w:cs="方正仿宋_GBK"/>
          <w:sz w:val="32"/>
          <w:szCs w:val="32"/>
          <w:shd w:val="clear" w:color="auto" w:fill="FFFFFF"/>
          <w:lang w:val="en-US" w:eastAsia="zh-CN"/>
        </w:rPr>
        <w:t>下降</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与2023年度相比，增加0.53万元，增长27.3%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职工</w:t>
      </w:r>
      <w:r>
        <w:rPr>
          <w:rFonts w:ascii="方正仿宋_GBK" w:hAnsi="方正仿宋_GBK" w:eastAsia="方正仿宋_GBK" w:cs="方正仿宋_GBK"/>
          <w:sz w:val="32"/>
          <w:szCs w:val="32"/>
          <w:shd w:val="clear" w:color="auto" w:fill="FFFFFF"/>
        </w:rPr>
        <w:t>差旅费支出</w:t>
      </w:r>
      <w:r>
        <w:rPr>
          <w:rFonts w:hint="eastAsia" w:ascii="方正仿宋_GBK" w:hAnsi="方正仿宋_GBK" w:eastAsia="方正仿宋_GBK" w:cs="方正仿宋_GBK"/>
          <w:sz w:val="32"/>
          <w:szCs w:val="32"/>
          <w:shd w:val="clear" w:color="auto" w:fill="FFFFFF"/>
          <w:lang w:val="en-US" w:eastAsia="zh-CN"/>
        </w:rPr>
        <w:t>增加。</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color w:val="FF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174.68</w:t>
      </w:r>
      <w:r>
        <w:rPr>
          <w:rFonts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sz w:val="32"/>
          <w:szCs w:val="32"/>
        </w:rPr>
        <w:t>水电费、网络通信费、办公设备维修、办公用品采购、劳务费支出等。</w:t>
      </w:r>
      <w:r>
        <w:rPr>
          <w:rFonts w:ascii="Times New Roman" w:hAnsi="Times New Roman" w:eastAsia="方正仿宋_GBK" w:cs="方正仿宋_GBK"/>
          <w:sz w:val="32"/>
          <w:szCs w:val="32"/>
          <w:shd w:val="clear" w:color="auto" w:fill="FFFFFF"/>
        </w:rPr>
        <w:t>机关运行经费较上年支出数减少</w:t>
      </w:r>
      <w:r>
        <w:rPr>
          <w:rFonts w:hint="default" w:ascii="Times New Roman" w:hAnsi="Times New Roman" w:eastAsia="方正仿宋_GBK"/>
          <w:sz w:val="32"/>
          <w:szCs w:val="32"/>
          <w:shd w:val="clear" w:color="auto" w:fill="FFFFFF"/>
        </w:rPr>
        <w:t>18.28万元，下降9.5%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减少日常运行经费，</w:t>
      </w:r>
      <w:r>
        <w:rPr>
          <w:rFonts w:hint="eastAsia" w:ascii="Times New Roman" w:hAnsi="Times New Roman" w:eastAsia="方正仿宋_GBK"/>
          <w:sz w:val="32"/>
          <w:szCs w:val="32"/>
        </w:rPr>
        <w:t>缩减开支，过“紧日子”。</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720" w:firstLineChars="200"/>
        <w:jc w:val="both"/>
        <w:textAlignment w:val="auto"/>
        <w:rPr>
          <w:rFonts w:hint="default" w:ascii="Times New Roman" w:hAnsi="Times New Roman"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r>
        <w:rPr>
          <w:rFonts w:ascii="Times New Roman" w:hAnsi="Times New Roman" w:eastAsia="方正仿宋_GBK" w:cs="方正仿宋_GBK"/>
          <w:sz w:val="32"/>
          <w:szCs w:val="32"/>
          <w:shd w:val="clear" w:color="auto" w:fill="FFFFFF"/>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1908.55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1052.99</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855.56</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1908.55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1052.99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55.2%</w:t>
      </w:r>
      <w:r>
        <w:rPr>
          <w:rFonts w:ascii="方正仿宋_GBK" w:hAnsi="方正仿宋_GBK" w:eastAsia="方正仿宋_GBK" w:cs="方正仿宋_GBK"/>
          <w:sz w:val="32"/>
          <w:szCs w:val="32"/>
          <w:shd w:val="clear" w:color="auto" w:fill="FFFFFF"/>
        </w:rPr>
        <w:t>。主要用于采购</w:t>
      </w:r>
      <w:r>
        <w:rPr>
          <w:rFonts w:hint="eastAsia" w:ascii="Times New Roman" w:hAnsi="Times New Roman" w:eastAsia="方正仿宋_GBK"/>
          <w:sz w:val="32"/>
          <w:szCs w:val="32"/>
        </w:rPr>
        <w:t>办公设备、办公家具</w:t>
      </w:r>
      <w:r>
        <w:rPr>
          <w:rFonts w:hint="eastAsia" w:ascii="Times New Roman" w:hAnsi="Times New Roman" w:eastAsia="方正仿宋_GBK"/>
          <w:sz w:val="32"/>
          <w:szCs w:val="32"/>
          <w:lang w:eastAsia="zh-CN"/>
        </w:rPr>
        <w:t>。</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720"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leftChars="0" w:right="0" w:rightChars="0" w:firstLine="72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（一）部门自评情况</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72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91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3240.31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bCs/>
          <w:sz w:val="32"/>
        </w:rPr>
        <w:t>从评价情况来看，202</w:t>
      </w:r>
      <w:r>
        <w:rPr>
          <w:rFonts w:hint="eastAsia" w:ascii="Times New Roman" w:hAnsi="Times New Roman" w:eastAsia="方正仿宋_GBK"/>
          <w:bCs/>
          <w:sz w:val="32"/>
          <w:lang w:val="en-US" w:eastAsia="zh-CN"/>
        </w:rPr>
        <w:t>4</w:t>
      </w:r>
      <w:r>
        <w:rPr>
          <w:rFonts w:hint="eastAsia" w:ascii="Times New Roman" w:hAnsi="Times New Roman" w:eastAsia="方正仿宋_GBK"/>
          <w:bCs/>
          <w:sz w:val="32"/>
        </w:rPr>
        <w:t>年我单位牢固树立预算绩效管理意识，</w:t>
      </w:r>
      <w:r>
        <w:rPr>
          <w:rFonts w:hint="eastAsia" w:ascii="Times New Roman" w:hAnsi="Times New Roman" w:eastAsia="方正仿宋_GBK"/>
          <w:bCs/>
          <w:sz w:val="32"/>
          <w:lang w:val="en-US" w:eastAsia="zh-CN"/>
        </w:rPr>
        <w:t>91</w:t>
      </w:r>
      <w:r>
        <w:rPr>
          <w:rFonts w:hint="eastAsia" w:ascii="Times New Roman" w:hAnsi="Times New Roman" w:eastAsia="方正仿宋_GBK"/>
          <w:bCs/>
          <w:sz w:val="32"/>
        </w:rPr>
        <w:t>个项目绩效评价结果均较好</w:t>
      </w:r>
      <w:r>
        <w:rPr>
          <w:rFonts w:hint="eastAsia" w:ascii="Times New Roman" w:hAnsi="Times New Roman" w:eastAsia="方正仿宋_GBK"/>
          <w:bCs/>
          <w:sz w:val="32"/>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12"/>
        <w:tblW w:w="9068" w:type="dxa"/>
        <w:tblInd w:w="0" w:type="dxa"/>
        <w:tblLayout w:type="fixed"/>
        <w:tblCellMar>
          <w:top w:w="0" w:type="dxa"/>
          <w:left w:w="108" w:type="dxa"/>
          <w:bottom w:w="0" w:type="dxa"/>
          <w:right w:w="108" w:type="dxa"/>
        </w:tblCellMar>
      </w:tblPr>
      <w:tblGrid>
        <w:gridCol w:w="1692"/>
        <w:gridCol w:w="2327"/>
        <w:gridCol w:w="1183"/>
        <w:gridCol w:w="1014"/>
        <w:gridCol w:w="849"/>
        <w:gridCol w:w="989"/>
        <w:gridCol w:w="1014"/>
      </w:tblGrid>
      <w:tr>
        <w:tblPrEx>
          <w:tblLayout w:type="fixed"/>
          <w:tblCellMar>
            <w:top w:w="0" w:type="dxa"/>
            <w:left w:w="108" w:type="dxa"/>
            <w:bottom w:w="0" w:type="dxa"/>
            <w:right w:w="108" w:type="dxa"/>
          </w:tblCellMar>
        </w:tblPrEx>
        <w:trPr>
          <w:trHeight w:val="411" w:hRule="atLeast"/>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部门名称</w:t>
            </w:r>
          </w:p>
        </w:tc>
        <w:tc>
          <w:tcPr>
            <w:tcW w:w="7376" w:type="dxa"/>
            <w:gridSpan w:val="6"/>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重庆市綦江区打通镇人民政府</w:t>
            </w:r>
          </w:p>
        </w:tc>
      </w:tr>
      <w:tr>
        <w:tblPrEx>
          <w:tblLayout w:type="fixed"/>
          <w:tblCellMar>
            <w:top w:w="0" w:type="dxa"/>
            <w:left w:w="108" w:type="dxa"/>
            <w:bottom w:w="0" w:type="dxa"/>
            <w:right w:w="108" w:type="dxa"/>
          </w:tblCellMar>
        </w:tblPrEx>
        <w:trPr>
          <w:trHeight w:val="579" w:hRule="atLeast"/>
        </w:trPr>
        <w:tc>
          <w:tcPr>
            <w:tcW w:w="1692"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部门预算执行情况（万元）</w:t>
            </w:r>
          </w:p>
        </w:tc>
        <w:tc>
          <w:tcPr>
            <w:tcW w:w="3510"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全年预算数</w:t>
            </w:r>
          </w:p>
        </w:tc>
        <w:tc>
          <w:tcPr>
            <w:tcW w:w="1863"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全年执行数</w:t>
            </w:r>
          </w:p>
        </w:tc>
        <w:tc>
          <w:tcPr>
            <w:tcW w:w="2003"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全年执行率</w:t>
            </w:r>
          </w:p>
        </w:tc>
      </w:tr>
      <w:tr>
        <w:tblPrEx>
          <w:tblLayout w:type="fixed"/>
          <w:tblCellMar>
            <w:top w:w="0" w:type="dxa"/>
            <w:left w:w="108" w:type="dxa"/>
            <w:bottom w:w="0" w:type="dxa"/>
            <w:right w:w="108" w:type="dxa"/>
          </w:tblCellMar>
        </w:tblPrEx>
        <w:trPr>
          <w:trHeight w:val="551"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sz w:val="28"/>
                <w:szCs w:val="28"/>
              </w:rPr>
            </w:pPr>
          </w:p>
        </w:tc>
        <w:tc>
          <w:tcPr>
            <w:tcW w:w="3510"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hint="eastAsia" w:eastAsia="华文仿宋"/>
                <w:color w:val="000000"/>
                <w:sz w:val="28"/>
                <w:szCs w:val="28"/>
                <w:lang w:eastAsia="zh-CN"/>
              </w:rPr>
            </w:pPr>
            <w:r>
              <w:rPr>
                <w:rFonts w:hint="eastAsia" w:ascii="宋体" w:hAnsi="宋体" w:eastAsia="宋体" w:cs="宋体"/>
                <w:sz w:val="24"/>
                <w:szCs w:val="24"/>
                <w:lang w:val="en-US" w:eastAsia="zh-CN"/>
              </w:rPr>
              <w:t>6643.01</w:t>
            </w:r>
          </w:p>
        </w:tc>
        <w:tc>
          <w:tcPr>
            <w:tcW w:w="1863"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hint="eastAsia" w:eastAsia="华文仿宋"/>
                <w:color w:val="000000"/>
                <w:sz w:val="28"/>
                <w:szCs w:val="28"/>
                <w:lang w:eastAsia="zh-CN"/>
              </w:rPr>
            </w:pPr>
            <w:r>
              <w:rPr>
                <w:rFonts w:hint="eastAsia" w:ascii="宋体" w:hAnsi="宋体" w:eastAsia="宋体" w:cs="宋体"/>
                <w:sz w:val="24"/>
                <w:szCs w:val="24"/>
                <w:lang w:val="en-US" w:eastAsia="zh-CN"/>
              </w:rPr>
              <w:t>5444.47</w:t>
            </w:r>
          </w:p>
        </w:tc>
        <w:tc>
          <w:tcPr>
            <w:tcW w:w="2003"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2"/>
                <w:szCs w:val="22"/>
              </w:rPr>
            </w:pPr>
            <w:r>
              <w:rPr>
                <w:rFonts w:ascii="宋体" w:hAnsi="宋体" w:eastAsia="宋体" w:cs="宋体"/>
                <w:sz w:val="24"/>
                <w:szCs w:val="24"/>
              </w:rPr>
              <w:t>8</w:t>
            </w:r>
            <w:r>
              <w:rPr>
                <w:rFonts w:hint="eastAsia" w:ascii="宋体" w:hAnsi="宋体" w:eastAsia="宋体" w:cs="宋体"/>
                <w:sz w:val="24"/>
                <w:szCs w:val="24"/>
                <w:lang w:val="en-US" w:eastAsia="zh-CN"/>
              </w:rPr>
              <w:t>1.96</w:t>
            </w:r>
            <w:r>
              <w:rPr>
                <w:rFonts w:hint="eastAsia"/>
                <w:color w:val="000000"/>
                <w:sz w:val="22"/>
                <w:szCs w:val="22"/>
              </w:rPr>
              <w:t>%</w:t>
            </w:r>
          </w:p>
        </w:tc>
      </w:tr>
      <w:tr>
        <w:tblPrEx>
          <w:tblLayout w:type="fixed"/>
          <w:tblCellMar>
            <w:top w:w="0" w:type="dxa"/>
            <w:left w:w="108" w:type="dxa"/>
            <w:bottom w:w="0" w:type="dxa"/>
            <w:right w:w="108" w:type="dxa"/>
          </w:tblCellMar>
        </w:tblPrEx>
        <w:trPr>
          <w:trHeight w:val="617" w:hRule="atLeast"/>
        </w:trPr>
        <w:tc>
          <w:tcPr>
            <w:tcW w:w="1692"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当年整体绩效目标</w:t>
            </w:r>
          </w:p>
        </w:tc>
        <w:tc>
          <w:tcPr>
            <w:tcW w:w="5373" w:type="dxa"/>
            <w:gridSpan w:val="4"/>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全年绩效目标</w:t>
            </w:r>
          </w:p>
        </w:tc>
        <w:tc>
          <w:tcPr>
            <w:tcW w:w="2003"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全年完成情况</w:t>
            </w:r>
          </w:p>
        </w:tc>
      </w:tr>
      <w:tr>
        <w:tblPrEx>
          <w:tblLayout w:type="fixed"/>
          <w:tblCellMar>
            <w:top w:w="0" w:type="dxa"/>
            <w:left w:w="108" w:type="dxa"/>
            <w:bottom w:w="0" w:type="dxa"/>
            <w:right w:w="108" w:type="dxa"/>
          </w:tblCellMar>
        </w:tblPrEx>
        <w:trPr>
          <w:trHeight w:val="2665"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sz w:val="28"/>
                <w:szCs w:val="28"/>
              </w:rPr>
            </w:pPr>
          </w:p>
        </w:tc>
        <w:tc>
          <w:tcPr>
            <w:tcW w:w="5373" w:type="dxa"/>
            <w:gridSpan w:val="4"/>
            <w:tcBorders>
              <w:top w:val="single" w:color="auto" w:sz="4" w:space="0"/>
              <w:left w:val="nil"/>
              <w:bottom w:val="single" w:color="auto" w:sz="4" w:space="0"/>
              <w:right w:val="single" w:color="000000"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坚持以习近平新时代中国特色社会主义思想为指导，深入贯彻党的二十大和二十届一中、二中全会精神，紧紧围绕习近平总书记对重庆提出的“两点”定位、“两地”“两高”目标、发挥“三个作用”和营造良好政治生态的重要指示要求，切实增强人民获得感、幸福感、安全感，持续营造风清气正的良好政治生态，保持镇经济持续健康发展和社会大局稳定</w:t>
            </w:r>
            <w:r>
              <w:rPr>
                <w:rFonts w:eastAsia="华文仿宋"/>
                <w:sz w:val="28"/>
                <w:szCs w:val="28"/>
              </w:rPr>
              <w:t>。</w:t>
            </w:r>
          </w:p>
        </w:tc>
        <w:tc>
          <w:tcPr>
            <w:tcW w:w="2003"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完成</w:t>
            </w:r>
          </w:p>
        </w:tc>
      </w:tr>
      <w:tr>
        <w:tblPrEx>
          <w:tblLayout w:type="fixed"/>
          <w:tblCellMar>
            <w:top w:w="0" w:type="dxa"/>
            <w:left w:w="108" w:type="dxa"/>
            <w:bottom w:w="0" w:type="dxa"/>
            <w:right w:w="108" w:type="dxa"/>
          </w:tblCellMar>
        </w:tblPrEx>
        <w:trPr>
          <w:trHeight w:val="987" w:hRule="atLeast"/>
        </w:trPr>
        <w:tc>
          <w:tcPr>
            <w:tcW w:w="1692"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eastAsia="华文仿宋"/>
                <w:color w:val="000000"/>
                <w:sz w:val="28"/>
                <w:szCs w:val="28"/>
              </w:rPr>
            </w:pPr>
            <w:r>
              <w:rPr>
                <w:rFonts w:hint="eastAsia" w:eastAsia="华文仿宋"/>
                <w:color w:val="000000"/>
                <w:sz w:val="28"/>
                <w:szCs w:val="28"/>
              </w:rPr>
              <w:t>绩效指标</w:t>
            </w:r>
          </w:p>
        </w:tc>
        <w:tc>
          <w:tcPr>
            <w:tcW w:w="2327"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指标名称</w:t>
            </w:r>
          </w:p>
        </w:tc>
        <w:tc>
          <w:tcPr>
            <w:tcW w:w="1183"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指标性质</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指标值</w:t>
            </w:r>
          </w:p>
        </w:tc>
        <w:tc>
          <w:tcPr>
            <w:tcW w:w="849"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b/>
                <w:bCs/>
                <w:sz w:val="28"/>
                <w:szCs w:val="28"/>
              </w:rPr>
            </w:pPr>
            <w:r>
              <w:rPr>
                <w:rFonts w:hint="eastAsia" w:eastAsia="华文仿宋"/>
                <w:b/>
                <w:bCs/>
                <w:sz w:val="28"/>
                <w:szCs w:val="28"/>
              </w:rPr>
              <w:t>计量单位</w:t>
            </w:r>
          </w:p>
        </w:tc>
        <w:tc>
          <w:tcPr>
            <w:tcW w:w="989"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1-12月完成值</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完成程度（%）</w:t>
            </w:r>
          </w:p>
        </w:tc>
      </w:tr>
      <w:tr>
        <w:tblPrEx>
          <w:tblLayout w:type="fixed"/>
          <w:tblCellMar>
            <w:top w:w="0" w:type="dxa"/>
            <w:left w:w="108" w:type="dxa"/>
            <w:bottom w:w="0" w:type="dxa"/>
            <w:right w:w="108" w:type="dxa"/>
          </w:tblCellMar>
        </w:tblPrEx>
        <w:trPr>
          <w:trHeight w:val="469"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信访事项及时处理率</w:t>
            </w:r>
          </w:p>
        </w:tc>
        <w:tc>
          <w:tcPr>
            <w:tcW w:w="1183"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90</w:t>
            </w:r>
          </w:p>
        </w:tc>
        <w:tc>
          <w:tcPr>
            <w:tcW w:w="849"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989"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华文仿宋"/>
                <w:sz w:val="28"/>
                <w:szCs w:val="28"/>
                <w:lang w:eastAsia="zh-CN"/>
              </w:rPr>
            </w:pPr>
            <w:r>
              <w:rPr>
                <w:rFonts w:hint="eastAsia" w:eastAsia="华文仿宋"/>
                <w:sz w:val="28"/>
                <w:szCs w:val="28"/>
                <w:lang w:val="en-US" w:eastAsia="zh-CN"/>
              </w:rPr>
              <w:t>90</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100%</w:t>
            </w:r>
          </w:p>
        </w:tc>
      </w:tr>
      <w:tr>
        <w:tblPrEx>
          <w:tblLayout w:type="fixed"/>
          <w:tblCellMar>
            <w:top w:w="0" w:type="dxa"/>
            <w:left w:w="108" w:type="dxa"/>
            <w:bottom w:w="0" w:type="dxa"/>
            <w:right w:w="108" w:type="dxa"/>
          </w:tblCellMar>
        </w:tblPrEx>
        <w:trPr>
          <w:trHeight w:val="469"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三公经费支出增长率</w:t>
            </w:r>
          </w:p>
        </w:tc>
        <w:tc>
          <w:tcPr>
            <w:tcW w:w="1183"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0</w:t>
            </w:r>
          </w:p>
        </w:tc>
        <w:tc>
          <w:tcPr>
            <w:tcW w:w="849"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989"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华文仿宋"/>
                <w:sz w:val="28"/>
                <w:szCs w:val="28"/>
                <w:lang w:eastAsia="zh-CN"/>
              </w:rPr>
            </w:pPr>
            <w:r>
              <w:rPr>
                <w:rFonts w:hint="eastAsia" w:eastAsia="华文仿宋"/>
                <w:sz w:val="28"/>
                <w:szCs w:val="28"/>
              </w:rPr>
              <w:t>0</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100%</w:t>
            </w:r>
          </w:p>
        </w:tc>
      </w:tr>
      <w:tr>
        <w:tblPrEx>
          <w:tblLayout w:type="fixed"/>
          <w:tblCellMar>
            <w:top w:w="0" w:type="dxa"/>
            <w:left w:w="108" w:type="dxa"/>
            <w:bottom w:w="0" w:type="dxa"/>
            <w:right w:w="108" w:type="dxa"/>
          </w:tblCellMar>
        </w:tblPrEx>
        <w:trPr>
          <w:trHeight w:val="469"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服务对象满意度</w:t>
            </w:r>
          </w:p>
        </w:tc>
        <w:tc>
          <w:tcPr>
            <w:tcW w:w="1183"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华文仿宋"/>
                <w:sz w:val="28"/>
                <w:szCs w:val="28"/>
                <w:lang w:eastAsia="zh-CN"/>
              </w:rPr>
            </w:pPr>
            <w:r>
              <w:rPr>
                <w:rFonts w:hint="eastAsia" w:eastAsia="华文仿宋"/>
                <w:sz w:val="28"/>
                <w:szCs w:val="28"/>
                <w:lang w:val="en-US" w:eastAsia="zh-CN"/>
              </w:rPr>
              <w:t>90</w:t>
            </w:r>
          </w:p>
        </w:tc>
        <w:tc>
          <w:tcPr>
            <w:tcW w:w="849"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989"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华文仿宋"/>
                <w:sz w:val="28"/>
                <w:szCs w:val="28"/>
                <w:lang w:eastAsia="zh-CN"/>
              </w:rPr>
            </w:pPr>
            <w:r>
              <w:rPr>
                <w:rFonts w:hint="eastAsia" w:eastAsia="华文仿宋"/>
                <w:sz w:val="28"/>
                <w:szCs w:val="28"/>
                <w:lang w:val="en-US" w:eastAsia="zh-CN"/>
              </w:rPr>
              <w:t>90</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100%</w:t>
            </w:r>
          </w:p>
        </w:tc>
      </w:tr>
      <w:tr>
        <w:tblPrEx>
          <w:tblLayout w:type="fixed"/>
          <w:tblCellMar>
            <w:top w:w="0" w:type="dxa"/>
            <w:left w:w="108" w:type="dxa"/>
            <w:bottom w:w="0" w:type="dxa"/>
            <w:right w:w="108" w:type="dxa"/>
          </w:tblCellMar>
        </w:tblPrEx>
        <w:trPr>
          <w:trHeight w:val="469"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资金及时支付率</w:t>
            </w:r>
          </w:p>
        </w:tc>
        <w:tc>
          <w:tcPr>
            <w:tcW w:w="1183"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华文仿宋"/>
                <w:sz w:val="28"/>
                <w:szCs w:val="28"/>
                <w:lang w:eastAsia="zh-CN"/>
              </w:rPr>
            </w:pPr>
            <w:r>
              <w:rPr>
                <w:rFonts w:hint="eastAsia" w:eastAsia="华文仿宋"/>
                <w:sz w:val="28"/>
                <w:szCs w:val="28"/>
                <w:lang w:val="en-US" w:eastAsia="zh-CN"/>
              </w:rPr>
              <w:t>85</w:t>
            </w:r>
          </w:p>
        </w:tc>
        <w:tc>
          <w:tcPr>
            <w:tcW w:w="849"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w:t>
            </w:r>
          </w:p>
        </w:tc>
        <w:tc>
          <w:tcPr>
            <w:tcW w:w="989"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华文仿宋"/>
                <w:sz w:val="28"/>
                <w:szCs w:val="28"/>
                <w:lang w:eastAsia="zh-CN"/>
              </w:rPr>
            </w:pPr>
            <w:r>
              <w:rPr>
                <w:rFonts w:hint="eastAsia" w:eastAsia="华文仿宋"/>
                <w:sz w:val="28"/>
                <w:szCs w:val="28"/>
                <w:lang w:val="en-US" w:eastAsia="zh-CN"/>
              </w:rPr>
              <w:t>85</w:t>
            </w:r>
          </w:p>
        </w:tc>
        <w:tc>
          <w:tcPr>
            <w:tcW w:w="1014" w:type="dxa"/>
            <w:tcBorders>
              <w:top w:val="nil"/>
              <w:left w:val="nil"/>
              <w:bottom w:val="single" w:color="auto" w:sz="4" w:space="0"/>
              <w:right w:val="single" w:color="auto" w:sz="4" w:space="0"/>
            </w:tcBorders>
            <w:shd w:val="clear" w:color="auto" w:fill="auto"/>
            <w:vAlign w:val="center"/>
          </w:tcPr>
          <w:p>
            <w:pPr>
              <w:widowControl w:val="0"/>
              <w:jc w:val="center"/>
              <w:rPr>
                <w:rFonts w:eastAsia="华文仿宋"/>
                <w:sz w:val="28"/>
                <w:szCs w:val="28"/>
              </w:rPr>
            </w:pPr>
            <w:r>
              <w:rPr>
                <w:rFonts w:hint="eastAsia" w:eastAsia="华文仿宋"/>
                <w:sz w:val="28"/>
                <w:szCs w:val="28"/>
              </w:rPr>
              <w:t>100%</w:t>
            </w:r>
          </w:p>
        </w:tc>
      </w:tr>
      <w:tr>
        <w:tblPrEx>
          <w:tblLayout w:type="fixed"/>
          <w:tblCellMar>
            <w:top w:w="0" w:type="dxa"/>
            <w:left w:w="108" w:type="dxa"/>
            <w:bottom w:w="0" w:type="dxa"/>
            <w:right w:w="108" w:type="dxa"/>
          </w:tblCellMar>
        </w:tblPrEx>
        <w:trPr>
          <w:trHeight w:val="469"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城乡居民人均可支配收入增长率</w:t>
            </w:r>
          </w:p>
        </w:tc>
        <w:tc>
          <w:tcPr>
            <w:tcW w:w="1183"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r>
              <w:rPr>
                <w:rFonts w:hint="eastAsia" w:eastAsia="华文仿宋"/>
                <w:sz w:val="28"/>
                <w:szCs w:val="28"/>
                <w:lang w:val="en-US" w:eastAsia="zh-CN"/>
              </w:rPr>
              <w:t>7</w:t>
            </w:r>
          </w:p>
        </w:tc>
        <w:tc>
          <w:tcPr>
            <w:tcW w:w="849"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989"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r>
              <w:rPr>
                <w:rFonts w:hint="eastAsia" w:eastAsia="华文仿宋"/>
                <w:sz w:val="28"/>
                <w:szCs w:val="28"/>
                <w:lang w:val="en-US" w:eastAsia="zh-CN"/>
              </w:rPr>
              <w:t>7</w:t>
            </w:r>
          </w:p>
        </w:tc>
        <w:tc>
          <w:tcPr>
            <w:tcW w:w="1014"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100%</w:t>
            </w:r>
          </w:p>
        </w:tc>
      </w:tr>
      <w:tr>
        <w:tblPrEx>
          <w:tblLayout w:type="fixed"/>
          <w:tblCellMar>
            <w:top w:w="0" w:type="dxa"/>
            <w:left w:w="108" w:type="dxa"/>
            <w:bottom w:w="0" w:type="dxa"/>
            <w:right w:w="108" w:type="dxa"/>
          </w:tblCellMar>
        </w:tblPrEx>
        <w:trPr>
          <w:trHeight w:val="290"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183"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849"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989"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r>
      <w:tr>
        <w:tblPrEx>
          <w:tblLayout w:type="fixed"/>
          <w:tblCellMar>
            <w:top w:w="0" w:type="dxa"/>
            <w:left w:w="108" w:type="dxa"/>
            <w:bottom w:w="0" w:type="dxa"/>
            <w:right w:w="108" w:type="dxa"/>
          </w:tblCellMar>
        </w:tblPrEx>
        <w:trPr>
          <w:trHeight w:val="469" w:hRule="atLeast"/>
        </w:trPr>
        <w:tc>
          <w:tcPr>
            <w:tcW w:w="1692" w:type="dxa"/>
            <w:vMerge w:val="continue"/>
            <w:tcBorders>
              <w:top w:val="nil"/>
              <w:left w:val="single" w:color="auto" w:sz="4" w:space="0"/>
              <w:bottom w:val="single" w:color="auto" w:sz="4" w:space="0"/>
              <w:right w:val="single" w:color="auto" w:sz="4" w:space="0"/>
            </w:tcBorders>
            <w:vAlign w:val="center"/>
          </w:tcPr>
          <w:p>
            <w:pPr>
              <w:widowControl w:val="0"/>
              <w:rPr>
                <w:rFonts w:eastAsia="华文仿宋"/>
                <w:color w:val="000000"/>
                <w:sz w:val="28"/>
                <w:szCs w:val="28"/>
              </w:rPr>
            </w:pPr>
          </w:p>
        </w:tc>
        <w:tc>
          <w:tcPr>
            <w:tcW w:w="2327"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183"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849"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989"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val="0"/>
              <w:rPr>
                <w:rFonts w:eastAsia="华文仿宋"/>
                <w:sz w:val="28"/>
                <w:szCs w:val="28"/>
              </w:rPr>
            </w:pPr>
            <w:r>
              <w:rPr>
                <w:rFonts w:hint="eastAsia" w:eastAsia="华文仿宋"/>
                <w:sz w:val="28"/>
                <w:szCs w:val="28"/>
              </w:rPr>
              <w:t>　</w:t>
            </w:r>
          </w:p>
        </w:tc>
      </w:tr>
    </w:tbl>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绩效目标自评表-一般性项目</w:t>
      </w:r>
    </w:p>
    <w:tbl>
      <w:tblPr>
        <w:tblStyle w:val="12"/>
        <w:tblW w:w="9070" w:type="dxa"/>
        <w:tblInd w:w="0" w:type="dxa"/>
        <w:tblLayout w:type="fixed"/>
        <w:tblCellMar>
          <w:top w:w="0" w:type="dxa"/>
          <w:left w:w="108" w:type="dxa"/>
          <w:bottom w:w="0" w:type="dxa"/>
          <w:right w:w="108" w:type="dxa"/>
        </w:tblCellMar>
      </w:tblPr>
      <w:tblGrid>
        <w:gridCol w:w="1295"/>
        <w:gridCol w:w="518"/>
        <w:gridCol w:w="777"/>
        <w:gridCol w:w="433"/>
        <w:gridCol w:w="604"/>
        <w:gridCol w:w="258"/>
        <w:gridCol w:w="649"/>
        <w:gridCol w:w="646"/>
        <w:gridCol w:w="260"/>
        <w:gridCol w:w="607"/>
        <w:gridCol w:w="428"/>
        <w:gridCol w:w="778"/>
        <w:gridCol w:w="517"/>
        <w:gridCol w:w="1300"/>
      </w:tblGrid>
      <w:tr>
        <w:tblPrEx>
          <w:tblLayout w:type="fixed"/>
          <w:tblCellMar>
            <w:top w:w="0" w:type="dxa"/>
            <w:left w:w="108" w:type="dxa"/>
            <w:bottom w:w="0" w:type="dxa"/>
            <w:right w:w="108" w:type="dxa"/>
          </w:tblCellMar>
        </w:tblPrEx>
        <w:trPr>
          <w:trHeight w:val="936" w:hRule="atLeast"/>
        </w:trPr>
        <w:tc>
          <w:tcPr>
            <w:tcW w:w="30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color w:val="000000"/>
                <w:sz w:val="20"/>
                <w:szCs w:val="20"/>
              </w:rPr>
            </w:pPr>
            <w:r>
              <w:rPr>
                <w:rFonts w:hint="eastAsia"/>
                <w:color w:val="000000"/>
                <w:sz w:val="20"/>
                <w:szCs w:val="20"/>
              </w:rPr>
              <w:t>提前下达2021年城市棚户区改造补助资金（直达资金）（结转）-打通镇棚户区改造项目</w:t>
            </w:r>
          </w:p>
        </w:tc>
        <w:tc>
          <w:tcPr>
            <w:tcW w:w="3024" w:type="dxa"/>
            <w:gridSpan w:val="6"/>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自评总分</w:t>
            </w:r>
            <w:r>
              <w:rPr>
                <w:rFonts w:hint="eastAsia"/>
                <w:color w:val="000000"/>
                <w:sz w:val="20"/>
                <w:szCs w:val="20"/>
              </w:rPr>
              <w:br w:type="textWrapping"/>
            </w:r>
            <w:r>
              <w:rPr>
                <w:rFonts w:hint="eastAsia"/>
                <w:color w:val="000000"/>
                <w:sz w:val="20"/>
                <w:szCs w:val="20"/>
              </w:rPr>
              <w:t>（分)</w:t>
            </w:r>
          </w:p>
        </w:tc>
        <w:tc>
          <w:tcPr>
            <w:tcW w:w="3023" w:type="dxa"/>
            <w:gridSpan w:val="4"/>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99.94</w:t>
            </w:r>
          </w:p>
        </w:tc>
      </w:tr>
      <w:tr>
        <w:tblPrEx>
          <w:tblLayout w:type="fixed"/>
          <w:tblCellMar>
            <w:top w:w="0" w:type="dxa"/>
            <w:left w:w="108" w:type="dxa"/>
            <w:bottom w:w="0" w:type="dxa"/>
            <w:right w:w="108" w:type="dxa"/>
          </w:tblCellMar>
        </w:tblPrEx>
        <w:trPr>
          <w:trHeight w:val="936" w:hRule="atLeast"/>
        </w:trPr>
        <w:tc>
          <w:tcPr>
            <w:tcW w:w="30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重庆市綦江区打通镇人民政府</w:t>
            </w:r>
          </w:p>
        </w:tc>
        <w:tc>
          <w:tcPr>
            <w:tcW w:w="3024" w:type="dxa"/>
            <w:gridSpan w:val="6"/>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联系人</w:t>
            </w:r>
            <w:r>
              <w:rPr>
                <w:rFonts w:hint="eastAsia"/>
                <w:color w:val="000000"/>
                <w:sz w:val="20"/>
                <w:szCs w:val="20"/>
              </w:rPr>
              <w:br w:type="textWrapping"/>
            </w:r>
            <w:r>
              <w:rPr>
                <w:rFonts w:hint="eastAsia"/>
                <w:color w:val="000000"/>
                <w:sz w:val="20"/>
                <w:szCs w:val="20"/>
              </w:rPr>
              <w:t>及电话</w:t>
            </w:r>
          </w:p>
        </w:tc>
        <w:tc>
          <w:tcPr>
            <w:tcW w:w="302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48700125</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nil"/>
            </w:tcBorders>
            <w:shd w:val="clear" w:color="auto" w:fill="auto"/>
            <w:vAlign w:val="center"/>
          </w:tcPr>
          <w:p>
            <w:pPr>
              <w:widowControl w:val="0"/>
              <w:rPr>
                <w:color w:val="000000"/>
                <w:sz w:val="20"/>
                <w:szCs w:val="20"/>
              </w:rPr>
            </w:pPr>
            <w:r>
              <w:rPr>
                <w:rFonts w:hint="eastAsia"/>
                <w:color w:val="000000"/>
                <w:sz w:val="20"/>
                <w:szCs w:val="20"/>
              </w:rPr>
              <w:t>　</w:t>
            </w:r>
          </w:p>
        </w:tc>
        <w:tc>
          <w:tcPr>
            <w:tcW w:w="1814" w:type="dxa"/>
            <w:gridSpan w:val="3"/>
            <w:tcBorders>
              <w:top w:val="single" w:color="auto" w:sz="4" w:space="0"/>
              <w:left w:val="single" w:color="auto" w:sz="4" w:space="0"/>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全年预算数（A）</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全年执行数（B）</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执行率%（B/A）</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执行率得分（分）</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rPr>
                <w:color w:val="000000"/>
                <w:sz w:val="20"/>
                <w:szCs w:val="20"/>
              </w:rPr>
            </w:pPr>
            <w:r>
              <w:rPr>
                <w:rFonts w:hint="eastAsia"/>
                <w:color w:val="000000"/>
                <w:sz w:val="20"/>
                <w:szCs w:val="20"/>
              </w:rPr>
              <w:t>年度资金总额</w:t>
            </w:r>
            <w:r>
              <w:rPr>
                <w:rFonts w:hint="eastAsia"/>
                <w:color w:val="000000"/>
                <w:sz w:val="20"/>
                <w:szCs w:val="20"/>
                <w:lang w:eastAsia="zh-CN"/>
              </w:rPr>
              <w:t>（</w:t>
            </w:r>
            <w:r>
              <w:rPr>
                <w:rFonts w:hint="eastAsia"/>
                <w:color w:val="000000"/>
                <w:sz w:val="20"/>
                <w:szCs w:val="20"/>
                <w:lang w:val="en-US" w:eastAsia="zh-CN"/>
              </w:rPr>
              <w:t>元</w:t>
            </w:r>
            <w:r>
              <w:rPr>
                <w:rFonts w:hint="eastAsia"/>
                <w:color w:val="000000"/>
                <w:sz w:val="20"/>
                <w:szCs w:val="20"/>
                <w:lang w:eastAsia="zh-CN"/>
              </w:rPr>
              <w:t>）</w:t>
            </w:r>
            <w:r>
              <w:rPr>
                <w:rFonts w:hint="eastAsia"/>
                <w:color w:val="000000"/>
                <w:sz w:val="20"/>
                <w:szCs w:val="20"/>
              </w:rPr>
              <w:t>：</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1973020.25</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1960970.25</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99.39%</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9.94</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其中：中央补助</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市级补助</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区级资金</w:t>
            </w:r>
          </w:p>
        </w:tc>
        <w:tc>
          <w:tcPr>
            <w:tcW w:w="1814" w:type="dxa"/>
            <w:gridSpan w:val="3"/>
            <w:tcBorders>
              <w:top w:val="single" w:color="auto" w:sz="4" w:space="0"/>
              <w:left w:val="nil"/>
              <w:bottom w:val="single" w:color="auto" w:sz="4" w:space="0"/>
              <w:right w:val="nil"/>
            </w:tcBorders>
            <w:shd w:val="clear" w:color="auto" w:fill="auto"/>
            <w:vAlign w:val="center"/>
          </w:tcPr>
          <w:p>
            <w:pPr>
              <w:keepNext w:val="0"/>
              <w:keepLines w:val="0"/>
              <w:widowControl/>
              <w:suppressLineNumbers w:val="0"/>
              <w:ind w:firstLine="240" w:firstLineChars="100"/>
              <w:jc w:val="center"/>
              <w:textAlignment w:val="center"/>
              <w:rPr>
                <w:color w:val="000000"/>
                <w:sz w:val="20"/>
                <w:szCs w:val="20"/>
              </w:rPr>
            </w:pPr>
            <w:r>
              <w:rPr>
                <w:rFonts w:hint="eastAsia" w:ascii="宋体" w:hAnsi="宋体" w:eastAsia="宋体" w:cs="宋体"/>
                <w:sz w:val="24"/>
                <w:szCs w:val="24"/>
              </w:rPr>
              <w:t>1973020.25</w:t>
            </w:r>
          </w:p>
        </w:tc>
        <w:tc>
          <w:tcPr>
            <w:tcW w:w="1813"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color w:val="000000"/>
                <w:sz w:val="20"/>
                <w:szCs w:val="20"/>
              </w:rPr>
            </w:pPr>
            <w:r>
              <w:rPr>
                <w:rFonts w:hint="eastAsia" w:ascii="宋体" w:hAnsi="宋体" w:eastAsia="宋体" w:cs="宋体"/>
                <w:sz w:val="24"/>
                <w:szCs w:val="24"/>
              </w:rPr>
              <w:t>1960970.25</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99.39%</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其他资金</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45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年初设定目标</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全年目标实际完成情况</w:t>
            </w:r>
          </w:p>
        </w:tc>
      </w:tr>
      <w:tr>
        <w:tblPrEx>
          <w:tblLayout w:type="fixed"/>
          <w:tblCellMar>
            <w:top w:w="0" w:type="dxa"/>
            <w:left w:w="108" w:type="dxa"/>
            <w:bottom w:w="0" w:type="dxa"/>
            <w:right w:w="108" w:type="dxa"/>
          </w:tblCellMar>
        </w:tblPrEx>
        <w:trPr>
          <w:trHeight w:val="936" w:hRule="atLeast"/>
        </w:trPr>
        <w:tc>
          <w:tcPr>
            <w:tcW w:w="45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color w:val="000000"/>
                <w:sz w:val="20"/>
                <w:szCs w:val="20"/>
              </w:rPr>
            </w:pPr>
            <w:r>
              <w:rPr>
                <w:rFonts w:hint="eastAsia" w:ascii="宋体" w:hAnsi="宋体" w:eastAsia="宋体" w:cs="宋体"/>
                <w:sz w:val="24"/>
                <w:szCs w:val="24"/>
              </w:rPr>
              <w:t>实施完成打通镇棚户区改造项目</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ascii="宋体" w:hAnsi="宋体" w:eastAsia="宋体" w:cs="宋体"/>
                <w:sz w:val="24"/>
                <w:szCs w:val="24"/>
              </w:rPr>
              <w:t>实施完成打通镇棚户区改造项目</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指标名称</w:t>
            </w:r>
            <w:r>
              <w:rPr>
                <w:rFonts w:hint="eastAsia"/>
                <w:color w:val="000000"/>
                <w:sz w:val="20"/>
                <w:szCs w:val="20"/>
              </w:rPr>
              <w:br w:type="textWrapping"/>
            </w:r>
            <w:r>
              <w:rPr>
                <w:rFonts w:hint="eastAsia"/>
                <w:color w:val="000000"/>
                <w:sz w:val="20"/>
                <w:szCs w:val="20"/>
              </w:rPr>
              <w:t>（三级指标）</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计量单位</w:t>
            </w:r>
          </w:p>
        </w:tc>
        <w:tc>
          <w:tcPr>
            <w:tcW w:w="1295" w:type="dxa"/>
            <w:gridSpan w:val="3"/>
            <w:tcBorders>
              <w:top w:val="nil"/>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指标权重</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指标值</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全年完成值</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得分系数（%）</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指标得分</w:t>
            </w:r>
            <w:r>
              <w:rPr>
                <w:rFonts w:hint="eastAsia"/>
                <w:color w:val="000000"/>
                <w:sz w:val="20"/>
                <w:szCs w:val="20"/>
              </w:rPr>
              <w:br w:type="textWrapping"/>
            </w:r>
            <w:r>
              <w:rPr>
                <w:rFonts w:hint="eastAsia"/>
                <w:color w:val="000000"/>
                <w:sz w:val="20"/>
                <w:szCs w:val="20"/>
              </w:rPr>
              <w:t>（分)</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240" w:firstLineChars="100"/>
              <w:jc w:val="left"/>
              <w:textAlignment w:val="center"/>
              <w:rPr>
                <w:color w:val="000000"/>
                <w:sz w:val="20"/>
                <w:szCs w:val="20"/>
              </w:rPr>
            </w:pPr>
            <w:r>
              <w:rPr>
                <w:rFonts w:hint="eastAsia" w:ascii="宋体" w:hAnsi="宋体" w:eastAsia="宋体" w:cs="宋体"/>
                <w:sz w:val="24"/>
                <w:szCs w:val="24"/>
              </w:rPr>
              <w:t>棚户区改造涉及楼栋数</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eastAsia" w:ascii="宋体" w:hAnsi="宋体" w:eastAsia="宋体" w:cs="宋体"/>
                <w:sz w:val="24"/>
                <w:szCs w:val="24"/>
              </w:rPr>
              <w:t>座</w:t>
            </w:r>
          </w:p>
        </w:tc>
        <w:tc>
          <w:tcPr>
            <w:tcW w:w="1295" w:type="dxa"/>
            <w:gridSpan w:val="3"/>
            <w:tcBorders>
              <w:top w:val="nil"/>
              <w:left w:val="nil"/>
              <w:bottom w:val="single" w:color="auto" w:sz="4" w:space="0"/>
              <w:right w:val="nil"/>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20</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w:t>
            </w:r>
          </w:p>
        </w:tc>
        <w:tc>
          <w:tcPr>
            <w:tcW w:w="12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20</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240" w:firstLineChars="100"/>
              <w:jc w:val="left"/>
              <w:textAlignment w:val="center"/>
              <w:rPr>
                <w:color w:val="000000"/>
                <w:sz w:val="20"/>
                <w:szCs w:val="20"/>
              </w:rPr>
            </w:pPr>
            <w:r>
              <w:rPr>
                <w:rFonts w:hint="eastAsia" w:ascii="宋体" w:hAnsi="宋体" w:eastAsia="宋体" w:cs="宋体"/>
                <w:sz w:val="24"/>
                <w:szCs w:val="24"/>
              </w:rPr>
              <w:t>棚户区改造涉及群众户数</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eastAsia" w:ascii="宋体" w:hAnsi="宋体" w:eastAsia="宋体" w:cs="宋体"/>
                <w:sz w:val="24"/>
                <w:szCs w:val="24"/>
              </w:rPr>
              <w:t>户</w:t>
            </w:r>
          </w:p>
        </w:tc>
        <w:tc>
          <w:tcPr>
            <w:tcW w:w="1295" w:type="dxa"/>
            <w:gridSpan w:val="3"/>
            <w:tcBorders>
              <w:top w:val="nil"/>
              <w:left w:val="nil"/>
              <w:bottom w:val="single" w:color="auto" w:sz="4" w:space="0"/>
              <w:right w:val="nil"/>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20</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70</w:t>
            </w:r>
          </w:p>
        </w:tc>
        <w:tc>
          <w:tcPr>
            <w:tcW w:w="12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70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color w:val="000000"/>
                <w:sz w:val="20"/>
                <w:szCs w:val="20"/>
              </w:rPr>
            </w:pPr>
            <w:r>
              <w:rPr>
                <w:rFonts w:hint="eastAsia"/>
                <w:color w:val="000000"/>
                <w:sz w:val="20"/>
                <w:szCs w:val="20"/>
                <w:lang w:val="en-US" w:eastAsia="zh-CN"/>
              </w:rPr>
              <w:t>20</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r>
              <w:rPr>
                <w:rFonts w:hint="eastAsia" w:ascii="宋体" w:hAnsi="宋体" w:eastAsia="宋体" w:cs="宋体"/>
                <w:sz w:val="24"/>
                <w:szCs w:val="24"/>
              </w:rPr>
              <w:t>施工期间安全事故发生数</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案件数</w:t>
            </w:r>
          </w:p>
        </w:tc>
        <w:tc>
          <w:tcPr>
            <w:tcW w:w="1295" w:type="dxa"/>
            <w:gridSpan w:val="3"/>
            <w:tcBorders>
              <w:top w:val="nil"/>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20</w:t>
            </w:r>
            <w:r>
              <w:rPr>
                <w:rFonts w:hint="eastAsia"/>
                <w:color w:val="000000"/>
                <w:sz w:val="20"/>
                <w:szCs w:val="20"/>
              </w:rPr>
              <w:t>　</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0</w:t>
            </w:r>
            <w:r>
              <w:rPr>
                <w:rFonts w:hint="eastAsia"/>
                <w:color w:val="000000"/>
                <w:sz w:val="20"/>
                <w:szCs w:val="20"/>
              </w:rPr>
              <w:t>　</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0</w:t>
            </w:r>
            <w:r>
              <w:rPr>
                <w:rFonts w:hint="eastAsia"/>
                <w:color w:val="000000"/>
                <w:sz w:val="20"/>
                <w:szCs w:val="20"/>
              </w:rPr>
              <w:t>　</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100%　</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20</w:t>
            </w:r>
            <w:r>
              <w:rPr>
                <w:rFonts w:hint="eastAsia"/>
                <w:color w:val="000000"/>
                <w:sz w:val="20"/>
                <w:szCs w:val="20"/>
              </w:rPr>
              <w:t>　</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可持续惠及居民数量</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人</w:t>
            </w:r>
          </w:p>
        </w:tc>
        <w:tc>
          <w:tcPr>
            <w:tcW w:w="1295" w:type="dxa"/>
            <w:gridSpan w:val="3"/>
            <w:tcBorders>
              <w:top w:val="nil"/>
              <w:left w:val="nil"/>
              <w:bottom w:val="single" w:color="auto" w:sz="4" w:space="0"/>
              <w:right w:val="nil"/>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200</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200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lang w:val="en-US" w:eastAsia="zh-CN"/>
              </w:rPr>
              <w:t>20</w:t>
            </w:r>
          </w:p>
        </w:tc>
      </w:tr>
      <w:tr>
        <w:tblPrEx>
          <w:tblLayout w:type="fixed"/>
          <w:tblCellMar>
            <w:top w:w="0" w:type="dxa"/>
            <w:left w:w="108" w:type="dxa"/>
            <w:bottom w:w="0" w:type="dxa"/>
            <w:right w:w="108" w:type="dxa"/>
          </w:tblCellMar>
        </w:tblPrEx>
        <w:trPr>
          <w:trHeight w:val="936" w:hRule="atLeast"/>
        </w:trPr>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eastAsia="宋体"/>
                <w:color w:val="000000"/>
                <w:sz w:val="20"/>
                <w:szCs w:val="20"/>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改造总成本</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rPr>
              <w:t>元</w:t>
            </w:r>
          </w:p>
        </w:tc>
        <w:tc>
          <w:tcPr>
            <w:tcW w:w="1295" w:type="dxa"/>
            <w:gridSpan w:val="3"/>
            <w:tcBorders>
              <w:top w:val="nil"/>
              <w:left w:val="nil"/>
              <w:bottom w:val="single" w:color="auto" w:sz="4" w:space="0"/>
              <w:right w:val="nil"/>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10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2100000</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2100000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10</w:t>
            </w:r>
          </w:p>
        </w:tc>
      </w:tr>
      <w:tr>
        <w:tblPrEx>
          <w:tblLayout w:type="fixed"/>
          <w:tblCellMar>
            <w:top w:w="0" w:type="dxa"/>
            <w:left w:w="108" w:type="dxa"/>
            <w:bottom w:w="0" w:type="dxa"/>
            <w:right w:w="108" w:type="dxa"/>
          </w:tblCellMar>
        </w:tblPrEx>
        <w:trPr>
          <w:trHeight w:val="936" w:hRule="atLeast"/>
        </w:trPr>
        <w:tc>
          <w:tcPr>
            <w:tcW w:w="907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p>
        </w:tc>
      </w:tr>
    </w:tbl>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Times New Roman" w:hAnsi="Times New Roman" w:eastAsia="方正仿宋_GBK" w:cs="方正仿宋_GBK"/>
          <w:sz w:val="32"/>
          <w:szCs w:val="32"/>
          <w:shd w:val="clear" w:color="auto" w:fill="FFFFFF"/>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w:t>
      </w: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9"/>
        <w:keepNext w:val="0"/>
        <w:keepLines w:val="0"/>
        <w:pageBreakBefore w:val="0"/>
        <w:widowControl w:val="0"/>
        <w:tabs>
          <w:tab w:val="center" w:pos="4153"/>
          <w:tab w:val="left" w:pos="7275"/>
        </w:tabs>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联系方式：打通镇经济发展办公室</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方正仿宋_GBK"/>
          <w:kern w:val="0"/>
          <w:sz w:val="32"/>
          <w:szCs w:val="32"/>
          <w:shd w:val="clear" w:color="auto" w:fill="FFFFFF"/>
          <w:lang w:val="en-US" w:eastAsia="zh-CN" w:bidi="ar-SA"/>
        </w:rPr>
        <w:t>电话487</w:t>
      </w:r>
      <w:bookmarkStart w:id="0" w:name="_GoBack"/>
      <w:bookmarkEnd w:id="0"/>
      <w:r>
        <w:rPr>
          <w:rFonts w:hint="eastAsia" w:ascii="Times New Roman" w:hAnsi="Times New Roman" w:eastAsia="方正仿宋_GBK" w:cs="方正仿宋_GBK"/>
          <w:kern w:val="0"/>
          <w:sz w:val="32"/>
          <w:szCs w:val="32"/>
          <w:shd w:val="clear" w:color="auto" w:fill="FFFFFF"/>
          <w:lang w:val="en-US" w:eastAsia="zh-CN" w:bidi="ar-SA"/>
        </w:rPr>
        <w:t>00125</w:t>
      </w:r>
    </w:p>
    <w:p>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aperSrc/>
          <w:pgNumType w:fmt="numberInDash"/>
          <w:cols w:space="0" w:num="1"/>
          <w:rtlGutter w:val="0"/>
          <w:docGrid w:type="lines" w:linePitch="327"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重庆市綦江区打通镇人民政府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5,247.73</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1,054.24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140.96</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131.61</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638.97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683.73</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1,740.67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728.67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5,388.70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5,444.47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55.77</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5,444.47</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5,444.47</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重庆市綦江区打通镇人民政府</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5,388.70</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5,388.70</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1,054.24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1,054.24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969.39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969.39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638.97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638.97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430.13</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430.13</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38.23</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38.23</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683.73</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683.73</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1,690.58</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1,690.58</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426.63</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426.63</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1,054.47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1,054.47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728.67</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728.67</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59.22</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59.22</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重庆市綦江区打通镇人民政府</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5,444.47</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2,204.16</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3,240.31</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1,054.24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322.27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969.39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237.41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81.61</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81.61</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81.61</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638.97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569.06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430.13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415.43</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87.68</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147.49</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38.23</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683.73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211.27</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1,740.67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1,338.02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426.63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1,065.47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1,065.47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农村综合改革示范试点补助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728.67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重庆市綦江区打通镇人民政府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5,247.73</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1,054.24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1,054.24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683.73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542.77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1,740.67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1,740.67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728.67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728.67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5,388.70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5,444.47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5,303.50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5,444.47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5,444.47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5,303.50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重庆市綦江区打通镇人民政府</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5,303.50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2,204.16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3,099.34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1,054.24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322.27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969.39</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237.41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731.97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731.97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237.41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237.41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638.97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569.06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149.46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149.46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430.13</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415.43</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180.26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180.26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87.68</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162.19</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147.49</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38.23</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38.23</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542.77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211.27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211.27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331.50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1,740.67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402.66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1,338.02</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426.63</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402.66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23.98</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402.66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402.66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62.93</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62.93</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39.09</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39.09</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1,065.47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1,065.47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314.20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314.20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740.27</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农村综合改革示范试点补助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108.44</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108.44</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728.67</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621.91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621.91</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621.91</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579.42</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579.42</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106.75</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61.89</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61.89</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重庆市綦江区打通镇人民政府</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1,721.53</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330.38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398.82</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182.04</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241.60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396.18</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180.26</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87.68</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17.48</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106.75</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152.25</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132.08</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1,873.78</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330.38</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重庆市綦江区打通镇人民政府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140.96</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140.96</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140.96</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140.96</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140.96</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140.96</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68.57</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68.57</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68.57</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72.39</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72.39</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72.39</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重庆市綦江区打通镇人民政府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重庆市綦江区打通镇人民政府</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174.68</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57.02</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57.02</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174.68</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55.92</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55.92</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34.98</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34.98</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20.94</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20.94</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1,908.55</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1,052.99</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855.56</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1,908.55</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1,052.99</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3.96</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tim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enQuanYi Micro Hei">
    <w:altName w:val="宋体"/>
    <w:panose1 w:val="020B0606030804020204"/>
    <w:charset w:val="00"/>
    <w:family w:val="auto"/>
    <w:pitch w:val="default"/>
    <w:sig w:usb0="00000000" w:usb1="00000000" w:usb2="00800036" w:usb3="00000000" w:csb0="603E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—27.1—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7B28D"/>
    <w:multiLevelType w:val="singleLevel"/>
    <w:tmpl w:val="65F7B2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6A0126"/>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012418"/>
    <w:rsid w:val="0A5C4B69"/>
    <w:rsid w:val="0A86124A"/>
    <w:rsid w:val="0AB54CC0"/>
    <w:rsid w:val="0B9335CE"/>
    <w:rsid w:val="0C7927C4"/>
    <w:rsid w:val="0C9B098C"/>
    <w:rsid w:val="0D5732A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07DCB"/>
    <w:rsid w:val="1B6F15B6"/>
    <w:rsid w:val="1BAA2EDC"/>
    <w:rsid w:val="1C5C0973"/>
    <w:rsid w:val="1CA55E64"/>
    <w:rsid w:val="1D014A01"/>
    <w:rsid w:val="1D022362"/>
    <w:rsid w:val="1D1B04B0"/>
    <w:rsid w:val="1D6534C4"/>
    <w:rsid w:val="1DBD6767"/>
    <w:rsid w:val="1DC52125"/>
    <w:rsid w:val="1DD26311"/>
    <w:rsid w:val="1E374ACB"/>
    <w:rsid w:val="1E5E27E3"/>
    <w:rsid w:val="1E61654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174BE5"/>
    <w:rsid w:val="26396DF4"/>
    <w:rsid w:val="27167136"/>
    <w:rsid w:val="27B23302"/>
    <w:rsid w:val="29310A5F"/>
    <w:rsid w:val="29C37A35"/>
    <w:rsid w:val="2A076083"/>
    <w:rsid w:val="2A73162E"/>
    <w:rsid w:val="2A751F0B"/>
    <w:rsid w:val="2B167953"/>
    <w:rsid w:val="2B200583"/>
    <w:rsid w:val="2B220436"/>
    <w:rsid w:val="2B70171D"/>
    <w:rsid w:val="2B8209DE"/>
    <w:rsid w:val="2C6762A3"/>
    <w:rsid w:val="2CB431A7"/>
    <w:rsid w:val="2EBF7B3E"/>
    <w:rsid w:val="2EDE1934"/>
    <w:rsid w:val="2EDF7669"/>
    <w:rsid w:val="2FCA4B37"/>
    <w:rsid w:val="2FE029D7"/>
    <w:rsid w:val="2FF06E00"/>
    <w:rsid w:val="30562E26"/>
    <w:rsid w:val="30586FEC"/>
    <w:rsid w:val="30EC7046"/>
    <w:rsid w:val="312E073E"/>
    <w:rsid w:val="315F0B22"/>
    <w:rsid w:val="319D022C"/>
    <w:rsid w:val="31C90022"/>
    <w:rsid w:val="31D84415"/>
    <w:rsid w:val="32285F6F"/>
    <w:rsid w:val="32406B57"/>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5A566F"/>
    <w:rsid w:val="426554D0"/>
    <w:rsid w:val="426C1EA8"/>
    <w:rsid w:val="42736402"/>
    <w:rsid w:val="42E86A87"/>
    <w:rsid w:val="43307B09"/>
    <w:rsid w:val="43470647"/>
    <w:rsid w:val="438D0E97"/>
    <w:rsid w:val="43BB152F"/>
    <w:rsid w:val="44494994"/>
    <w:rsid w:val="44C37687"/>
    <w:rsid w:val="45B86A5B"/>
    <w:rsid w:val="45CB699A"/>
    <w:rsid w:val="465B470D"/>
    <w:rsid w:val="469D6AD4"/>
    <w:rsid w:val="471E6C84"/>
    <w:rsid w:val="474778B0"/>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694C53"/>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6721B7"/>
    <w:rsid w:val="64CB0157"/>
    <w:rsid w:val="64FB113D"/>
    <w:rsid w:val="65036946"/>
    <w:rsid w:val="654A25FE"/>
    <w:rsid w:val="656152C6"/>
    <w:rsid w:val="6587477F"/>
    <w:rsid w:val="658C3A08"/>
    <w:rsid w:val="65C031CA"/>
    <w:rsid w:val="65CE6852"/>
    <w:rsid w:val="66267C04"/>
    <w:rsid w:val="663F505A"/>
    <w:rsid w:val="66967186"/>
    <w:rsid w:val="66EE5541"/>
    <w:rsid w:val="672D1704"/>
    <w:rsid w:val="67924660"/>
    <w:rsid w:val="683200C2"/>
    <w:rsid w:val="68407834"/>
    <w:rsid w:val="6883293E"/>
    <w:rsid w:val="688412AD"/>
    <w:rsid w:val="68EB1B71"/>
    <w:rsid w:val="69475C96"/>
    <w:rsid w:val="6A4C4A57"/>
    <w:rsid w:val="6AAD2300"/>
    <w:rsid w:val="6B474EF5"/>
    <w:rsid w:val="6BBF53FD"/>
    <w:rsid w:val="6C51652F"/>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3E10B65"/>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uiPriority w:val="0"/>
    <w:pPr>
      <w:ind w:firstLine="420" w:firstLineChars="200"/>
    </w:pPr>
  </w:style>
  <w:style w:type="paragraph" w:styleId="4">
    <w:name w:val="Body Text Indent"/>
    <w:basedOn w:val="1"/>
    <w:next w:val="3"/>
    <w:uiPriority w:val="0"/>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ScaleCrop>false</ScaleCrop>
  <LinksUpToDate>false</LinksUpToDate>
  <CharactersWithSpaces>26302</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2025-10-16T07:01:05Z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BB46EABDBB2749749395447164B066B3_12</vt:lpwstr>
  </property>
</Properties>
</file>