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50" w:lineRule="exact"/>
        <w:jc w:val="center"/>
        <w:textAlignment w:val="auto"/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eastAsia="zh-CN"/>
        </w:rPr>
        <w:t>重庆市</w:t>
      </w:r>
      <w:r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  <w:t>綦江区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eastAsia="zh-CN"/>
        </w:rPr>
        <w:t>政务服务管理办公室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  <w:t>綦江区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val="en-US" w:eastAsia="zh-CN"/>
        </w:rPr>
        <w:t>2023年第四季度</w:t>
      </w:r>
      <w:r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  <w:t>政务服务工作情况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  <w:t>通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  <w:t>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Style w:val="7"/>
          <w:rFonts w:ascii="Times New Roman" w:hAnsi="Times New Roman" w:eastAsia="方正仿宋_GBK"/>
          <w:color w:val="auto"/>
          <w:highlight w:val="none"/>
        </w:rPr>
      </w:pPr>
      <w:r>
        <w:rPr>
          <w:rStyle w:val="7"/>
          <w:rFonts w:ascii="Times New Roman" w:hAnsi="Times New Roman" w:eastAsia="方正仿宋_GBK"/>
          <w:color w:val="auto"/>
          <w:highlight w:val="none"/>
        </w:rPr>
        <w:t>各街道办事处、各镇人民政府，</w:t>
      </w:r>
      <w:r>
        <w:rPr>
          <w:rStyle w:val="7"/>
          <w:rFonts w:hint="eastAsia" w:ascii="Times New Roman" w:hAnsi="Times New Roman" w:eastAsia="方正仿宋_GBK"/>
          <w:color w:val="auto"/>
          <w:highlight w:val="none"/>
          <w:lang w:eastAsia="zh-CN"/>
        </w:rPr>
        <w:t>区级相关</w:t>
      </w:r>
      <w:r>
        <w:rPr>
          <w:rStyle w:val="7"/>
          <w:rFonts w:ascii="Times New Roman" w:hAnsi="Times New Roman" w:eastAsia="方正仿宋_GBK"/>
          <w:color w:val="auto"/>
          <w:highlight w:val="none"/>
        </w:rPr>
        <w:t>部门，有关单位：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Style w:val="7"/>
          <w:rFonts w:ascii="Times New Roman" w:hAnsi="Times New Roman" w:eastAsia="方正仿宋_GBK"/>
          <w:color w:val="auto"/>
          <w:highlight w:val="none"/>
        </w:rPr>
      </w:pP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按照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《国务院关于加快推进政务服务标准化规范化便利化的指导意见》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国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发〔</w:t>
      </w:r>
      <w:bookmarkStart w:id="0" w:name="公文年"/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20</w:t>
      </w:r>
      <w:bookmarkEnd w:id="0"/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号）、《202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重庆市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政务服务工作要点》（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渝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府办发〔202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号）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《202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綦江区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政务服务工作要点》（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綦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府办发〔202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号）文件要求</w:t>
      </w:r>
      <w:r>
        <w:rPr>
          <w:rStyle w:val="7"/>
          <w:rFonts w:ascii="Times New Roman" w:hAnsi="Times New Roman" w:eastAsia="方正仿宋_GBK"/>
          <w:color w:val="auto"/>
          <w:highlight w:val="none"/>
        </w:rPr>
        <w:t>，现将</w:t>
      </w:r>
      <w:r>
        <w:rPr>
          <w:rStyle w:val="7"/>
          <w:rFonts w:hint="eastAsia" w:ascii="Times New Roman" w:hAnsi="Times New Roman" w:eastAsia="方正仿宋_GBK"/>
          <w:color w:val="auto"/>
          <w:highlight w:val="none"/>
          <w:lang w:val="en-US" w:eastAsia="zh-CN"/>
        </w:rPr>
        <w:t>2023年第四季度</w:t>
      </w:r>
      <w:r>
        <w:rPr>
          <w:rStyle w:val="7"/>
          <w:rFonts w:ascii="Times New Roman" w:hAnsi="Times New Roman" w:eastAsia="方正仿宋_GBK"/>
          <w:color w:val="auto"/>
          <w:highlight w:val="none"/>
        </w:rPr>
        <w:t>政务服务</w:t>
      </w:r>
      <w:r>
        <w:rPr>
          <w:rStyle w:val="7"/>
          <w:rFonts w:hint="eastAsia" w:ascii="Times New Roman" w:hAnsi="Times New Roman" w:eastAsia="方正仿宋_GBK"/>
          <w:color w:val="auto"/>
          <w:highlight w:val="none"/>
          <w:lang w:eastAsia="zh-CN"/>
        </w:rPr>
        <w:t>工作</w:t>
      </w:r>
      <w:r>
        <w:rPr>
          <w:rStyle w:val="7"/>
          <w:rFonts w:ascii="Times New Roman" w:hAnsi="Times New Roman" w:eastAsia="方正仿宋_GBK"/>
          <w:color w:val="auto"/>
          <w:highlight w:val="none"/>
        </w:rPr>
        <w:t>相关情况通报如下：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黑体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方正黑体_GBK"/>
          <w:b w:val="0"/>
          <w:bCs/>
          <w:color w:val="auto"/>
          <w:highlight w:val="none"/>
        </w:rPr>
        <w:t>一、</w:t>
      </w:r>
      <w:r>
        <w:rPr>
          <w:rFonts w:hint="eastAsia" w:ascii="Times New Roman" w:hAnsi="Times New Roman" w:eastAsia="方正黑体_GBK"/>
          <w:b w:val="0"/>
          <w:bCs/>
          <w:color w:val="auto"/>
          <w:sz w:val="32"/>
          <w:szCs w:val="32"/>
          <w:highlight w:val="none"/>
          <w:lang w:eastAsia="zh-CN"/>
        </w:rPr>
        <w:t>主要</w:t>
      </w:r>
      <w:r>
        <w:rPr>
          <w:rFonts w:ascii="Times New Roman" w:hAnsi="Times New Roman" w:eastAsia="方正黑体_GBK"/>
          <w:b w:val="0"/>
          <w:bCs/>
          <w:color w:val="auto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方正黑体_GBK"/>
          <w:b w:val="0"/>
          <w:bCs/>
          <w:color w:val="auto"/>
          <w:sz w:val="32"/>
          <w:szCs w:val="32"/>
          <w:highlight w:val="none"/>
          <w:lang w:eastAsia="zh-CN"/>
        </w:rPr>
        <w:t>及成效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方正仿宋_GBK" w:cstheme="minorBidi"/>
          <w:color w:val="auto"/>
          <w:highlight w:val="none"/>
          <w:lang w:eastAsia="zh-CN"/>
        </w:rPr>
        <w:t>2023年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，我区“渝快办”平台共申请政务服务事项      19441件（其中，互联网申请15028件，窗口申请4413件），受理19243件，办结18711件，办结率97.2%，网上受理率77.3%。69个“一件事一次办”套餐共计办件129280件。“好差评”评价数量491356个，主动评价率99.7%，满意率99.99%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eastAsia" w:ascii="Times New Roman" w:hAnsi="Times New Roman" w:eastAsia="方正楷体_GBK" w:cs="方正楷体_GBK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方正楷体_GBK" w:cs="方正楷体_GBK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重点工作推进情况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方正仿宋_GBK" w:cs="方正仿宋_GBK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1.落实推进“一件事一次办”集成服务。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“渝快办”PC端“一件事一次办”主题套餐板块中的</w:t>
      </w:r>
      <w:r>
        <w:rPr>
          <w:rStyle w:val="7"/>
          <w:rFonts w:hint="eastAsia" w:ascii="Times New Roman" w:hAnsi="Times New Roman" w:eastAsia="方正仿宋_GBK" w:cs="方正仿宋_GBK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“生育津贴办理一件事”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“二手房交易与水电气联动过户”等高频套餐业务，系统通过部门间数据共享直接获取相关信息，经办人只需要核对信息，即可实现一站式网上办理，无需提交任何资料。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方正仿宋_GBK" w:cs="方正仿宋_GBK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2.开展“我陪群众走流程”“政务服务体验员”工作。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区委常委、常务副区长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带头到区政务服务中心“走流程”，聘任15名区内企业家代表为“政务服务体验员”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通过亲身办、陪同办等方式，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共同参与体验和监督政务服务工作，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为企业解难题、为群众办实事。截至12月底，区税务局、区林业局、区水利局等部门和镇街的主要领导、分管领导和中层干部共计320余人参与“走流程”当“体验员”，检视问题131个，立即整改73个，反馈需市级解决的问题51个，7个问题已列入整改问题清单打表推动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方正仿宋_GBK" w:cs="方正仿宋_GBK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3.持续提升政务服务效能。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一是以群众需求为“出发点”，开展下基层调研工作，以“明察暗访+‘走流程’”“管理侧+用户侧”全流程体验等方式，对常驻部门、镇街政务服务工作进行检视；二是以服务效能为“着力点”，打造全市首个“云窗口”远程导办系统线上办理平台。2023年共上线52个高频事项，为5000余名企业群众提供远程导办，进一步落实“不见面审批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30"/>
        <w:textAlignment w:val="auto"/>
        <w:rPr>
          <w:rStyle w:val="7"/>
          <w:rFonts w:hint="default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方正仿宋_GBK" w:cs="方正仿宋_GBK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4.推动园区行政审批制度改革走深走实。</w:t>
      </w:r>
      <w:r>
        <w:rPr>
          <w:rStyle w:val="7"/>
          <w:rFonts w:hint="eastAsia" w:ascii="Times New Roman" w:hAnsi="Times New Roman" w:eastAsia="方正仿宋_GBK" w:cs="方正仿宋_GBK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印发了《綦江高新区行政审批体制改革实施方案（试行）》和《綦江区工业项目“审批不出园”改革实施方案（试行）》；组织实施了高新区审批业务集中培训，高新区负责审批、招商业务的近20名工作人员参与培训；举行了行政审批授权仪式，10个部门将97个审批事项授权给高新区管委会，推动高新区审批体制改革和工业项目“审批不出园”改革从政策文件到落地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方正仿宋_GBK" w:cs="方正仿宋_GBK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5.结合“四下基层”打通基层服务“最后一米”。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一是惠民政策“下基层”。围绕企业群众关心关注民生问题，利用线上线下宣传，送政策“上门”等形式，分人群、分类别精准宣传、推送。二是调查研究“下基层”。通过到镇街实地走访、查阅资料、访谈调查、综合分析等方式，对我区基层政务服务工作进行调查研究，破解基层政务服务难题，打通服务群众“最后一米”。三是民意收集“下基层”。与区纪委监委在区政务服务中心共同设置“优化营商环境监督办公室”，优化设置“办不成事”反映窗口，主动将监督靠前，将信访举报、意见建议平台“搬到”群众身边。四是现场办公“下基层”。组织区级相关部门、21个镇街政务服务中心召开基层政务服务片区交流会，每季度安排业务骨干到镇街政务服务中心明察暗访，现场指导业务办理，推进全区基层政务服务工作取得新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eastAsia" w:ascii="Times New Roman" w:hAnsi="Times New Roman" w:eastAsia="方正楷体_GBK" w:cs="方正楷体_GBK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方正楷体_GBK" w:cs="方正楷体_GBK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（二）部门工作亮点做法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eastAsia="zh-CN"/>
        </w:rPr>
        <w:t>人社局、医保局、税务局</w:t>
      </w:r>
      <w:r>
        <w:rPr>
          <w:rFonts w:hint="default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eastAsia="zh-CN"/>
        </w:rPr>
        <w:t>联办</w:t>
      </w:r>
      <w:r>
        <w:rPr>
          <w:rFonts w:hint="eastAsia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val="en-US" w:eastAsia="zh-CN"/>
        </w:rPr>
        <w:t>窗口</w:t>
      </w:r>
      <w:r>
        <w:rPr>
          <w:rStyle w:val="7"/>
          <w:rFonts w:hint="default" w:ascii="Times New Roman" w:hAnsi="Times New Roman" w:eastAsia="方正仿宋_GBK" w:cstheme="minorBidi"/>
          <w:color w:val="auto"/>
          <w:highlight w:val="none"/>
          <w:lang w:eastAsia="zh-CN"/>
        </w:rPr>
        <w:t>大力做好灵活就业人员社保费的征收工作。通过“线上+线下”分类疏导，“传统+网络”一体推进，“前台+后台”交替轮转，人社窗口、医保窗口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eastAsia="zh-CN"/>
        </w:rPr>
        <w:t>、</w:t>
      </w:r>
      <w:r>
        <w:rPr>
          <w:rStyle w:val="7"/>
          <w:rFonts w:hint="default" w:ascii="Times New Roman" w:hAnsi="Times New Roman" w:eastAsia="方正仿宋_GBK" w:cstheme="minorBidi"/>
          <w:color w:val="auto"/>
          <w:highlight w:val="none"/>
          <w:lang w:eastAsia="zh-CN"/>
        </w:rPr>
        <w:t>税务窗口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eastAsia="zh-CN"/>
        </w:rPr>
        <w:t>和银行</w:t>
      </w:r>
      <w:r>
        <w:rPr>
          <w:rStyle w:val="7"/>
          <w:rFonts w:hint="default" w:ascii="Times New Roman" w:hAnsi="Times New Roman" w:eastAsia="方正仿宋_GBK" w:cstheme="minorBidi"/>
          <w:color w:val="auto"/>
          <w:highlight w:val="none"/>
          <w:lang w:eastAsia="zh-CN"/>
        </w:rPr>
        <w:t>联合办公“3+1”的工作方式，打通缴费服务中的难点、痛点、堵点问题，切实提升缴费人便利度和满意度。四季度为灵活就业人员办理扣款协议签订1500余人次，选档560余人次，办理灵活就业人员医保退费510余人次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default" w:ascii="Times New Roman" w:hAnsi="Times New Roman" w:eastAsia="方正仿宋_GBK" w:cstheme="minorBidi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eastAsia="zh-CN"/>
        </w:rPr>
        <w:t>税务</w:t>
      </w:r>
      <w:r>
        <w:rPr>
          <w:rFonts w:hint="eastAsia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eastAsia="zh-CN"/>
        </w:rPr>
        <w:t>局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eastAsia="zh-CN"/>
        </w:rPr>
        <w:t>实现税费政策精准直达</w:t>
      </w:r>
      <w:r>
        <w:rPr>
          <w:rStyle w:val="7"/>
          <w:rFonts w:hint="default" w:ascii="Times New Roman" w:hAnsi="Times New Roman" w:eastAsia="方正仿宋_GBK" w:cstheme="minorBidi"/>
          <w:color w:val="auto"/>
          <w:highlight w:val="none"/>
          <w:lang w:eastAsia="zh-CN"/>
        </w:rPr>
        <w:t>。一是积极拓展二级热线48612366“问办一体”服务，为纳税人解答困惑、解决问题、办理业务共计8436项，其中拓展远程帮办等40余项。二是设置减税退税专窗，实现政策咨询“专岗答、一岗答”，在税企间搭建12366热线、税企互动平台等互动渠道，及时收集纳税人问题建议，实现税费政策的直达快享，实现服务提醒“精准推送”，针对性地向纳税人推送申报、优惠等政策，辐射辖区6万余户次纳税人，实现纳税服务精细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val="en-US" w:eastAsia="zh-CN"/>
        </w:rPr>
        <w:t>司法局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上门服务优环境。一是“送法”上门，区公证处为区内多家民营企业办理保全证据、股权转让、股权继承、债权转让、借款合同等公证事项，解决民营企业在生产经营活动中的各种问题，维护企业合法权益，优化我区营商环境。二是主动作为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为更好地保护全体拟被征收人切身利益，合法有序推进藻渡水库工程建设，区公证处为区住房城乡建委对“确定重庆市藻渡水库淹没区国有土地上房屋征收项目评估机构”进行了保全证据公证。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val="en-US" w:eastAsia="zh-CN"/>
        </w:rPr>
        <w:t>市场监管局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推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改革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实现证照“快速办”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实行“标准化地址申报+住所承诺制”登记改革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除特殊情形外，只需要规范、准确填报地址信息，提交《市场主体住所（经营场所）登记申报承诺书》，对拟作为住所的房屋权属关系、使用功能及法定用途作出符合事实的承诺就能快速办理营业执照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已有7006户市场主体通过申报承诺制取得营业执照。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是“跨区域通办”营业执照异地领取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解决川渝两地居住地、经营地交叉分离、企业和群众异地办事“多地跑”“折返跑”等问题，实现川渝互打互发营业执照。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val="en-US" w:eastAsia="zh-CN"/>
        </w:rPr>
        <w:t>规划自然资源局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推进登记财产改革。一是大力推广不动产权属证书（证明）电子证照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利用电子证照具有易存储、防篡改、可验证等特点，且与纸质证书（证明）具有同等法律效力，将广泛运用于子女入学、房屋抵押贷款、房产交易等领域。二是将遗产管理人引入非公证继承登记</w:t>
      </w:r>
      <w:r>
        <w:rPr>
          <w:rFonts w:hint="default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1"/>
          <w:sz w:val="32"/>
          <w:szCs w:val="32"/>
          <w:lang w:val="en-US" w:eastAsia="zh-CN"/>
        </w:rPr>
        <w:t>避免和减少纠纷，使非公证继承登记更专业、更及时、更好维护遗产继承人的合法权益。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Style w:val="7"/>
          <w:rFonts w:hint="eastAsia" w:ascii="Times New Roman" w:hAnsi="Times New Roman" w:eastAsia="方正楷体_GB2312" w:cs="方正楷体_GB2312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方正楷体_GB2312" w:cs="方正楷体_GB2312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（三）镇街工作亮点做法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textAlignment w:val="auto"/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val="en-US" w:eastAsia="zh-CN"/>
        </w:rPr>
        <w:t>石角镇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精准服务促就业。一是广泛收集用工信息。加强与辖区内企业、学校、商户联系，定期走访23家企业、496家个体工商户，将用工需求登记造册，累计登记347个岗位，解决就业人员1159人。二是点对点进行就业推荐。建立城乡劳动者新增就业等14本台账，挖掘岗位356个，公益性岗位56人，帮助5名大龄困难人员、21名辖区内下岗失业人员、6名失业人员成功实现再就业。三是充分开发辖区就业实体。有针对性地为服务对象提供创业培训、创业指导、跟踪服务等“一条龙”服务。发放创业担保贷款9笔，发放金额150万元，创业带动254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textAlignment w:val="auto"/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1"/>
          <w:sz w:val="32"/>
          <w:szCs w:val="32"/>
          <w:lang w:val="en-US" w:eastAsia="zh-CN"/>
        </w:rPr>
        <w:t>东溪镇</w:t>
      </w:r>
      <w:r>
        <w:rPr>
          <w:rStyle w:val="7"/>
          <w:rFonts w:hint="eastAsia" w:ascii="Times New Roman" w:hAnsi="Times New Roman" w:eastAsia="方正仿宋_GBK" w:cstheme="minorBidi"/>
          <w:color w:val="auto"/>
          <w:highlight w:val="none"/>
          <w:lang w:val="en-US" w:eastAsia="zh-CN"/>
        </w:rPr>
        <w:t>开展“我为群众办实事”实践活动。一是优化服务水平，增强服务效能，对中心进行升级改造，科学规划大厅，配强工作人员，确保“零差错”“零差评”；二是统一标志形象，完善基础服务设施，营造暖心便民的服务环境；三是拓展工作思路，提高服务质量，公开便民服务电话，推行“代理办”和“上门办”服务，已代办业务450余件，上门办理2000余件；四是探索实施政务服务窗口前移，将“办事窗口”搬到群众“家门口”，累计开展政务服务进村居活动近20场次，服务群众约1万人次，现场咨询办理业务2300余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textAlignment w:val="auto"/>
        <w:rPr>
          <w:rStyle w:val="7"/>
          <w:rFonts w:hint="default" w:ascii="Times New Roman" w:hAnsi="Times New Roman" w:eastAsia="方正仿宋_GBK" w:cstheme="minorBidi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古南街道、三江街道、新盛街道、三角镇、打通镇、东溪镇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提高服务质效，提升服务温度。各镇街通过改善政务服务中心硬件设施，让群众有更温馨舒适的办事环境，配备公用查询电脑、复印机、老花镜、雨伞、紧急医疗箱等10余种便民物品，让群众办事更加舒心；加强政务服务志愿者配备，积极主动为办事群众排忧解难，形成“人人有礼貌、个个懂礼节、处处讲礼仪”的良好氛围，让办事群众更加暖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黑体_GBK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b w:val="0"/>
          <w:bCs/>
          <w:color w:val="auto"/>
          <w:sz w:val="32"/>
          <w:szCs w:val="32"/>
          <w:highlight w:val="none"/>
          <w:lang w:eastAsia="zh-CN"/>
        </w:rPr>
        <w:t>评优情况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季度优质服务窗口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公安窗口、农业农村窗口、市场监管窗口、交通窗口、卫生健康窗口、税务窗口、住房城乡建设窗口、城市管理窗口、发展改革窗口、水利窗口、生态环境窗口、司法窗口、婚姻登记窗口、规划自然资源窗口。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季度优秀首席代表：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林业窗口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许可、农业农村窗口罗维、城市管理窗口田力、水利窗口王大洪。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季度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红岩先锋示范岗：</w:t>
      </w:r>
      <w:r>
        <w:rPr>
          <w:rFonts w:hint="eastAsia" w:ascii="Times New Roman" w:hAnsi="Times New Roman" w:eastAsia="方正仿宋_GBK"/>
          <w:sz w:val="32"/>
          <w:szCs w:val="32"/>
        </w:rPr>
        <w:t>公安窗口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郭莉；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农业农村窗口张榆敏；税务窗口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郑坤杭、王雨凌；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住房城乡建设窗口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陈晓飞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；城市管理窗口吴江；婚姻登记窗口石敏阳；法律援助窗口李燕；规划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自然资源窗口张贵川、张露、吴泽勇、钟加燕、冯秋娅。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四季度优质服务标兵：</w:t>
      </w:r>
      <w:r>
        <w:rPr>
          <w:rFonts w:hint="eastAsia" w:ascii="Times New Roman" w:hAnsi="Times New Roman" w:eastAsia="方正仿宋_GBK"/>
          <w:sz w:val="32"/>
          <w:szCs w:val="32"/>
        </w:rPr>
        <w:t>公安窗口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王孝娟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市场监管窗口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连中甜、罗小敏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；交通窗口吴汶桀；卫生健康窗口幸雨雪；林业窗口陈玲；税务窗口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方韬铭、袁苑、卢昊天、李娟、母仁宏、罗琳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；发展改革窗口胡健；住房城乡建设窗口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柯晓丽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；水利窗口吴天德；规划自然资源窗口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胡荣、代莉君、李会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黑体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ascii="Times New Roman" w:hAnsi="Times New Roman" w:eastAsia="方正黑体_GBK"/>
          <w:b w:val="0"/>
          <w:bCs/>
          <w:color w:val="auto"/>
          <w:kern w:val="0"/>
          <w:sz w:val="32"/>
          <w:szCs w:val="32"/>
          <w:highlight w:val="none"/>
          <w:lang w:val="zh-CN"/>
        </w:rPr>
        <w:t>下一步工作</w:t>
      </w:r>
      <w:r>
        <w:rPr>
          <w:rFonts w:hint="eastAsia" w:ascii="Times New Roman" w:hAnsi="Times New Roman" w:eastAsia="方正黑体_GBK"/>
          <w:b w:val="0"/>
          <w:bCs/>
          <w:color w:val="auto"/>
          <w:kern w:val="0"/>
          <w:sz w:val="32"/>
          <w:szCs w:val="32"/>
          <w:highlight w:val="none"/>
          <w:lang w:val="zh-CN" w:eastAsia="zh-CN"/>
        </w:rPr>
        <w:t>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（一）做好年终工作总结和年初工作谋划。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认真总结2023年政务服务工作开展情况，查找问题和短板，结合实际，谋划好2024年政务服务工作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。盯重点、破难点、创亮点，加快推动便捷服务向增值服务全面升级，突出易办好办，进一步打响“綦心办”政务服务品牌，助力营商环境大优化大提升，推动全区经济高质量发展。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（二）推动“我陪群众走流程”“政务服务体验员”工作走深走实。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围绕“高效办成一件事”，认真做好“我陪群众走流程”“政务服务体验员”工作，坚持问题导向，</w:t>
      </w:r>
      <w:r>
        <w:rPr>
          <w:rStyle w:val="7"/>
          <w:rFonts w:hint="eastAsia" w:ascii="Times New Roman" w:hAnsi="Times New Roman" w:eastAsia="方正仿宋_GBK" w:cs="Times New Roman"/>
          <w:color w:val="auto"/>
          <w:highlight w:val="none"/>
          <w:lang w:val="en-US" w:eastAsia="zh-CN"/>
        </w:rPr>
        <w:t>沉浸式体验办事流程，查找问题并推进整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改。将“我陪群众走流程”、“政务服务体验员”工作固化成持续性、日常性安排，切实把流程走出真章实效，走进群众心坎，不断优化办事流程，持续提升服务效能。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b w:val="0"/>
          <w:bCs w:val="0"/>
          <w:color w:val="auto"/>
          <w:kern w:val="1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b w:val="0"/>
          <w:bCs w:val="0"/>
          <w:color w:val="auto"/>
          <w:kern w:val="1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楷体_GBK"/>
          <w:b w:val="0"/>
          <w:bCs w:val="0"/>
          <w:color w:val="auto"/>
          <w:kern w:val="1"/>
          <w:sz w:val="32"/>
          <w:szCs w:val="32"/>
        </w:rPr>
        <w:t>）</w:t>
      </w:r>
      <w:r>
        <w:rPr>
          <w:rFonts w:hint="eastAsia" w:ascii="Times New Roman" w:hAnsi="Times New Roman" w:eastAsia="方正楷体_GBK"/>
          <w:b w:val="0"/>
          <w:bCs w:val="0"/>
          <w:color w:val="auto"/>
          <w:kern w:val="1"/>
          <w:sz w:val="32"/>
          <w:szCs w:val="32"/>
          <w:lang w:val="en-US" w:eastAsia="zh-CN"/>
        </w:rPr>
        <w:t>加大宣传力度，拓展宣传渠道</w:t>
      </w:r>
      <w:r>
        <w:rPr>
          <w:rFonts w:hint="eastAsia" w:ascii="Times New Roman" w:hAnsi="Times New Roman" w:eastAsia="方正楷体_GBK"/>
          <w:b w:val="0"/>
          <w:bCs w:val="0"/>
          <w:color w:val="auto"/>
          <w:kern w:val="1"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要善于总结提炼政务服务工作亮点和创新做法，利用商场、公交、超市、医院等公共场所，通过新闻媒体、小视频、宣传手册等方式，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渠道精准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宣传我区政务服务改革典型经验和做法，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让各类政务服务便民利企举措走到企业群众身边，走进他们心里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/>
          <w:b w:val="0"/>
          <w:bCs w:val="0"/>
          <w:color w:val="auto"/>
          <w:kern w:val="1"/>
          <w:sz w:val="32"/>
          <w:szCs w:val="32"/>
          <w:lang w:val="en-US" w:eastAsia="zh-CN"/>
        </w:rPr>
        <w:t>（四）做好信访和安全稳定工作。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各级政务服务中心要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紧紧围绕人民至上、生命至上的安全理念，从细从实从严抓好窗口秩序、防火防盗、信访等安全稳定工作，全面筑牢政务服务中心安全防线，为企业群众提供安全、舒心的办事环境。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" w:cs="仿宋"/>
          <w:spacing w:val="-17"/>
          <w:sz w:val="32"/>
          <w:szCs w:val="32"/>
          <w:lang w:val="en-US" w:eastAsia="zh-CN"/>
        </w:rPr>
        <w:t>綦江区2023年第四季度“一件事一次办”情况统计表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32" w:firstLineChars="200"/>
        <w:jc w:val="right"/>
        <w:textAlignment w:val="auto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32" w:firstLineChars="200"/>
        <w:jc w:val="right"/>
        <w:textAlignment w:val="auto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>重庆市綦江区政务服务管理办公室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32" w:firstLineChars="200"/>
        <w:jc w:val="center"/>
        <w:textAlignment w:val="auto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  <w:t xml:space="preserve"> 2024年1月31日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0"/>
          <w:szCs w:val="40"/>
          <w:lang w:val="en-US" w:eastAsia="zh-CN"/>
        </w:rPr>
        <w:t>綦江区2023年第四季度“一件事一次办”情况统计表</w:t>
      </w:r>
    </w:p>
    <w:tbl>
      <w:tblPr>
        <w:tblStyle w:val="5"/>
        <w:tblpPr w:leftFromText="180" w:rightFromText="180" w:vertAnchor="text" w:horzAnchor="page" w:tblpX="1747" w:tblpY="238"/>
        <w:tblOverlap w:val="never"/>
        <w:tblW w:w="86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3112"/>
        <w:gridCol w:w="2826"/>
        <w:gridCol w:w="1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276" w:firstLineChars="10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办件量（件）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区人力社保局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区卫生健康委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区公安局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区教委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区交通局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区农业农村委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区规划自然资源局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区退役军人事务局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区住房城乡建委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区城市管理局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区税务局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111704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区文旅委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122438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552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50" w:lineRule="exact"/>
        <w:textAlignment w:val="auto"/>
        <w:rPr>
          <w:rStyle w:val="7"/>
          <w:rFonts w:hint="default" w:eastAsia="方正仿宋_GBK" w:cstheme="minorBidi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bidi w:val="0"/>
        <w:snapToGrid/>
        <w:spacing w:line="576" w:lineRule="exact"/>
        <w:ind w:firstLine="276" w:firstLineChars="100"/>
        <w:jc w:val="both"/>
        <w:rPr>
          <w:rStyle w:val="7"/>
          <w:rFonts w:hint="default" w:eastAsia="方正仿宋_GBK" w:cstheme="minorBidi"/>
          <w:color w:val="auto"/>
          <w:sz w:val="28"/>
          <w:szCs w:val="28"/>
          <w:highlight w:val="none"/>
          <w:lang w:val="en-US" w:eastAsia="zh-CN"/>
        </w:rPr>
      </w:pPr>
      <w:bookmarkStart w:id="1" w:name="_GoBack"/>
      <w:bookmarkEnd w:id="1"/>
    </w:p>
    <w:sectPr>
      <w:pgSz w:w="11906" w:h="16838"/>
      <w:pgMar w:top="2098" w:right="1474" w:bottom="130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6C947"/>
    <w:multiLevelType w:val="singleLevel"/>
    <w:tmpl w:val="9136C9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8DFBAA"/>
    <w:multiLevelType w:val="singleLevel"/>
    <w:tmpl w:val="EB8DFB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NDhmMjZmYjY2ZTIzZjRlNjljZjkzOWY3ZmI3NDIifQ=="/>
  </w:docVars>
  <w:rsids>
    <w:rsidRoot w:val="669B6CB5"/>
    <w:rsid w:val="0796729B"/>
    <w:rsid w:val="0AA978F7"/>
    <w:rsid w:val="0AED01A9"/>
    <w:rsid w:val="0BFE7D07"/>
    <w:rsid w:val="0C660A45"/>
    <w:rsid w:val="0CCE0D62"/>
    <w:rsid w:val="0EA37FCC"/>
    <w:rsid w:val="1111746F"/>
    <w:rsid w:val="153C23B5"/>
    <w:rsid w:val="17077B67"/>
    <w:rsid w:val="17180E65"/>
    <w:rsid w:val="17C806AC"/>
    <w:rsid w:val="180A4120"/>
    <w:rsid w:val="1A5F56EF"/>
    <w:rsid w:val="1DD832D3"/>
    <w:rsid w:val="1E0A0FD0"/>
    <w:rsid w:val="20292D1E"/>
    <w:rsid w:val="203E5DA7"/>
    <w:rsid w:val="216D398E"/>
    <w:rsid w:val="221E379A"/>
    <w:rsid w:val="25832ECA"/>
    <w:rsid w:val="259049AF"/>
    <w:rsid w:val="25D95944"/>
    <w:rsid w:val="26881B2A"/>
    <w:rsid w:val="286A0915"/>
    <w:rsid w:val="28D24FE3"/>
    <w:rsid w:val="2C1B6F9C"/>
    <w:rsid w:val="2D087E61"/>
    <w:rsid w:val="2E0D5145"/>
    <w:rsid w:val="31964151"/>
    <w:rsid w:val="31E8067A"/>
    <w:rsid w:val="32544FB6"/>
    <w:rsid w:val="33D52065"/>
    <w:rsid w:val="33DE722D"/>
    <w:rsid w:val="357E0CC8"/>
    <w:rsid w:val="366B28CE"/>
    <w:rsid w:val="3B984165"/>
    <w:rsid w:val="3BB014AF"/>
    <w:rsid w:val="3E1C3700"/>
    <w:rsid w:val="3E652C36"/>
    <w:rsid w:val="3F9D3AE0"/>
    <w:rsid w:val="3FFDBDAF"/>
    <w:rsid w:val="41595B80"/>
    <w:rsid w:val="43421586"/>
    <w:rsid w:val="444906F3"/>
    <w:rsid w:val="48B155E5"/>
    <w:rsid w:val="48B56357"/>
    <w:rsid w:val="49307D05"/>
    <w:rsid w:val="4950607F"/>
    <w:rsid w:val="4A6718D3"/>
    <w:rsid w:val="4CC34B0E"/>
    <w:rsid w:val="4D55282E"/>
    <w:rsid w:val="4FCC65F3"/>
    <w:rsid w:val="50125E3D"/>
    <w:rsid w:val="5015592D"/>
    <w:rsid w:val="51937451"/>
    <w:rsid w:val="533F3E4F"/>
    <w:rsid w:val="548F2152"/>
    <w:rsid w:val="58EA2479"/>
    <w:rsid w:val="59365450"/>
    <w:rsid w:val="595E6596"/>
    <w:rsid w:val="5A84489E"/>
    <w:rsid w:val="5B6854AA"/>
    <w:rsid w:val="5BE247A4"/>
    <w:rsid w:val="5DFB43B4"/>
    <w:rsid w:val="5EE36287"/>
    <w:rsid w:val="603E67DA"/>
    <w:rsid w:val="62941D02"/>
    <w:rsid w:val="62FA7FE4"/>
    <w:rsid w:val="64291FCF"/>
    <w:rsid w:val="64872A73"/>
    <w:rsid w:val="657A02B4"/>
    <w:rsid w:val="661E33E8"/>
    <w:rsid w:val="667708D6"/>
    <w:rsid w:val="669B6CB5"/>
    <w:rsid w:val="673426E5"/>
    <w:rsid w:val="699C1CC5"/>
    <w:rsid w:val="69E95A08"/>
    <w:rsid w:val="6A0011AC"/>
    <w:rsid w:val="6A112710"/>
    <w:rsid w:val="6C1C6B1F"/>
    <w:rsid w:val="6CBF494B"/>
    <w:rsid w:val="6EA2762C"/>
    <w:rsid w:val="6ED33E16"/>
    <w:rsid w:val="72526E6A"/>
    <w:rsid w:val="78B95D9E"/>
    <w:rsid w:val="78DB692D"/>
    <w:rsid w:val="79292E6A"/>
    <w:rsid w:val="7F9F25C1"/>
    <w:rsid w:val="7FFF8AAD"/>
    <w:rsid w:val="C3EF02AA"/>
    <w:rsid w:val="D7FE5148"/>
    <w:rsid w:val="F77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style01"/>
    <w:basedOn w:val="6"/>
    <w:qFormat/>
    <w:uiPriority w:val="0"/>
    <w:rPr>
      <w:rFonts w:hint="default" w:ascii="FZFSK--GBK1-0" w:hAnsi="FZFSK--GBK1-0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4766</Words>
  <Characters>4994</Characters>
  <Lines>0</Lines>
  <Paragraphs>0</Paragraphs>
  <TotalTime>3</TotalTime>
  <ScaleCrop>false</ScaleCrop>
  <LinksUpToDate>false</LinksUpToDate>
  <CharactersWithSpaces>5103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2024-01-10T15:58:00Z</dcterms:created>
  <dc:creator>qjbdc</dc:creator>
  <cp:lastModifiedBy>guest</cp:lastModifiedBy>
  <cp:lastPrinted>2024-01-24T06:03:00Z</cp:lastPrinted>
  <dcterms:modified xsi:type="dcterms:W3CDTF">2024-02-29T16:21:36Z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2F33F3FA2B41463D9C2BEFCB0CD0E9A4_13</vt:lpwstr>
  </property>
</Properties>
</file>