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cs="华文中宋"/>
          <w:sz w:val="44"/>
          <w:szCs w:val="44"/>
        </w:rPr>
      </w:pPr>
      <w:r>
        <w:rPr>
          <w:rFonts w:hint="eastAsia" w:ascii="Times New Roman" w:hAnsi="Times New Roman" w:eastAsia="方正小标宋_GBK" w:cs="华文中宋"/>
          <w:sz w:val="44"/>
          <w:szCs w:val="44"/>
        </w:rPr>
        <w:t>重庆市綦江区城市建设档案中心</w:t>
      </w:r>
    </w:p>
    <w:p>
      <w:pPr>
        <w:spacing w:line="600" w:lineRule="exact"/>
        <w:jc w:val="center"/>
        <w:rPr>
          <w:rFonts w:ascii="Times New Roman" w:hAnsi="Times New Roman" w:eastAsia="方正小标宋_GBK" w:cs="华文中宋"/>
          <w:sz w:val="44"/>
          <w:szCs w:val="44"/>
        </w:rPr>
      </w:pPr>
      <w:r>
        <w:rPr>
          <w:rFonts w:hint="eastAsia" w:ascii="Times New Roman" w:hAnsi="Times New Roman" w:eastAsia="方正小标宋_GBK" w:cs="华文中宋"/>
          <w:sz w:val="44"/>
          <w:szCs w:val="44"/>
        </w:rPr>
        <w:t>2024年部门预算情况说明</w:t>
      </w:r>
    </w:p>
    <w:p>
      <w:pPr>
        <w:spacing w:line="600" w:lineRule="exact"/>
        <w:ind w:firstLine="640" w:firstLineChars="200"/>
        <w:rPr>
          <w:rFonts w:ascii="Times New Roman" w:hAnsi="Times New Roman" w:eastAsia="方正仿宋_GBK" w:cs="仿宋_GB2312"/>
          <w:sz w:val="32"/>
        </w:rPr>
      </w:pP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spacing w:line="600" w:lineRule="exact"/>
        <w:ind w:firstLine="640" w:firstLineChars="200"/>
        <w:rPr>
          <w:rFonts w:hint="eastAsia" w:ascii="方正楷体_GBK" w:hAnsi="Times New Roman" w:eastAsia="方正楷体_GBK" w:cs="仿宋_GB2312"/>
          <w:sz w:val="32"/>
        </w:rPr>
      </w:pPr>
      <w:r>
        <w:rPr>
          <w:rFonts w:hint="eastAsia" w:ascii="方正楷体_GBK" w:hAnsi="Times New Roman" w:eastAsia="方正楷体_GBK" w:cs="仿宋_GB2312"/>
          <w:sz w:val="32"/>
        </w:rPr>
        <w:t>（一）职能职责</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根据《中共重庆市綦江区委机构编制委员会关于印发&lt;重庆市綦江区住房和城乡建设委员会所属事业单位机构编制方案&gt;的通知》（綦江委办发〔2019〕105号）规定，重庆市綦江区城市建设档案中心为重庆市綦江区住房和城乡建设委员会管理的正科级公益一类事业单位。其主要职能职责如下：</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1.贯彻执行建设工程档案有关法律、法规、规范、制度。</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2.负责建设工程档案专项验收，按规定接收需长期和永久保存的建设工程档案。</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3.负责对接收的建设工程档案、城乡建设业务技术档案等进行管理、编研、开发，利用城建档案开展服务工作。</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4.负责建设市场各方主体城建档案的业务指导，协助主管部门开展专项督查。</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5.完成主管部门交办的其他工作。</w:t>
      </w:r>
    </w:p>
    <w:p>
      <w:pPr>
        <w:spacing w:line="600" w:lineRule="exact"/>
        <w:ind w:firstLine="640" w:firstLineChars="200"/>
        <w:rPr>
          <w:rFonts w:ascii="方正楷体_GBK" w:hAnsi="Times New Roman" w:eastAsia="方正楷体_GBK" w:cs="仿宋_GB2312"/>
          <w:sz w:val="32"/>
        </w:rPr>
      </w:pPr>
      <w:r>
        <w:rPr>
          <w:rFonts w:hint="eastAsia" w:ascii="方正楷体_GBK" w:hAnsi="Times New Roman" w:eastAsia="方正楷体_GBK" w:cs="仿宋_GB2312"/>
          <w:sz w:val="32"/>
        </w:rPr>
        <w:t>（二）单位构成</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本单位无内设科室。</w:t>
      </w:r>
    </w:p>
    <w:p>
      <w:pPr>
        <w:spacing w:line="600" w:lineRule="exact"/>
        <w:ind w:firstLine="640" w:firstLineChars="200"/>
        <w:rPr>
          <w:rFonts w:ascii="方正楷体_GBK" w:hAnsi="Times New Roman" w:eastAsia="方正楷体_GBK" w:cs="仿宋_GB2312"/>
          <w:sz w:val="32"/>
        </w:rPr>
      </w:pPr>
      <w:r>
        <w:rPr>
          <w:rFonts w:hint="eastAsia" w:ascii="方正楷体_GBK" w:hAnsi="Times New Roman" w:eastAsia="方正楷体_GBK" w:cs="仿宋_GB2312"/>
          <w:sz w:val="32"/>
        </w:rPr>
        <w:t>（三）机构改革相关情况。</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无。</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二、部门收支总体情况</w:t>
      </w:r>
    </w:p>
    <w:p>
      <w:pPr>
        <w:spacing w:line="600" w:lineRule="exact"/>
        <w:ind w:firstLine="640" w:firstLineChars="200"/>
        <w:rPr>
          <w:rFonts w:ascii="Times New Roman" w:hAnsi="Times New Roman" w:eastAsia="方正仿宋_GBK"/>
          <w:sz w:val="32"/>
          <w:highlight w:val="none"/>
        </w:rPr>
      </w:pPr>
      <w:r>
        <w:rPr>
          <w:rFonts w:ascii="Times New Roman" w:hAnsi="Times New Roman" w:eastAsia="方正仿宋_GBK"/>
          <w:sz w:val="32"/>
        </w:rPr>
        <w:t>（一）收入预算：</w:t>
      </w:r>
      <w:r>
        <w:rPr>
          <w:rFonts w:hint="eastAsia" w:ascii="Times New Roman" w:hAnsi="Times New Roman" w:eastAsia="方正仿宋_GBK"/>
          <w:sz w:val="32"/>
        </w:rPr>
        <w:t>2024</w:t>
      </w:r>
      <w:r>
        <w:rPr>
          <w:rFonts w:ascii="Times New Roman" w:hAnsi="Times New Roman" w:eastAsia="方正仿宋_GBK"/>
          <w:sz w:val="32"/>
        </w:rPr>
        <w:t>年年初预算数</w:t>
      </w:r>
      <w:r>
        <w:rPr>
          <w:rFonts w:hint="eastAsia" w:ascii="Times New Roman" w:hAnsi="Times New Roman" w:eastAsia="方正仿宋_GBK"/>
          <w:sz w:val="32"/>
        </w:rPr>
        <w:t>150.64</w:t>
      </w:r>
      <w:r>
        <w:rPr>
          <w:rFonts w:ascii="Times New Roman" w:hAnsi="Times New Roman" w:eastAsia="方正仿宋_GBK"/>
          <w:sz w:val="32"/>
        </w:rPr>
        <w:t>万元，其中：一般公共预算拨款</w:t>
      </w:r>
      <w:r>
        <w:rPr>
          <w:rFonts w:hint="eastAsia" w:ascii="Times New Roman" w:hAnsi="Times New Roman" w:eastAsia="方正仿宋_GBK"/>
          <w:sz w:val="32"/>
        </w:rPr>
        <w:t>150.64</w:t>
      </w:r>
      <w:r>
        <w:rPr>
          <w:rFonts w:ascii="Times New Roman" w:hAnsi="Times New Roman" w:eastAsia="方正仿宋_GBK"/>
          <w:sz w:val="32"/>
        </w:rPr>
        <w:t>万元，政府性基金预算拨款</w:t>
      </w:r>
      <w:r>
        <w:rPr>
          <w:rFonts w:hint="eastAsia" w:ascii="Times New Roman" w:hAnsi="Times New Roman" w:eastAsia="方正仿宋_GBK"/>
          <w:sz w:val="32"/>
        </w:rPr>
        <w:t>0</w:t>
      </w:r>
      <w:r>
        <w:rPr>
          <w:rFonts w:ascii="Times New Roman" w:hAnsi="Times New Roman" w:eastAsia="方正仿宋_GBK"/>
          <w:sz w:val="32"/>
        </w:rPr>
        <w:t>万元，国有资本经营预算收入</w:t>
      </w:r>
      <w:r>
        <w:rPr>
          <w:rFonts w:hint="eastAsia" w:ascii="Times New Roman" w:hAnsi="Times New Roman" w:eastAsia="方正仿宋_GBK"/>
          <w:sz w:val="32"/>
        </w:rPr>
        <w:t>0</w:t>
      </w:r>
      <w:r>
        <w:rPr>
          <w:rFonts w:ascii="Times New Roman" w:hAnsi="Times New Roman" w:eastAsia="方正仿宋_GBK"/>
          <w:sz w:val="32"/>
        </w:rPr>
        <w:t>万元，事业收入</w:t>
      </w:r>
      <w:r>
        <w:rPr>
          <w:rFonts w:hint="eastAsia" w:ascii="Times New Roman" w:hAnsi="Times New Roman" w:eastAsia="方正仿宋_GBK"/>
          <w:sz w:val="32"/>
        </w:rPr>
        <w:t>0</w:t>
      </w:r>
      <w:r>
        <w:rPr>
          <w:rFonts w:ascii="Times New Roman" w:hAnsi="Times New Roman" w:eastAsia="方正仿宋_GBK"/>
          <w:sz w:val="32"/>
        </w:rPr>
        <w:t>万元，事业单位经营收入</w:t>
      </w:r>
      <w:r>
        <w:rPr>
          <w:rFonts w:hint="eastAsia" w:ascii="Times New Roman" w:hAnsi="Times New Roman" w:eastAsia="方正仿宋_GBK"/>
          <w:sz w:val="32"/>
        </w:rPr>
        <w:t>0</w:t>
      </w:r>
      <w:r>
        <w:rPr>
          <w:rFonts w:ascii="Times New Roman" w:hAnsi="Times New Roman" w:eastAsia="方正仿宋_GBK"/>
          <w:sz w:val="32"/>
        </w:rPr>
        <w:t>万元，其他收入</w:t>
      </w:r>
      <w:r>
        <w:rPr>
          <w:rFonts w:hint="eastAsia" w:ascii="Times New Roman" w:hAnsi="Times New Roman" w:eastAsia="方正仿宋_GBK"/>
          <w:sz w:val="32"/>
        </w:rPr>
        <w:t>0</w:t>
      </w:r>
      <w:r>
        <w:rPr>
          <w:rFonts w:ascii="Times New Roman" w:hAnsi="Times New Roman" w:eastAsia="方正仿宋_GBK"/>
          <w:sz w:val="32"/>
        </w:rPr>
        <w:t>万元。收入较</w:t>
      </w:r>
      <w:r>
        <w:rPr>
          <w:rFonts w:hint="eastAsia" w:ascii="Times New Roman" w:hAnsi="Times New Roman" w:eastAsia="方正仿宋_GBK"/>
          <w:sz w:val="32"/>
        </w:rPr>
        <w:t>2023</w:t>
      </w:r>
      <w:r>
        <w:rPr>
          <w:rFonts w:ascii="Times New Roman" w:hAnsi="Times New Roman" w:eastAsia="方正仿宋_GBK"/>
          <w:sz w:val="32"/>
        </w:rPr>
        <w:t>年</w:t>
      </w:r>
      <w:r>
        <w:rPr>
          <w:rFonts w:hint="eastAsia" w:ascii="Times New Roman" w:hAnsi="Times New Roman" w:eastAsia="方正仿宋_GBK"/>
          <w:sz w:val="32"/>
        </w:rPr>
        <w:t>减少12.07</w:t>
      </w:r>
      <w:r>
        <w:rPr>
          <w:rFonts w:ascii="Times New Roman" w:hAnsi="Times New Roman" w:eastAsia="方正仿宋_GBK"/>
          <w:sz w:val="32"/>
        </w:rPr>
        <w:t>万元，主要是</w:t>
      </w:r>
      <w:r>
        <w:rPr>
          <w:rFonts w:hint="eastAsia" w:ascii="Times New Roman" w:hAnsi="Times New Roman" w:eastAsia="方正仿宋_GBK"/>
          <w:sz w:val="32"/>
        </w:rPr>
        <w:t>一般公共预算拨款减少9</w:t>
      </w:r>
      <w:r>
        <w:rPr>
          <w:rFonts w:ascii="Times New Roman" w:hAnsi="Times New Roman" w:eastAsia="方正仿宋_GBK"/>
          <w:sz w:val="32"/>
        </w:rPr>
        <w:t>万元</w:t>
      </w:r>
      <w:r>
        <w:rPr>
          <w:rFonts w:hint="eastAsia" w:ascii="Times New Roman" w:hAnsi="Times New Roman" w:eastAsia="方正仿宋_GBK"/>
          <w:sz w:val="32"/>
          <w:lang w:val="en-US" w:eastAsia="zh-CN"/>
        </w:rPr>
        <w:t>以及</w:t>
      </w:r>
      <w:r>
        <w:rPr>
          <w:rFonts w:hint="eastAsia" w:ascii="Times New Roman" w:hAnsi="Times New Roman" w:eastAsia="方正仿宋_GBK"/>
          <w:sz w:val="32"/>
          <w:highlight w:val="none"/>
          <w:lang w:val="en-US" w:eastAsia="zh-CN"/>
        </w:rPr>
        <w:t>2022年的奖励性绩效3.07万元结转到2023年发放。</w:t>
      </w:r>
      <w:bookmarkStart w:id="0" w:name="_GoBack"/>
      <w:bookmarkEnd w:id="0"/>
    </w:p>
    <w:p>
      <w:pPr>
        <w:spacing w:line="600" w:lineRule="exact"/>
        <w:ind w:firstLine="640" w:firstLineChars="200"/>
        <w:rPr>
          <w:rFonts w:ascii="Times New Roman" w:hAnsi="Times New Roman" w:eastAsia="方正仿宋_GBK" w:cs="仿宋_GB2312"/>
          <w:sz w:val="32"/>
        </w:rPr>
      </w:pPr>
      <w:r>
        <w:rPr>
          <w:rFonts w:ascii="Times New Roman" w:hAnsi="Times New Roman" w:eastAsia="方正仿宋_GBK"/>
          <w:sz w:val="32"/>
        </w:rPr>
        <w:t>（二）支出预算：</w:t>
      </w:r>
      <w:r>
        <w:rPr>
          <w:rFonts w:hint="eastAsia" w:ascii="Times New Roman" w:hAnsi="Times New Roman" w:eastAsia="方正仿宋_GBK"/>
          <w:sz w:val="32"/>
        </w:rPr>
        <w:t>2024</w:t>
      </w:r>
      <w:r>
        <w:rPr>
          <w:rFonts w:ascii="Times New Roman" w:hAnsi="Times New Roman" w:eastAsia="方正仿宋_GBK"/>
          <w:sz w:val="32"/>
        </w:rPr>
        <w:t>年年初预算数</w:t>
      </w:r>
      <w:r>
        <w:rPr>
          <w:rFonts w:hint="eastAsia" w:ascii="Times New Roman" w:hAnsi="Times New Roman" w:eastAsia="方正仿宋_GBK"/>
          <w:sz w:val="32"/>
        </w:rPr>
        <w:t>150.64</w:t>
      </w:r>
      <w:r>
        <w:rPr>
          <w:rFonts w:ascii="Times New Roman" w:hAnsi="Times New Roman" w:eastAsia="方正仿宋_GBK"/>
          <w:sz w:val="32"/>
        </w:rPr>
        <w:t>万元，其中：社会保障和就业支出预算</w:t>
      </w:r>
      <w:r>
        <w:rPr>
          <w:rFonts w:hint="eastAsia" w:ascii="Times New Roman" w:hAnsi="Times New Roman" w:eastAsia="方正仿宋_GBK"/>
          <w:sz w:val="32"/>
        </w:rPr>
        <w:t>13.50</w:t>
      </w:r>
      <w:r>
        <w:rPr>
          <w:rFonts w:ascii="Times New Roman" w:hAnsi="Times New Roman" w:eastAsia="方正仿宋_GBK"/>
          <w:sz w:val="32"/>
        </w:rPr>
        <w:t>万元，卫生健康支出预算</w:t>
      </w:r>
      <w:r>
        <w:rPr>
          <w:rFonts w:hint="eastAsia" w:ascii="Times New Roman" w:hAnsi="Times New Roman" w:eastAsia="方正仿宋_GBK"/>
          <w:sz w:val="32"/>
        </w:rPr>
        <w:t>4.12</w:t>
      </w:r>
      <w:r>
        <w:rPr>
          <w:rFonts w:ascii="Times New Roman" w:hAnsi="Times New Roman" w:eastAsia="方正仿宋_GBK"/>
          <w:sz w:val="32"/>
        </w:rPr>
        <w:t>万元，</w:t>
      </w:r>
      <w:r>
        <w:rPr>
          <w:rFonts w:hint="eastAsia" w:ascii="Times New Roman" w:hAnsi="Times New Roman" w:eastAsia="方正仿宋_GBK"/>
          <w:sz w:val="32"/>
        </w:rPr>
        <w:t>城乡社区支出128.88万元，</w:t>
      </w:r>
      <w:r>
        <w:rPr>
          <w:rFonts w:ascii="Times New Roman" w:hAnsi="Times New Roman" w:eastAsia="方正仿宋_GBK"/>
          <w:sz w:val="32"/>
        </w:rPr>
        <w:t>住房保障支出预算</w:t>
      </w:r>
      <w:r>
        <w:rPr>
          <w:rFonts w:hint="eastAsia" w:ascii="Times New Roman" w:hAnsi="Times New Roman" w:eastAsia="方正仿宋_GBK"/>
          <w:sz w:val="32"/>
        </w:rPr>
        <w:t>4.14</w:t>
      </w:r>
      <w:r>
        <w:rPr>
          <w:rFonts w:ascii="Times New Roman" w:hAnsi="Times New Roman" w:eastAsia="方正仿宋_GBK"/>
          <w:sz w:val="32"/>
        </w:rPr>
        <w:t>万元。支出预算较</w:t>
      </w:r>
      <w:r>
        <w:rPr>
          <w:rFonts w:hint="eastAsia" w:ascii="Times New Roman" w:hAnsi="Times New Roman" w:eastAsia="方正仿宋_GBK"/>
          <w:sz w:val="32"/>
        </w:rPr>
        <w:t>2023</w:t>
      </w:r>
      <w:r>
        <w:rPr>
          <w:rFonts w:ascii="Times New Roman" w:hAnsi="Times New Roman" w:eastAsia="方正仿宋_GBK"/>
          <w:sz w:val="32"/>
        </w:rPr>
        <w:t>年</w:t>
      </w:r>
      <w:r>
        <w:rPr>
          <w:rFonts w:hint="eastAsia" w:ascii="Times New Roman" w:hAnsi="Times New Roman" w:eastAsia="方正仿宋_GBK"/>
          <w:sz w:val="32"/>
        </w:rPr>
        <w:t>减少12.07</w:t>
      </w:r>
      <w:r>
        <w:rPr>
          <w:rFonts w:hint="eastAsia" w:ascii="Times New Roman" w:hAnsi="Times New Roman" w:eastAsia="方正仿宋_GBK" w:cs="仿宋_GB2312"/>
          <w:sz w:val="32"/>
        </w:rPr>
        <w:t>万元，主要是基本支出预算增加</w:t>
      </w:r>
      <w:r>
        <w:rPr>
          <w:rFonts w:hint="eastAsia" w:ascii="Times New Roman" w:hAnsi="Times New Roman" w:eastAsia="方正仿宋_GBK"/>
          <w:sz w:val="32"/>
        </w:rPr>
        <w:t>15.88</w:t>
      </w:r>
      <w:r>
        <w:rPr>
          <w:rFonts w:hint="eastAsia" w:ascii="Times New Roman" w:hAnsi="Times New Roman" w:eastAsia="方正仿宋_GBK" w:cs="仿宋_GB2312"/>
          <w:sz w:val="32"/>
        </w:rPr>
        <w:t>万元，项目支出预算</w:t>
      </w:r>
      <w:r>
        <w:rPr>
          <w:rFonts w:hint="eastAsia" w:ascii="Times New Roman" w:hAnsi="Times New Roman" w:eastAsia="方正仿宋_GBK"/>
          <w:sz w:val="32"/>
        </w:rPr>
        <w:t>减少27.95</w:t>
      </w:r>
      <w:r>
        <w:rPr>
          <w:rFonts w:hint="eastAsia" w:ascii="Times New Roman" w:hAnsi="Times New Roman" w:eastAsia="方正仿宋_GBK" w:cs="仿宋_GB2312"/>
          <w:sz w:val="32"/>
        </w:rPr>
        <w:t>万元。</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三、部门预算情况说明</w:t>
      </w:r>
    </w:p>
    <w:p>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2024</w:t>
      </w:r>
      <w:r>
        <w:rPr>
          <w:rFonts w:ascii="Times New Roman" w:hAnsi="Times New Roman" w:eastAsia="方正仿宋_GBK"/>
          <w:sz w:val="32"/>
        </w:rPr>
        <w:t>年一般公共预算财政拨款收入</w:t>
      </w:r>
      <w:r>
        <w:rPr>
          <w:rFonts w:hint="eastAsia" w:ascii="Times New Roman" w:hAnsi="Times New Roman" w:eastAsia="方正仿宋_GBK"/>
          <w:sz w:val="32"/>
        </w:rPr>
        <w:t>150.64</w:t>
      </w:r>
      <w:r>
        <w:rPr>
          <w:rFonts w:ascii="Times New Roman" w:hAnsi="Times New Roman" w:eastAsia="方正仿宋_GBK"/>
          <w:sz w:val="32"/>
        </w:rPr>
        <w:t>万元，一般公共预算财政拨款支出</w:t>
      </w:r>
      <w:r>
        <w:rPr>
          <w:rFonts w:hint="eastAsia" w:ascii="Times New Roman" w:hAnsi="Times New Roman" w:eastAsia="方正仿宋_GBK"/>
          <w:sz w:val="32"/>
        </w:rPr>
        <w:t>150.64</w:t>
      </w:r>
      <w:r>
        <w:rPr>
          <w:rFonts w:ascii="Times New Roman" w:hAnsi="Times New Roman" w:eastAsia="方正仿宋_GBK"/>
          <w:sz w:val="32"/>
        </w:rPr>
        <w:t>万元，比</w:t>
      </w:r>
      <w:r>
        <w:rPr>
          <w:rFonts w:hint="eastAsia" w:ascii="Times New Roman" w:hAnsi="Times New Roman" w:eastAsia="方正仿宋_GBK"/>
          <w:sz w:val="32"/>
        </w:rPr>
        <w:t>2023</w:t>
      </w:r>
      <w:r>
        <w:rPr>
          <w:rFonts w:ascii="Times New Roman" w:hAnsi="Times New Roman" w:eastAsia="方正仿宋_GBK"/>
          <w:sz w:val="32"/>
        </w:rPr>
        <w:t>年增加减少</w:t>
      </w:r>
      <w:r>
        <w:rPr>
          <w:rFonts w:hint="eastAsia" w:ascii="Times New Roman" w:hAnsi="Times New Roman" w:eastAsia="方正仿宋_GBK"/>
          <w:sz w:val="32"/>
        </w:rPr>
        <w:t>12.07</w:t>
      </w:r>
      <w:r>
        <w:rPr>
          <w:rFonts w:ascii="Times New Roman" w:hAnsi="Times New Roman" w:eastAsia="方正仿宋_GBK"/>
          <w:sz w:val="32"/>
        </w:rPr>
        <w:t>万元。其中：基本支出</w:t>
      </w:r>
      <w:r>
        <w:rPr>
          <w:rFonts w:hint="eastAsia" w:ascii="Times New Roman" w:hAnsi="Times New Roman" w:eastAsia="方正仿宋_GBK"/>
          <w:sz w:val="32"/>
        </w:rPr>
        <w:t>106.35</w:t>
      </w:r>
      <w:r>
        <w:rPr>
          <w:rFonts w:ascii="Times New Roman" w:hAnsi="Times New Roman" w:eastAsia="方正仿宋_GBK"/>
          <w:sz w:val="32"/>
        </w:rPr>
        <w:t>万元，比</w:t>
      </w:r>
      <w:r>
        <w:rPr>
          <w:rFonts w:hint="eastAsia" w:ascii="Times New Roman" w:hAnsi="Times New Roman" w:eastAsia="方正仿宋_GBK"/>
          <w:sz w:val="32"/>
        </w:rPr>
        <w:t>2023</w:t>
      </w:r>
      <w:r>
        <w:rPr>
          <w:rFonts w:ascii="Times New Roman" w:hAnsi="Times New Roman" w:eastAsia="方正仿宋_GBK"/>
          <w:sz w:val="32"/>
        </w:rPr>
        <w:t>年增加</w:t>
      </w:r>
      <w:r>
        <w:rPr>
          <w:rFonts w:hint="eastAsia" w:ascii="Times New Roman" w:hAnsi="Times New Roman" w:eastAsia="方正仿宋_GBK"/>
          <w:sz w:val="32"/>
        </w:rPr>
        <w:t>15.88</w:t>
      </w:r>
      <w:r>
        <w:rPr>
          <w:rFonts w:ascii="Times New Roman" w:hAnsi="Times New Roman" w:eastAsia="方正仿宋_GBK"/>
          <w:sz w:val="32"/>
        </w:rPr>
        <w:t>万元，主要原因是</w:t>
      </w:r>
      <w:r>
        <w:rPr>
          <w:rFonts w:hint="eastAsia" w:ascii="Times New Roman" w:hAnsi="Times New Roman" w:eastAsia="方正仿宋_GBK"/>
          <w:sz w:val="32"/>
        </w:rPr>
        <w:t>人员经费拨款增加等</w:t>
      </w:r>
      <w:r>
        <w:rPr>
          <w:rFonts w:ascii="Times New Roman" w:hAnsi="Times New Roman" w:eastAsia="方正仿宋_GBK"/>
          <w:sz w:val="32"/>
        </w:rPr>
        <w:t>，主要用于保障在职人员工资福利及社会保险缴费，退休人员补助等，保障部门正常运转的各项商品服务支出；项目支出</w:t>
      </w:r>
      <w:r>
        <w:rPr>
          <w:rFonts w:hint="eastAsia" w:ascii="Times New Roman" w:hAnsi="Times New Roman" w:eastAsia="方正仿宋_GBK"/>
          <w:sz w:val="32"/>
        </w:rPr>
        <w:t>44.25</w:t>
      </w:r>
      <w:r>
        <w:rPr>
          <w:rFonts w:ascii="Times New Roman" w:hAnsi="Times New Roman" w:eastAsia="方正仿宋_GBK"/>
          <w:sz w:val="32"/>
        </w:rPr>
        <w:t>万元，主要原因是</w:t>
      </w:r>
      <w:r>
        <w:rPr>
          <w:rFonts w:hint="eastAsia" w:ascii="Times New Roman" w:hAnsi="Times New Roman" w:eastAsia="方正仿宋_GBK"/>
          <w:sz w:val="32"/>
        </w:rPr>
        <w:t>城建档案室数字化扫描项目经费减少</w:t>
      </w:r>
      <w:r>
        <w:rPr>
          <w:rFonts w:ascii="Times New Roman" w:hAnsi="Times New Roman" w:eastAsia="方正仿宋_GBK"/>
          <w:sz w:val="32"/>
        </w:rPr>
        <w:t>。</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cs="仿宋_GB2312"/>
          <w:sz w:val="32"/>
        </w:rPr>
        <w:t>本单位</w:t>
      </w:r>
      <w:r>
        <w:rPr>
          <w:rFonts w:hint="eastAsia" w:ascii="Times New Roman" w:hAnsi="Times New Roman" w:eastAsia="方正仿宋_GBK"/>
          <w:sz w:val="32"/>
        </w:rPr>
        <w:t>2024</w:t>
      </w:r>
      <w:r>
        <w:rPr>
          <w:rFonts w:hint="eastAsia" w:ascii="Times New Roman" w:hAnsi="Times New Roman" w:eastAsia="方正仿宋_GBK" w:cs="仿宋_GB2312"/>
          <w:sz w:val="32"/>
        </w:rPr>
        <w:t>年无使用政府性基金预算拨款安排的支出。</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四、“三公”经费情况说明</w:t>
      </w:r>
    </w:p>
    <w:p>
      <w:pPr>
        <w:spacing w:line="600" w:lineRule="exact"/>
        <w:ind w:firstLine="600"/>
        <w:rPr>
          <w:rFonts w:ascii="Times New Roman" w:hAnsi="Times New Roman" w:eastAsia="方正仿宋_GBK" w:cs="仿宋_GB2312"/>
          <w:sz w:val="32"/>
        </w:rPr>
      </w:pPr>
      <w:r>
        <w:rPr>
          <w:rFonts w:hint="eastAsia" w:ascii="Times New Roman" w:hAnsi="Times New Roman" w:eastAsia="方正仿宋_GBK"/>
          <w:sz w:val="32"/>
        </w:rPr>
        <w:t>2024</w:t>
      </w:r>
      <w:r>
        <w:rPr>
          <w:rFonts w:hint="eastAsia" w:ascii="Times New Roman" w:hAnsi="Times New Roman" w:eastAsia="方正仿宋_GBK" w:cs="仿宋_GB2312"/>
          <w:sz w:val="32"/>
        </w:rPr>
        <w:t>年“三公”经费预算</w:t>
      </w:r>
      <w:r>
        <w:rPr>
          <w:rFonts w:hint="eastAsia" w:ascii="Times New Roman" w:hAnsi="Times New Roman" w:eastAsia="方正仿宋_GBK"/>
          <w:sz w:val="32"/>
        </w:rPr>
        <w:t>0.4</w:t>
      </w:r>
      <w:r>
        <w:rPr>
          <w:rFonts w:hint="eastAsia" w:ascii="Times New Roman" w:hAnsi="Times New Roman" w:eastAsia="方正仿宋_GBK" w:cs="仿宋_GB2312"/>
          <w:sz w:val="32"/>
        </w:rPr>
        <w:t>万元，与上年持平。其中：因公出国（境）费用</w:t>
      </w:r>
      <w:r>
        <w:rPr>
          <w:rFonts w:hint="eastAsia" w:ascii="Times New Roman" w:hAnsi="Times New Roman" w:eastAsia="方正仿宋_GBK"/>
          <w:sz w:val="32"/>
        </w:rPr>
        <w:t>0</w:t>
      </w:r>
      <w:r>
        <w:rPr>
          <w:rFonts w:hint="eastAsia" w:ascii="Times New Roman" w:hAnsi="Times New Roman" w:eastAsia="方正仿宋_GBK" w:cs="仿宋_GB2312"/>
          <w:sz w:val="32"/>
        </w:rPr>
        <w:t>万元；公务接待费</w:t>
      </w:r>
      <w:r>
        <w:rPr>
          <w:rFonts w:hint="eastAsia" w:ascii="Times New Roman" w:hAnsi="Times New Roman" w:eastAsia="方正仿宋_GBK"/>
          <w:sz w:val="32"/>
        </w:rPr>
        <w:t>0.4</w:t>
      </w:r>
      <w:r>
        <w:rPr>
          <w:rFonts w:hint="eastAsia" w:ascii="Times New Roman" w:hAnsi="Times New Roman" w:eastAsia="方正仿宋_GBK" w:cs="仿宋_GB2312"/>
          <w:sz w:val="32"/>
        </w:rPr>
        <w:t>万元；与上年持平；公务用车运行维护费</w:t>
      </w:r>
      <w:r>
        <w:rPr>
          <w:rFonts w:hint="eastAsia" w:ascii="Times New Roman" w:hAnsi="Times New Roman" w:eastAsia="方正仿宋_GBK"/>
          <w:sz w:val="32"/>
        </w:rPr>
        <w:t>0</w:t>
      </w:r>
      <w:r>
        <w:rPr>
          <w:rFonts w:hint="eastAsia" w:ascii="Times New Roman" w:hAnsi="Times New Roman" w:eastAsia="方正仿宋_GBK" w:cs="仿宋_GB2312"/>
          <w:sz w:val="32"/>
        </w:rPr>
        <w:t>万元；公务用车购置费0万元。</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sz w:val="32"/>
        </w:rPr>
        <w:t>1.</w:t>
      </w:r>
      <w:r>
        <w:rPr>
          <w:rFonts w:hint="eastAsia" w:ascii="Times New Roman" w:hAnsi="Times New Roman" w:eastAsia="方正仿宋_GBK" w:cs="仿宋_GB2312"/>
          <w:sz w:val="32"/>
        </w:rPr>
        <w:t>本单位不在机关运行经费统计范围之内。</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仿宋_GBK"/>
          <w:sz w:val="32"/>
        </w:rPr>
        <w:t>2.</w:t>
      </w:r>
      <w:r>
        <w:rPr>
          <w:rFonts w:hint="eastAsia" w:ascii="Times New Roman" w:hAnsi="Times New Roman" w:eastAsia="方正仿宋_GBK" w:cs="仿宋_GB2312"/>
          <w:sz w:val="32"/>
        </w:rPr>
        <w:t>政府采购情况。2024年本单位编制政府采购预算0万元。</w:t>
      </w:r>
    </w:p>
    <w:p>
      <w:pPr>
        <w:spacing w:line="600" w:lineRule="exact"/>
        <w:ind w:firstLine="640" w:firstLineChars="200"/>
        <w:rPr>
          <w:rFonts w:ascii="Times New Roman" w:hAnsi="Times New Roman" w:eastAsia="方正仿宋_GBK" w:cs="仿宋_GB2312"/>
          <w:color w:val="000000"/>
          <w:sz w:val="32"/>
        </w:rPr>
      </w:pPr>
      <w:r>
        <w:rPr>
          <w:rFonts w:hint="eastAsia" w:ascii="Times New Roman" w:hAnsi="Times New Roman" w:eastAsia="方正仿宋_GBK"/>
          <w:sz w:val="32"/>
        </w:rPr>
        <w:t>3.</w:t>
      </w:r>
      <w:r>
        <w:rPr>
          <w:rFonts w:hint="eastAsia" w:ascii="Times New Roman" w:hAnsi="Times New Roman" w:eastAsia="方正仿宋_GBK" w:cs="仿宋_GB2312"/>
          <w:sz w:val="32"/>
        </w:rPr>
        <w:t>绩效目标设置情况。</w:t>
      </w:r>
      <w:r>
        <w:rPr>
          <w:rFonts w:hint="eastAsia" w:ascii="Times New Roman" w:hAnsi="Times New Roman" w:eastAsia="方正仿宋_GBK"/>
          <w:sz w:val="32"/>
        </w:rPr>
        <w:t>2024</w:t>
      </w:r>
      <w:r>
        <w:rPr>
          <w:rFonts w:hint="eastAsia" w:ascii="Times New Roman" w:hAnsi="Times New Roman" w:eastAsia="方正仿宋_GBK" w:cs="仿宋_GB2312"/>
          <w:color w:val="000000"/>
          <w:sz w:val="32"/>
        </w:rPr>
        <w:t>年项目支出均实行了绩效目标管理，涉及一般公共预算当年财政拨款</w:t>
      </w:r>
      <w:r>
        <w:rPr>
          <w:rFonts w:ascii="Times New Roman" w:hAnsi="Times New Roman" w:eastAsia="方正仿宋_GBK"/>
          <w:kern w:val="0"/>
          <w:sz w:val="32"/>
          <w:szCs w:val="32"/>
        </w:rPr>
        <w:t>44.29</w:t>
      </w:r>
      <w:r>
        <w:rPr>
          <w:rFonts w:hint="eastAsia" w:ascii="Times New Roman" w:hAnsi="Times New Roman" w:eastAsia="方正仿宋_GBK" w:cs="仿宋_GB2312"/>
          <w:color w:val="000000"/>
          <w:sz w:val="32"/>
        </w:rPr>
        <w:t>万元。</w:t>
      </w:r>
    </w:p>
    <w:p>
      <w:pPr>
        <w:spacing w:line="600" w:lineRule="exact"/>
        <w:ind w:firstLine="640" w:firstLineChars="200"/>
        <w:rPr>
          <w:rFonts w:ascii="Times New Roman" w:hAnsi="Times New Roman" w:eastAsia="方正仿宋_GBK" w:cs="仿宋_GB2312"/>
          <w:color w:val="000000"/>
          <w:sz w:val="32"/>
        </w:rPr>
      </w:pPr>
      <w:r>
        <w:rPr>
          <w:rFonts w:hint="eastAsia" w:ascii="Times New Roman" w:hAnsi="Times New Roman" w:eastAsia="方正仿宋_GBK"/>
          <w:sz w:val="32"/>
        </w:rPr>
        <w:t>4.</w:t>
      </w:r>
      <w:r>
        <w:rPr>
          <w:rFonts w:hint="eastAsia" w:ascii="Times New Roman" w:hAnsi="Times New Roman" w:eastAsia="方正仿宋_GBK" w:cs="仿宋_GB2312"/>
          <w:color w:val="000000"/>
          <w:sz w:val="32"/>
        </w:rPr>
        <w:t>国有资产占有使用情况。</w:t>
      </w:r>
      <w:r>
        <w:rPr>
          <w:rFonts w:hint="eastAsia" w:ascii="Times New Roman" w:hAnsi="Times New Roman" w:eastAsia="方正仿宋_GBK"/>
          <w:sz w:val="32"/>
        </w:rPr>
        <w:t>截止2023年12月</w:t>
      </w:r>
      <w:r>
        <w:rPr>
          <w:rFonts w:hint="eastAsia" w:ascii="Times New Roman" w:hAnsi="Times New Roman" w:eastAsia="方正仿宋_GBK" w:cs="仿宋_GB2312"/>
          <w:color w:val="000000"/>
          <w:sz w:val="32"/>
        </w:rPr>
        <w:t>，本单位无公车编制。</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cs="方正仿宋_GBK"/>
          <w:bCs/>
          <w:sz w:val="32"/>
        </w:rPr>
      </w:pPr>
      <w:r>
        <w:rPr>
          <w:rFonts w:hint="eastAsia" w:ascii="Times New Roman" w:hAnsi="Times New Roman" w:eastAsia="方正仿宋_GBK" w:cs="仿宋_GB2312"/>
          <w:sz w:val="32"/>
        </w:rPr>
        <w:t>联系人：重庆市綦江区住房和城乡建设委员会财务科</w:t>
      </w:r>
    </w:p>
    <w:p>
      <w:pPr>
        <w:spacing w:line="600" w:lineRule="exact"/>
        <w:ind w:firstLine="640" w:firstLineChars="200"/>
        <w:rPr>
          <w:rFonts w:ascii="Times New Roman" w:hAnsi="Times New Roman" w:eastAsia="方正仿宋_GBK" w:cs="方正仿宋_GBK"/>
          <w:bCs/>
          <w:sz w:val="32"/>
        </w:rPr>
      </w:pPr>
      <w:r>
        <w:rPr>
          <w:rFonts w:hint="eastAsia" w:ascii="Times New Roman" w:hAnsi="Times New Roman" w:eastAsia="方正仿宋_GBK" w:cs="方正仿宋_GBK"/>
          <w:bCs/>
          <w:sz w:val="32"/>
        </w:rPr>
        <w:t>联系方式：023-48678817。</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204D"/>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740EB"/>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35384"/>
    <w:rsid w:val="00B54CE7"/>
    <w:rsid w:val="00B558CC"/>
    <w:rsid w:val="00B63DCF"/>
    <w:rsid w:val="00B65450"/>
    <w:rsid w:val="00B72347"/>
    <w:rsid w:val="00B86388"/>
    <w:rsid w:val="00B91A35"/>
    <w:rsid w:val="00BB3B39"/>
    <w:rsid w:val="00BC2C3D"/>
    <w:rsid w:val="00BD0BB9"/>
    <w:rsid w:val="00BD5FA5"/>
    <w:rsid w:val="00BE3479"/>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C45BF"/>
    <w:rsid w:val="00DE3685"/>
    <w:rsid w:val="00DE5805"/>
    <w:rsid w:val="00E00D68"/>
    <w:rsid w:val="00E01CEB"/>
    <w:rsid w:val="00E11FB2"/>
    <w:rsid w:val="00E275D0"/>
    <w:rsid w:val="00E40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B23E6"/>
    <w:rsid w:val="00FC2169"/>
    <w:rsid w:val="00FC2267"/>
    <w:rsid w:val="00FE12C3"/>
    <w:rsid w:val="00FE28C5"/>
    <w:rsid w:val="03BE06E9"/>
    <w:rsid w:val="03C279D9"/>
    <w:rsid w:val="12C60834"/>
    <w:rsid w:val="136479B6"/>
    <w:rsid w:val="1729409D"/>
    <w:rsid w:val="18CC21E2"/>
    <w:rsid w:val="19D75DEA"/>
    <w:rsid w:val="1EE74E77"/>
    <w:rsid w:val="29067D05"/>
    <w:rsid w:val="358A68A2"/>
    <w:rsid w:val="3B4D2873"/>
    <w:rsid w:val="3BC5739B"/>
    <w:rsid w:val="421C7239"/>
    <w:rsid w:val="48310C7F"/>
    <w:rsid w:val="4B1735E2"/>
    <w:rsid w:val="4CDE4EB5"/>
    <w:rsid w:val="51281453"/>
    <w:rsid w:val="534E12E6"/>
    <w:rsid w:val="63477795"/>
    <w:rsid w:val="66796353"/>
    <w:rsid w:val="73AE7B06"/>
    <w:rsid w:val="7556416A"/>
    <w:rsid w:val="775A25F8"/>
    <w:rsid w:val="78B104FE"/>
    <w:rsid w:val="7ACB6B93"/>
    <w:rsid w:val="7BC6063D"/>
    <w:rsid w:val="7BC97BEE"/>
    <w:rsid w:val="7E4C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批注框文本 Char"/>
    <w:link w:val="2"/>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1389</Characters>
  <Lines>11</Lines>
  <Paragraphs>3</Paragraphs>
  <TotalTime>3</TotalTime>
  <ScaleCrop>false</ScaleCrop>
  <LinksUpToDate>false</LinksUpToDate>
  <CharactersWithSpaces>1629</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RL</cp:lastModifiedBy>
  <cp:lastPrinted>2021-02-01T09:10:00Z</cp:lastPrinted>
  <dcterms:modified xsi:type="dcterms:W3CDTF">2024-03-11T02:39:23Z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C1082805ED604779A4D2DBF3A58016B2</vt:lpwstr>
  </property>
</Properties>
</file>