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b w:val="0"/>
          <w:bCs w:val="0"/>
          <w:spacing w:val="0"/>
          <w:sz w:val="44"/>
          <w:szCs w:val="44"/>
          <w:highlight w:val="none"/>
          <w:u w:val="none" w:color="auto"/>
        </w:rPr>
      </w:pPr>
      <w:r>
        <w:rPr>
          <w:rFonts w:hint="default" w:ascii="Times New Roman" w:hAnsi="Times New Roman" w:eastAsia="方正小标宋_GBK" w:cs="Times New Roman"/>
          <w:b w:val="0"/>
          <w:bCs w:val="0"/>
          <w:spacing w:val="0"/>
          <w:sz w:val="44"/>
          <w:szCs w:val="44"/>
          <w:highlight w:val="none"/>
          <w:u w:val="none" w:color="auto"/>
        </w:rPr>
        <w:t>重庆市綦江区石角镇蒲河卫生院</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_GBK" w:cs="Times New Roman"/>
          <w:b w:val="0"/>
          <w:bCs w:val="0"/>
          <w:spacing w:val="0"/>
          <w:sz w:val="44"/>
          <w:szCs w:val="44"/>
          <w:highlight w:val="none"/>
          <w:u w:val="none" w:color="auto"/>
        </w:rPr>
      </w:pPr>
      <w:r>
        <w:rPr>
          <w:rFonts w:hint="default" w:ascii="Times New Roman" w:hAnsi="Times New Roman" w:eastAsia="方正小标宋_GBK" w:cs="Times New Roman"/>
          <w:b w:val="0"/>
          <w:bCs w:val="0"/>
          <w:spacing w:val="0"/>
          <w:sz w:val="44"/>
          <w:szCs w:val="44"/>
          <w:highlight w:val="none"/>
          <w:u w:val="none" w:color="auto"/>
        </w:rPr>
        <w:t>2024年度决算</w:t>
      </w:r>
      <w:r>
        <w:rPr>
          <w:rFonts w:hint="default" w:ascii="Times New Roman" w:hAnsi="Times New Roman" w:eastAsia="方正小标宋_GBK" w:cs="Times New Roman"/>
          <w:b w:val="0"/>
          <w:bCs w:val="0"/>
          <w:spacing w:val="0"/>
          <w:sz w:val="44"/>
          <w:szCs w:val="44"/>
          <w:highlight w:val="none"/>
          <w:u w:val="none" w:color="auto"/>
          <w:lang w:val="en-US" w:eastAsia="zh-CN"/>
        </w:rPr>
        <w:t>公开</w:t>
      </w:r>
      <w:r>
        <w:rPr>
          <w:rFonts w:hint="default" w:ascii="Times New Roman" w:hAnsi="Times New Roman" w:eastAsia="方正小标宋_GBK" w:cs="Times New Roman"/>
          <w:b w:val="0"/>
          <w:bCs w:val="0"/>
          <w:spacing w:val="0"/>
          <w:sz w:val="44"/>
          <w:szCs w:val="44"/>
          <w:highlight w:val="none"/>
          <w:u w:val="none" w:color="auto"/>
        </w:rPr>
        <w:t>说明</w:t>
      </w:r>
    </w:p>
    <w:p>
      <w:pPr>
        <w:pStyle w:val="5"/>
        <w:keepNext w:val="0"/>
        <w:keepLines w:val="0"/>
        <w:pageBreakBefore w:val="0"/>
        <w:widowControl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36"/>
          <w:szCs w:val="36"/>
          <w:shd w:val="clear" w:color="auto" w:fill="FFFFFF"/>
        </w:rPr>
      </w:pPr>
    </w:p>
    <w:p>
      <w:pPr>
        <w:pStyle w:val="10"/>
        <w:keepNext w:val="0"/>
        <w:keepLines w:val="0"/>
        <w:pageBreakBefore w:val="0"/>
        <w:widowControl w:val="0"/>
        <w:suppressLineNumbers w:val="0"/>
        <w:tabs>
          <w:tab w:val="center" w:pos="4153"/>
          <w:tab w:val="left" w:pos="7275"/>
        </w:tabs>
        <w:kinsoku/>
        <w:wordWrap/>
        <w:overflowPunct/>
        <w:topLinePunct w:val="0"/>
        <w:autoSpaceDN/>
        <w:bidi w:val="0"/>
        <w:adjustRightInd/>
        <w:spacing w:before="0" w:beforeAutospacing="0" w:after="0" w:afterAutospacing="0" w:line="560" w:lineRule="exact"/>
        <w:ind w:left="0" w:right="0" w:firstLine="640"/>
        <w:jc w:val="both"/>
        <w:textAlignment w:val="auto"/>
        <w:rPr>
          <w:rFonts w:hint="default" w:ascii="Times New Roman" w:hAnsi="Times New Roman" w:eastAsia="方正黑体_GBK" w:cs="Times New Roman"/>
          <w:kern w:val="2"/>
          <w:sz w:val="32"/>
          <w:szCs w:val="32"/>
          <w:lang w:bidi="ar-SA"/>
        </w:rPr>
      </w:pPr>
      <w:r>
        <w:rPr>
          <w:rFonts w:hint="default" w:ascii="Times New Roman" w:hAnsi="Times New Roman" w:eastAsia="方正黑体_GBK" w:cs="Times New Roman"/>
          <w:kern w:val="2"/>
          <w:sz w:val="32"/>
          <w:szCs w:val="32"/>
          <w:lang w:bidi="ar-SA"/>
        </w:rPr>
        <w:t>一、单位基本情况</w:t>
      </w:r>
    </w:p>
    <w:p>
      <w:pPr>
        <w:pStyle w:val="11"/>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right="0" w:rightChars="0" w:firstLine="640" w:firstLineChars="200"/>
        <w:textAlignment w:val="auto"/>
        <w:rPr>
          <w:rStyle w:val="12"/>
          <w:rFonts w:hint="default" w:ascii="Times New Roman" w:hAnsi="Times New Roman" w:eastAsia="方正楷体_GBK" w:cs="Times New Roman"/>
          <w:b w:val="0"/>
          <w:bCs w:val="0"/>
          <w:sz w:val="32"/>
          <w:szCs w:val="32"/>
          <w:shd w:val="clear" w:fill="FFFFFF"/>
        </w:rPr>
      </w:pPr>
      <w:r>
        <w:rPr>
          <w:rStyle w:val="12"/>
          <w:rFonts w:hint="default" w:ascii="Times New Roman" w:hAnsi="Times New Roman" w:eastAsia="方正楷体_GBK" w:cs="Times New Roman"/>
          <w:b w:val="0"/>
          <w:bCs w:val="0"/>
          <w:sz w:val="32"/>
          <w:szCs w:val="32"/>
          <w:shd w:val="clear"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color w:val="000000" w:themeColor="text1"/>
          <w:spacing w:val="0"/>
          <w:sz w:val="32"/>
          <w:szCs w:val="32"/>
          <w:highlight w:val="none"/>
          <w:u w:val="none" w:color="auto"/>
          <w:shd w:val="clear" w:color="auto" w:fill="auto"/>
          <w:lang w:eastAsia="zh-CN"/>
          <w14:textFill>
            <w14:solidFill>
              <w14:schemeClr w14:val="tx1"/>
            </w14:solidFill>
          </w14:textFill>
        </w:rPr>
      </w:pPr>
      <w:r>
        <w:rPr>
          <w:rFonts w:hint="default" w:ascii="Times New Roman" w:hAnsi="Times New Roman" w:eastAsia="方正仿宋_GBK" w:cs="Times New Roman"/>
          <w:b w:val="0"/>
          <w:bCs w:val="0"/>
          <w:spacing w:val="0"/>
          <w:sz w:val="32"/>
          <w:szCs w:val="32"/>
          <w:highlight w:val="none"/>
          <w:u w:val="none" w:color="auto"/>
        </w:rPr>
        <w:t>重庆市</w:t>
      </w:r>
      <w:r>
        <w:rPr>
          <w:rFonts w:hint="default" w:ascii="Times New Roman" w:hAnsi="Times New Roman" w:eastAsia="方正仿宋_GBK" w:cs="Times New Roman"/>
          <w:b w:val="0"/>
          <w:bCs w:val="0"/>
          <w:color w:val="000000" w:themeColor="text1"/>
          <w:spacing w:val="0"/>
          <w:sz w:val="32"/>
          <w:szCs w:val="32"/>
          <w:highlight w:val="none"/>
          <w:u w:val="none" w:color="auto"/>
          <w:shd w:val="clear" w:color="auto" w:fill="auto"/>
          <w:lang w:eastAsia="zh-CN"/>
          <w14:textFill>
            <w14:solidFill>
              <w14:schemeClr w14:val="tx1"/>
            </w14:solidFill>
          </w14:textFill>
        </w:rPr>
        <w:t>綦江区</w:t>
      </w:r>
      <w:r>
        <w:rPr>
          <w:rFonts w:hint="default" w:ascii="Times New Roman" w:hAnsi="Times New Roman" w:eastAsia="方正仿宋_GBK" w:cs="Times New Roman"/>
          <w:b w:val="0"/>
          <w:bCs w:val="0"/>
          <w:color w:val="000000" w:themeColor="text1"/>
          <w:spacing w:val="0"/>
          <w:sz w:val="32"/>
          <w:szCs w:val="32"/>
          <w:highlight w:val="none"/>
          <w:u w:val="none" w:color="auto"/>
          <w:shd w:val="clear" w:color="auto" w:fill="auto"/>
          <w:lang w:val="en-US" w:eastAsia="zh-CN"/>
          <w14:textFill>
            <w14:solidFill>
              <w14:schemeClr w14:val="tx1"/>
            </w14:solidFill>
          </w14:textFill>
        </w:rPr>
        <w:t>石角镇蒲河卫生院</w:t>
      </w:r>
      <w:r>
        <w:rPr>
          <w:rFonts w:hint="default" w:ascii="Times New Roman" w:hAnsi="Times New Roman" w:eastAsia="方正仿宋_GBK" w:cs="Times New Roman"/>
          <w:b w:val="0"/>
          <w:bCs w:val="0"/>
          <w:color w:val="000000" w:themeColor="text1"/>
          <w:spacing w:val="0"/>
          <w:sz w:val="32"/>
          <w:szCs w:val="32"/>
          <w:highlight w:val="none"/>
          <w:u w:val="none" w:color="auto"/>
          <w:shd w:val="clear" w:color="auto" w:fill="auto"/>
          <w:lang w:eastAsia="zh-CN"/>
          <w14:textFill>
            <w14:solidFill>
              <w14:schemeClr w14:val="tx1"/>
            </w14:solidFill>
          </w14:textFill>
        </w:rPr>
        <w:t>，始建于195</w:t>
      </w:r>
      <w:r>
        <w:rPr>
          <w:rFonts w:hint="default" w:ascii="Times New Roman" w:hAnsi="Times New Roman" w:eastAsia="方正仿宋_GBK" w:cs="Times New Roman"/>
          <w:b w:val="0"/>
          <w:bCs w:val="0"/>
          <w:color w:val="000000" w:themeColor="text1"/>
          <w:spacing w:val="0"/>
          <w:sz w:val="32"/>
          <w:szCs w:val="32"/>
          <w:highlight w:val="none"/>
          <w:u w:val="none" w:color="auto"/>
          <w:shd w:val="clear" w:color="auto" w:fill="auto"/>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pacing w:val="0"/>
          <w:sz w:val="32"/>
          <w:szCs w:val="32"/>
          <w:highlight w:val="none"/>
          <w:u w:val="none" w:color="auto"/>
          <w:shd w:val="clear" w:color="auto" w:fill="auto"/>
          <w:lang w:eastAsia="zh-CN"/>
          <w14:textFill>
            <w14:solidFill>
              <w14:schemeClr w14:val="tx1"/>
            </w14:solidFill>
          </w14:textFill>
        </w:rPr>
        <w:t>年，是一所集基本医疗、预防保健、 基本公卫为一体的基层医疗机构。</w:t>
      </w:r>
    </w:p>
    <w:p>
      <w:pPr>
        <w:pStyle w:val="11"/>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560" w:lineRule="exact"/>
        <w:ind w:right="0" w:rightChars="0" w:firstLine="640" w:firstLineChars="200"/>
        <w:textAlignment w:val="auto"/>
        <w:rPr>
          <w:rStyle w:val="12"/>
          <w:rFonts w:hint="default" w:ascii="Times New Roman" w:hAnsi="Times New Roman" w:eastAsia="方正楷体_GBK" w:cs="Times New Roman"/>
          <w:b w:val="0"/>
          <w:bCs w:val="0"/>
          <w:sz w:val="32"/>
          <w:szCs w:val="32"/>
          <w:shd w:val="clear" w:fill="FFFFFF"/>
        </w:rPr>
      </w:pPr>
      <w:r>
        <w:rPr>
          <w:rStyle w:val="12"/>
          <w:rFonts w:hint="default" w:ascii="Times New Roman" w:hAnsi="Times New Roman" w:eastAsia="方正楷体_GBK" w:cs="Times New Roman"/>
          <w:b w:val="0"/>
          <w:bCs w:val="0"/>
          <w:sz w:val="32"/>
          <w:szCs w:val="32"/>
          <w:shd w:val="clear" w:fill="FFFFFF"/>
          <w:lang w:eastAsia="zh-CN"/>
        </w:rPr>
        <w:t>（</w:t>
      </w:r>
      <w:r>
        <w:rPr>
          <w:rStyle w:val="12"/>
          <w:rFonts w:hint="default" w:ascii="Times New Roman" w:hAnsi="Times New Roman" w:eastAsia="方正楷体_GBK" w:cs="Times New Roman"/>
          <w:b w:val="0"/>
          <w:bCs w:val="0"/>
          <w:sz w:val="32"/>
          <w:szCs w:val="32"/>
          <w:shd w:val="clear" w:fill="FFFFFF"/>
          <w:lang w:val="en-US" w:eastAsia="zh-CN"/>
        </w:rPr>
        <w:t>二</w:t>
      </w:r>
      <w:r>
        <w:rPr>
          <w:rStyle w:val="12"/>
          <w:rFonts w:hint="default" w:ascii="Times New Roman" w:hAnsi="Times New Roman" w:eastAsia="方正楷体_GBK" w:cs="Times New Roman"/>
          <w:b w:val="0"/>
          <w:bCs w:val="0"/>
          <w:sz w:val="32"/>
          <w:szCs w:val="32"/>
          <w:shd w:val="clear" w:fill="FFFFFF"/>
          <w:lang w:eastAsia="zh-CN"/>
        </w:rPr>
        <w:t>）</w:t>
      </w:r>
      <w:r>
        <w:rPr>
          <w:rStyle w:val="12"/>
          <w:rFonts w:hint="default" w:ascii="Times New Roman" w:hAnsi="Times New Roman" w:eastAsia="方正楷体_GBK" w:cs="Times New Roman"/>
          <w:b w:val="0"/>
          <w:bCs w:val="0"/>
          <w:sz w:val="32"/>
          <w:szCs w:val="32"/>
          <w:shd w:val="clear" w:fill="FFFFFF"/>
        </w:rPr>
        <w:t>机构设置</w:t>
      </w:r>
    </w:p>
    <w:p>
      <w:pPr>
        <w:pStyle w:val="11"/>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right="0" w:rightChars="0" w:firstLine="640" w:firstLineChars="200"/>
        <w:jc w:val="both"/>
        <w:textAlignment w:val="auto"/>
        <w:rPr>
          <w:rStyle w:val="12"/>
          <w:rFonts w:hint="default" w:ascii="Times New Roman" w:hAnsi="Times New Roman" w:eastAsia="方正楷体_GBK" w:cs="Times New Roman"/>
          <w:b w:val="0"/>
          <w:bCs w:val="0"/>
          <w:sz w:val="32"/>
          <w:szCs w:val="32"/>
          <w:shd w:val="clear" w:fill="FFFFFF"/>
        </w:rPr>
      </w:pPr>
      <w:r>
        <w:rPr>
          <w:rFonts w:hint="default" w:ascii="Times New Roman" w:hAnsi="Times New Roman" w:eastAsia="方正仿宋_GBK" w:cs="Times New Roman"/>
          <w:b w:val="0"/>
          <w:bCs w:val="0"/>
          <w:spacing w:val="0"/>
          <w:sz w:val="32"/>
          <w:szCs w:val="32"/>
          <w:highlight w:val="none"/>
          <w:u w:val="none" w:color="auto"/>
        </w:rPr>
        <w:t>医院业务用房面积</w:t>
      </w:r>
      <w:r>
        <w:rPr>
          <w:rStyle w:val="13"/>
          <w:rFonts w:hint="default" w:ascii="Times New Roman" w:hAnsi="Times New Roman" w:eastAsia="方正仿宋_GBK" w:cs="Times New Roman"/>
          <w:b w:val="0"/>
          <w:bCs w:val="0"/>
          <w:sz w:val="32"/>
          <w:szCs w:val="32"/>
          <w:shd w:val="clear" w:fill="FFFFFF"/>
        </w:rPr>
        <w:t>1330平方米，</w:t>
      </w:r>
      <w:r>
        <w:rPr>
          <w:rFonts w:hint="default" w:ascii="Times New Roman" w:hAnsi="Times New Roman" w:eastAsia="方正仿宋_GBK" w:cs="Times New Roman"/>
          <w:b w:val="0"/>
          <w:bCs w:val="0"/>
          <w:spacing w:val="0"/>
          <w:sz w:val="32"/>
          <w:szCs w:val="32"/>
          <w:highlight w:val="none"/>
          <w:u w:val="none" w:color="auto"/>
        </w:rPr>
        <w:t>开放床位</w:t>
      </w:r>
      <w:r>
        <w:rPr>
          <w:rFonts w:hint="default" w:ascii="Times New Roman" w:hAnsi="Times New Roman" w:eastAsia="方正仿宋_GBK" w:cs="Times New Roman"/>
          <w:b w:val="0"/>
          <w:bCs w:val="0"/>
          <w:spacing w:val="0"/>
          <w:sz w:val="32"/>
          <w:szCs w:val="32"/>
          <w:highlight w:val="none"/>
          <w:u w:val="none" w:color="auto"/>
          <w:lang w:val="en-US" w:eastAsia="zh-CN"/>
        </w:rPr>
        <w:t>25</w:t>
      </w:r>
      <w:r>
        <w:rPr>
          <w:rFonts w:hint="default" w:ascii="Times New Roman" w:hAnsi="Times New Roman" w:eastAsia="方正仿宋_GBK" w:cs="Times New Roman"/>
          <w:b w:val="0"/>
          <w:bCs w:val="0"/>
          <w:spacing w:val="0"/>
          <w:sz w:val="32"/>
          <w:szCs w:val="32"/>
          <w:highlight w:val="none"/>
          <w:u w:val="none" w:color="auto"/>
        </w:rPr>
        <w:t>张</w:t>
      </w:r>
      <w:r>
        <w:rPr>
          <w:rFonts w:hint="default" w:ascii="Times New Roman" w:hAnsi="Times New Roman" w:eastAsia="方正仿宋_GBK" w:cs="Times New Roman"/>
          <w:b w:val="0"/>
          <w:bCs w:val="0"/>
          <w:spacing w:val="0"/>
          <w:sz w:val="32"/>
          <w:szCs w:val="32"/>
          <w:highlight w:val="none"/>
          <w:u w:val="none" w:color="auto"/>
          <w:lang w:eastAsia="zh-CN"/>
        </w:rPr>
        <w:t>，</w:t>
      </w:r>
      <w:r>
        <w:rPr>
          <w:rStyle w:val="13"/>
          <w:rFonts w:hint="default" w:ascii="Times New Roman" w:hAnsi="Times New Roman" w:eastAsia="方正仿宋_GBK" w:cs="Times New Roman"/>
          <w:b w:val="0"/>
          <w:bCs w:val="0"/>
          <w:sz w:val="32"/>
          <w:szCs w:val="32"/>
          <w:shd w:val="clear" w:fill="FFFFFF"/>
        </w:rPr>
        <w:t>现设9个职能科室，分别是</w:t>
      </w:r>
      <w:r>
        <w:rPr>
          <w:rStyle w:val="14"/>
          <w:rFonts w:hint="default" w:ascii="Times New Roman" w:hAnsi="Times New Roman" w:eastAsia="方正仿宋_GBK" w:cs="Times New Roman"/>
          <w:kern w:val="2"/>
          <w:sz w:val="32"/>
          <w:szCs w:val="32"/>
        </w:rPr>
        <w:t>党政办、人事科、财务资产科、总务设备科、全科医学科、医保信息科、药械科、公共卫生科（应急办）、</w:t>
      </w:r>
      <w:r>
        <w:rPr>
          <w:rFonts w:hint="default" w:ascii="Times New Roman" w:hAnsi="Times New Roman" w:eastAsia="方正仿宋_GBK" w:cs="Times New Roman"/>
          <w:kern w:val="0"/>
          <w:sz w:val="32"/>
          <w:szCs w:val="32"/>
        </w:rPr>
        <w:t>护理与院感科</w:t>
      </w:r>
      <w:r>
        <w:rPr>
          <w:rStyle w:val="14"/>
          <w:rFonts w:hint="default" w:ascii="Times New Roman" w:hAnsi="Times New Roman" w:eastAsia="方正仿宋_GBK" w:cs="Times New Roman"/>
          <w:kern w:val="2"/>
          <w:sz w:val="32"/>
          <w:szCs w:val="32"/>
        </w:rPr>
        <w:t>。</w:t>
      </w:r>
      <w:r>
        <w:rPr>
          <w:rStyle w:val="13"/>
          <w:rFonts w:hint="default" w:ascii="Times New Roman" w:hAnsi="Times New Roman" w:eastAsia="方正仿宋_GBK" w:cs="Times New Roman"/>
          <w:b w:val="0"/>
          <w:bCs w:val="0"/>
          <w:sz w:val="32"/>
          <w:szCs w:val="32"/>
          <w:shd w:val="clear" w:fill="FFFFFF"/>
        </w:rPr>
        <w:t>核定编制20人，现有在职职工26人，在编人员19人（其中管理岗位1人，高级职称1人，中级职称9人，初级职称7人，工勤技能1人）；劳务派遣7人。</w:t>
      </w:r>
    </w:p>
    <w:p>
      <w:pPr>
        <w:pStyle w:val="10"/>
        <w:keepNext w:val="0"/>
        <w:keepLines w:val="0"/>
        <w:pageBreakBefore w:val="0"/>
        <w:widowControl w:val="0"/>
        <w:suppressLineNumbers w:val="0"/>
        <w:tabs>
          <w:tab w:val="center" w:pos="4153"/>
          <w:tab w:val="left" w:pos="7275"/>
        </w:tabs>
        <w:kinsoku/>
        <w:wordWrap/>
        <w:overflowPunct/>
        <w:topLinePunct w:val="0"/>
        <w:autoSpaceDN/>
        <w:bidi w:val="0"/>
        <w:adjustRightInd/>
        <w:spacing w:before="0" w:beforeAutospacing="0" w:after="0" w:afterAutospacing="0" w:line="560" w:lineRule="exact"/>
        <w:ind w:left="0" w:right="0" w:firstLine="640"/>
        <w:jc w:val="both"/>
        <w:textAlignment w:val="auto"/>
        <w:rPr>
          <w:rFonts w:hint="default" w:ascii="Times New Roman" w:hAnsi="Times New Roman" w:eastAsia="方正黑体_GBK" w:cs="Times New Roman"/>
          <w:kern w:val="2"/>
          <w:sz w:val="32"/>
          <w:szCs w:val="32"/>
          <w:lang w:bidi="ar-SA"/>
        </w:rPr>
      </w:pPr>
      <w:r>
        <w:rPr>
          <w:rFonts w:hint="default" w:ascii="Times New Roman" w:hAnsi="Times New Roman" w:eastAsia="方正黑体_GBK" w:cs="Times New Roman"/>
          <w:kern w:val="2"/>
          <w:sz w:val="32"/>
          <w:szCs w:val="32"/>
          <w:lang w:bidi="ar-SA"/>
        </w:rPr>
        <w:t>二、单位决算收支情况说明</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（一）收入支出决算总体情况说明</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2024年度收、支总计均为520.23万元。收、支与2023年度相比，减少44.84万元，下降7.9%，主要原因是</w:t>
      </w:r>
      <w:r>
        <w:rPr>
          <w:rStyle w:val="13"/>
          <w:rFonts w:hint="default" w:ascii="Times New Roman" w:hAnsi="Times New Roman" w:eastAsia="方正仿宋_GBK" w:cs="Times New Roman"/>
          <w:b w:val="0"/>
          <w:bCs w:val="0"/>
          <w:sz w:val="32"/>
          <w:szCs w:val="32"/>
          <w:shd w:val="clear" w:fill="FFFFFF"/>
        </w:rPr>
        <w:t>本年医疗业务下降，事业收入减少。</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b w:val="0"/>
          <w:bCs w:val="0"/>
          <w:kern w:val="0"/>
          <w:sz w:val="32"/>
          <w:szCs w:val="32"/>
          <w:shd w:val="clear" w:fill="FFFFFF"/>
          <w:lang w:val="en-US" w:eastAsia="zh-CN" w:bidi="ar"/>
        </w:rPr>
        <w:t>收入情况</w:t>
      </w:r>
      <w:r>
        <w:rPr>
          <w:rStyle w:val="8"/>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2024年度收入合计520.23万元，与2023年度相比，减少44.84万元，下降7.9%，主要原因是</w:t>
      </w:r>
      <w:r>
        <w:rPr>
          <w:rStyle w:val="13"/>
          <w:rFonts w:hint="default" w:ascii="Times New Roman" w:hAnsi="Times New Roman" w:eastAsia="方正仿宋_GBK" w:cs="Times New Roman"/>
          <w:b w:val="0"/>
          <w:bCs w:val="0"/>
          <w:sz w:val="32"/>
          <w:szCs w:val="32"/>
          <w:shd w:val="clear" w:fill="FFFFFF"/>
        </w:rPr>
        <w:t>事业收入减少</w:t>
      </w:r>
      <w:r>
        <w:rPr>
          <w:rStyle w:val="13"/>
          <w:rFonts w:hint="default" w:ascii="Times New Roman" w:hAnsi="Times New Roman" w:eastAsia="方正仿宋_GBK" w:cs="Times New Roman"/>
          <w:b w:val="0"/>
          <w:bCs w:val="0"/>
          <w:sz w:val="32"/>
          <w:szCs w:val="32"/>
          <w:shd w:val="clear" w:fill="FFFFFF"/>
          <w:lang w:eastAsia="zh-CN"/>
        </w:rPr>
        <w:t>。</w:t>
      </w:r>
      <w:r>
        <w:rPr>
          <w:rFonts w:hint="default" w:ascii="Times New Roman" w:hAnsi="Times New Roman" w:eastAsia="方正仿宋_GBK" w:cs="Times New Roman"/>
          <w:sz w:val="32"/>
          <w:szCs w:val="32"/>
          <w:shd w:val="clear" w:color="auto" w:fill="FFFFFF"/>
        </w:rPr>
        <w:t>其中：财政拨款收入296.94万元，占57.1%；事业收入223.28万元，占42.9%；经营收入0.00万元，占0.0%；其他收入0.00万元，占0.0%。此外，使用非财政拨款结余（含专用结余）0.00万元，年初结转和结余0.00万元。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2.支出情况</w:t>
      </w:r>
      <w:r>
        <w:rPr>
          <w:rStyle w:val="8"/>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2024年度支出合计520.23万元，与2023年度相比，减少44.84万元，下降7.9%，主要原因是</w:t>
      </w:r>
      <w:r>
        <w:rPr>
          <w:rStyle w:val="13"/>
          <w:rFonts w:hint="default" w:ascii="Times New Roman" w:hAnsi="Times New Roman" w:eastAsia="方正仿宋_GBK" w:cs="Times New Roman"/>
          <w:b w:val="0"/>
          <w:bCs w:val="0"/>
          <w:sz w:val="32"/>
          <w:szCs w:val="32"/>
          <w:shd w:val="clear" w:fill="FFFFFF"/>
        </w:rPr>
        <w:t>医疗业务下降</w:t>
      </w:r>
      <w:r>
        <w:rPr>
          <w:rStyle w:val="15"/>
          <w:rFonts w:hint="default" w:ascii="Times New Roman" w:hAnsi="Times New Roman" w:eastAsia="方正仿宋_GBK" w:cs="Times New Roman"/>
          <w:b w:val="0"/>
          <w:bCs w:val="0"/>
          <w:sz w:val="32"/>
          <w:szCs w:val="32"/>
          <w:shd w:val="clear" w:fill="FFFFFF"/>
        </w:rPr>
        <w:t>导致药品、材料费减少</w:t>
      </w:r>
      <w:r>
        <w:rPr>
          <w:rStyle w:val="13"/>
          <w:rFonts w:hint="default" w:ascii="Times New Roman" w:hAnsi="Times New Roman" w:eastAsia="方正仿宋_GBK" w:cs="Times New Roman"/>
          <w:b w:val="0"/>
          <w:bCs w:val="0"/>
          <w:sz w:val="32"/>
          <w:szCs w:val="32"/>
          <w:shd w:val="clear" w:fill="FFFFFF"/>
        </w:rPr>
        <w:t>。</w:t>
      </w:r>
      <w:r>
        <w:rPr>
          <w:rFonts w:hint="default" w:ascii="Times New Roman" w:hAnsi="Times New Roman" w:eastAsia="方正仿宋_GBK" w:cs="Times New Roman"/>
          <w:sz w:val="32"/>
          <w:szCs w:val="32"/>
          <w:shd w:val="clear" w:color="auto" w:fill="FFFFFF"/>
        </w:rPr>
        <w:t>其中：基本支出432.91万元，占83.2%；项目支出87.32万元，占16.8%；经营支出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val="en-US" w:eastAsia="zh-CN"/>
        </w:rPr>
        <w:t>3.结转结余情况</w:t>
      </w:r>
      <w:r>
        <w:rPr>
          <w:rStyle w:val="8"/>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（二）财政拨款收入支出决算总体情况说明</w:t>
      </w:r>
    </w:p>
    <w:p>
      <w:pPr>
        <w:pStyle w:val="11"/>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2024年度财政拨款收、支总计均为296.94万元。与2023年度相比，财政拨款收、支总计各增加29.31万元，增长11.0%。主要原因是</w:t>
      </w:r>
      <w:r>
        <w:rPr>
          <w:rStyle w:val="13"/>
          <w:rFonts w:hint="default" w:ascii="Times New Roman" w:hAnsi="Times New Roman" w:eastAsia="方正仿宋_GBK" w:cs="Times New Roman"/>
          <w:b w:val="0"/>
          <w:bCs w:val="0"/>
          <w:sz w:val="32"/>
          <w:szCs w:val="32"/>
          <w:shd w:val="clear" w:fill="FFFFFF"/>
        </w:rPr>
        <w:t>当年养老保险和职业年金缴费基数大幅</w:t>
      </w:r>
      <w:r>
        <w:rPr>
          <w:rFonts w:hint="default" w:ascii="Times New Roman" w:hAnsi="Times New Roman" w:eastAsia="方正仿宋_GBK" w:cs="Times New Roman"/>
          <w:sz w:val="32"/>
          <w:szCs w:val="32"/>
          <w:shd w:val="clear" w:color="auto" w:fill="FFFFFF"/>
        </w:rPr>
        <w:t>度调增</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年末财政</w:t>
      </w:r>
      <w:r>
        <w:rPr>
          <w:rFonts w:hint="default" w:ascii="Times New Roman" w:hAnsi="Times New Roman" w:eastAsia="方正仿宋_GBK" w:cs="Times New Roman"/>
          <w:sz w:val="32"/>
          <w:szCs w:val="32"/>
          <w:shd w:val="clear" w:color="auto" w:fill="FFFFFF"/>
          <w:lang w:val="en-US" w:eastAsia="zh-CN"/>
        </w:rPr>
        <w:t>下达</w:t>
      </w:r>
      <w:r>
        <w:rPr>
          <w:rFonts w:hint="default" w:ascii="Times New Roman" w:hAnsi="Times New Roman" w:eastAsia="方正仿宋_GBK" w:cs="Times New Roman"/>
          <w:sz w:val="32"/>
          <w:szCs w:val="32"/>
          <w:shd w:val="clear" w:color="auto" w:fill="FFFFFF"/>
        </w:rPr>
        <w:t>养老保险、职业年金</w:t>
      </w:r>
      <w:r>
        <w:rPr>
          <w:rFonts w:hint="default" w:ascii="Times New Roman" w:hAnsi="Times New Roman" w:eastAsia="方正仿宋_GBK" w:cs="Times New Roman"/>
          <w:sz w:val="32"/>
          <w:szCs w:val="32"/>
          <w:shd w:val="clear" w:color="auto" w:fill="FFFFFF"/>
          <w:lang w:val="en-US" w:eastAsia="zh-CN"/>
        </w:rPr>
        <w:t>补缴</w:t>
      </w:r>
      <w:r>
        <w:rPr>
          <w:rFonts w:hint="default" w:ascii="Times New Roman" w:hAnsi="Times New Roman" w:eastAsia="方正仿宋_GBK" w:cs="Times New Roman"/>
          <w:sz w:val="32"/>
          <w:szCs w:val="32"/>
          <w:shd w:val="clear" w:color="auto" w:fill="FFFFFF"/>
        </w:rPr>
        <w:t>指标。</w:t>
      </w:r>
      <w:r>
        <w:rPr>
          <w:rFonts w:hint="default" w:ascii="Times New Roman" w:hAnsi="Times New Roman" w:eastAsia="方正仿宋_GBK" w:cs="Times New Roman"/>
          <w:sz w:val="32"/>
          <w:szCs w:val="32"/>
          <w:shd w:val="clear" w:color="auto" w:fill="FFFFFF"/>
          <w:lang w:val="en-US" w:eastAsia="zh-CN"/>
        </w:rPr>
        <w:t xml:space="preserve"> </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（三）一般公共预算财政拨款收入支出决算情况说明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rPr>
        <w:t>1.收入情况。</w:t>
      </w:r>
      <w:r>
        <w:rPr>
          <w:rFonts w:hint="default" w:ascii="Times New Roman" w:hAnsi="Times New Roman" w:eastAsia="方正仿宋_GBK" w:cs="Times New Roman"/>
          <w:sz w:val="32"/>
          <w:szCs w:val="32"/>
          <w:shd w:val="clear" w:color="auto" w:fill="FFFFFF"/>
        </w:rPr>
        <w:t>2024年度一般公共预算财政拨款收入296.94万元，与2023年度相比，增加29.31万元，增长11.0%。主要原因是</w:t>
      </w:r>
      <w:r>
        <w:rPr>
          <w:rStyle w:val="13"/>
          <w:rFonts w:hint="default" w:ascii="Times New Roman" w:hAnsi="Times New Roman" w:eastAsia="方正仿宋_GBK" w:cs="Times New Roman"/>
          <w:b w:val="0"/>
          <w:bCs w:val="0"/>
          <w:sz w:val="32"/>
          <w:szCs w:val="32"/>
          <w:shd w:val="clear" w:fill="FFFFFF"/>
        </w:rPr>
        <w:t>当年养老保险和职业年金缴费基数大幅度调增，年末财政下达养老保险、职业年金补缴指标</w:t>
      </w:r>
      <w:r>
        <w:rPr>
          <w:rStyle w:val="13"/>
          <w:rFonts w:hint="default" w:ascii="Times New Roman" w:hAnsi="Times New Roman" w:eastAsia="方正仿宋_GBK" w:cs="Times New Roman"/>
          <w:b w:val="0"/>
          <w:bCs w:val="0"/>
          <w:sz w:val="32"/>
          <w:szCs w:val="32"/>
          <w:shd w:val="clear" w:fill="FFFFFF"/>
          <w:lang w:eastAsia="zh-CN"/>
        </w:rPr>
        <w:t>。</w:t>
      </w:r>
      <w:r>
        <w:rPr>
          <w:rFonts w:hint="default" w:ascii="Times New Roman" w:hAnsi="Times New Roman" w:eastAsia="方正仿宋_GBK" w:cs="Times New Roman"/>
          <w:sz w:val="32"/>
          <w:szCs w:val="32"/>
          <w:shd w:val="clear" w:color="auto" w:fill="FFFFFF"/>
        </w:rPr>
        <w:t>较年初预算数增加124.80万元，增长72.5%。主要原因是</w:t>
      </w:r>
      <w:r>
        <w:rPr>
          <w:rStyle w:val="17"/>
          <w:rFonts w:hint="default" w:ascii="Times New Roman" w:hAnsi="Times New Roman" w:eastAsia="方正仿宋_GBK" w:cs="Times New Roman"/>
          <w:b w:val="0"/>
          <w:bCs w:val="0"/>
          <w:spacing w:val="0"/>
          <w:sz w:val="32"/>
          <w:szCs w:val="32"/>
          <w:highlight w:val="none"/>
          <w:u w:val="none" w:color="auto"/>
          <w:shd w:val="clear" w:fill="FFFFFF"/>
        </w:rPr>
        <w:t>基本公共卫生收入未纳入年初预算</w:t>
      </w:r>
      <w:r>
        <w:rPr>
          <w:rStyle w:val="13"/>
          <w:rFonts w:hint="default" w:ascii="Times New Roman" w:hAnsi="Times New Roman" w:eastAsia="方正仿宋_GBK" w:cs="Times New Roman"/>
          <w:b w:val="0"/>
          <w:bCs w:val="0"/>
          <w:sz w:val="32"/>
          <w:szCs w:val="32"/>
          <w:shd w:val="clear" w:fill="FFFFFF"/>
          <w:lang w:eastAsia="zh-CN"/>
        </w:rPr>
        <w:t>。</w:t>
      </w:r>
      <w:r>
        <w:rPr>
          <w:rFonts w:hint="default" w:ascii="Times New Roman" w:hAnsi="Times New Roman" w:eastAsia="方正仿宋_GBK" w:cs="Times New Roman"/>
          <w:sz w:val="32"/>
          <w:szCs w:val="32"/>
          <w:shd w:val="clear" w:color="auto" w:fill="FFFFFF"/>
        </w:rPr>
        <w:t>此外，年初财政拨款结转和结余0.00万元。</w:t>
      </w:r>
    </w:p>
    <w:p>
      <w:pPr>
        <w:pStyle w:val="11"/>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2.支出情况。</w:t>
      </w:r>
      <w:r>
        <w:rPr>
          <w:rFonts w:hint="default" w:ascii="Times New Roman" w:hAnsi="Times New Roman" w:eastAsia="方正仿宋_GBK" w:cs="Times New Roman"/>
          <w:sz w:val="32"/>
          <w:szCs w:val="32"/>
          <w:shd w:val="clear" w:color="auto" w:fill="FFFFFF"/>
        </w:rPr>
        <w:t>2024年度一般公共预算财政拨款支出296.94万元，与2023年度相比，增加29.31万元，增长11.0%。主要原因</w:t>
      </w:r>
      <w:r>
        <w:rPr>
          <w:rStyle w:val="13"/>
          <w:rFonts w:hint="default" w:ascii="Times New Roman" w:hAnsi="Times New Roman" w:eastAsia="方正仿宋_GBK" w:cs="Times New Roman"/>
          <w:b w:val="0"/>
          <w:bCs w:val="0"/>
          <w:sz w:val="32"/>
          <w:szCs w:val="32"/>
          <w:shd w:val="clear" w:fill="FFFFFF"/>
        </w:rPr>
        <w:t>是养老保险和职业年金缴费基数大幅度调增</w:t>
      </w:r>
      <w:r>
        <w:rPr>
          <w:rStyle w:val="13"/>
          <w:rFonts w:hint="default" w:ascii="Times New Roman" w:hAnsi="Times New Roman" w:eastAsia="方正仿宋_GBK" w:cs="Times New Roman"/>
          <w:b w:val="0"/>
          <w:bCs w:val="0"/>
          <w:sz w:val="32"/>
          <w:szCs w:val="32"/>
          <w:shd w:val="clear" w:fill="FFFFFF"/>
          <w:lang w:eastAsia="zh-CN"/>
        </w:rPr>
        <w:t>，</w:t>
      </w:r>
      <w:r>
        <w:rPr>
          <w:rFonts w:hint="default" w:ascii="Times New Roman" w:hAnsi="Times New Roman" w:eastAsia="方正仿宋_GBK" w:cs="Times New Roman"/>
          <w:b w:val="0"/>
          <w:bCs w:val="0"/>
          <w:spacing w:val="0"/>
          <w:sz w:val="32"/>
          <w:szCs w:val="32"/>
          <w:highlight w:val="none"/>
          <w:u w:val="none" w:color="auto"/>
          <w:shd w:val="clear" w:color="auto" w:fill="FFFFFF"/>
          <w:lang w:val="en-US" w:eastAsia="zh-CN"/>
        </w:rPr>
        <w:t>财政预算保险缴费支出增加</w:t>
      </w:r>
      <w:r>
        <w:rPr>
          <w:rStyle w:val="13"/>
          <w:rFonts w:hint="default" w:ascii="Times New Roman" w:hAnsi="Times New Roman" w:eastAsia="方正仿宋_GBK" w:cs="Times New Roman"/>
          <w:b w:val="0"/>
          <w:bCs w:val="0"/>
          <w:sz w:val="32"/>
          <w:szCs w:val="32"/>
          <w:shd w:val="clear" w:fill="FFFFFF"/>
          <w:lang w:eastAsia="zh-CN"/>
        </w:rPr>
        <w:t>。</w:t>
      </w:r>
      <w:r>
        <w:rPr>
          <w:rFonts w:hint="default" w:ascii="Times New Roman" w:hAnsi="Times New Roman" w:eastAsia="方正仿宋_GBK" w:cs="Times New Roman"/>
          <w:sz w:val="32"/>
          <w:szCs w:val="32"/>
          <w:shd w:val="clear" w:color="auto" w:fill="FFFFFF"/>
        </w:rPr>
        <w:t>较年初预算数增加124.80万元，增长72.5%</w:t>
      </w:r>
      <w:r>
        <w:rPr>
          <w:rFonts w:hint="default" w:ascii="Times New Roman" w:hAnsi="Times New Roman" w:eastAsia="方正仿宋_GBK" w:cs="Times New Roman"/>
          <w:sz w:val="32"/>
          <w:szCs w:val="32"/>
          <w:shd w:val="clear" w:color="auto" w:fill="FFFFFF"/>
          <w:lang w:eastAsia="zh-CN"/>
        </w:rPr>
        <w:t>，</w:t>
      </w:r>
      <w:r>
        <w:rPr>
          <w:rStyle w:val="17"/>
          <w:rFonts w:hint="default" w:ascii="Times New Roman" w:hAnsi="Times New Roman" w:eastAsia="方正仿宋_GBK" w:cs="Times New Roman"/>
          <w:b w:val="0"/>
          <w:bCs w:val="0"/>
          <w:spacing w:val="0"/>
          <w:sz w:val="32"/>
          <w:szCs w:val="32"/>
          <w:highlight w:val="none"/>
          <w:u w:val="none" w:color="auto"/>
          <w:shd w:val="clear" w:fill="FFFFFF"/>
          <w:lang w:val="en-US" w:eastAsia="zh-CN" w:bidi="ar-SA"/>
        </w:rPr>
        <w:t>主要原因是基本公共卫生收入未纳入年初预算。</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pPr>
        <w:pStyle w:val="11"/>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right="0" w:rightChars="0" w:firstLine="640" w:firstLineChars="200"/>
        <w:jc w:val="both"/>
        <w:textAlignment w:val="auto"/>
        <w:rPr>
          <w:rStyle w:val="17"/>
          <w:rFonts w:hint="default" w:ascii="Times New Roman" w:hAnsi="Times New Roman" w:eastAsia="方正仿宋_GBK" w:cs="Times New Roman"/>
          <w:b w:val="0"/>
          <w:bCs w:val="0"/>
          <w:spacing w:val="0"/>
          <w:sz w:val="32"/>
          <w:szCs w:val="32"/>
          <w:highlight w:val="none"/>
          <w:u w:val="none" w:color="auto"/>
          <w:shd w:val="clear"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）社会保障和就业支出67.18万元，占22.6%，较年初预算数增加24.44万元，增长57.2%，</w:t>
      </w:r>
      <w:r>
        <w:rPr>
          <w:rStyle w:val="17"/>
          <w:rFonts w:hint="default" w:ascii="Times New Roman" w:hAnsi="Times New Roman" w:eastAsia="方正仿宋_GBK" w:cs="Times New Roman"/>
          <w:b w:val="0"/>
          <w:bCs w:val="0"/>
          <w:spacing w:val="0"/>
          <w:sz w:val="32"/>
          <w:szCs w:val="32"/>
          <w:highlight w:val="none"/>
          <w:u w:val="none" w:color="auto"/>
          <w:shd w:val="clear" w:fill="FFFFFF"/>
          <w:lang w:val="en-US" w:eastAsia="zh-CN" w:bidi="ar-SA"/>
        </w:rPr>
        <w:t>主要原因是</w:t>
      </w:r>
      <w:r>
        <w:rPr>
          <w:rStyle w:val="17"/>
          <w:rFonts w:hint="default" w:ascii="Times New Roman" w:hAnsi="Times New Roman" w:eastAsia="方正仿宋_GBK" w:cs="Times New Roman"/>
          <w:b w:val="0"/>
          <w:bCs w:val="0"/>
          <w:spacing w:val="0"/>
          <w:sz w:val="32"/>
          <w:szCs w:val="32"/>
          <w:highlight w:val="none"/>
          <w:u w:val="none" w:color="auto"/>
          <w:shd w:val="clear" w:fill="FFFFFF"/>
        </w:rPr>
        <w:t>当年</w:t>
      </w:r>
      <w:r>
        <w:rPr>
          <w:rFonts w:hint="default" w:ascii="Times New Roman" w:hAnsi="Times New Roman" w:eastAsia="方正仿宋_GBK" w:cs="Times New Roman"/>
          <w:b w:val="0"/>
          <w:bCs w:val="0"/>
          <w:spacing w:val="0"/>
          <w:sz w:val="32"/>
          <w:szCs w:val="32"/>
          <w:highlight w:val="none"/>
          <w:u w:val="none" w:color="auto"/>
          <w:shd w:val="clear" w:color="auto" w:fill="FFFFFF"/>
          <w:lang w:eastAsia="zh-CN"/>
        </w:rPr>
        <w:t>养老保险和职业年金</w:t>
      </w:r>
      <w:r>
        <w:rPr>
          <w:rFonts w:hint="default" w:ascii="Times New Roman" w:hAnsi="Times New Roman" w:eastAsia="方正仿宋_GBK" w:cs="Times New Roman"/>
          <w:b w:val="0"/>
          <w:bCs w:val="0"/>
          <w:spacing w:val="0"/>
          <w:sz w:val="32"/>
          <w:szCs w:val="32"/>
          <w:highlight w:val="none"/>
          <w:u w:val="none" w:color="auto"/>
          <w:shd w:val="clear" w:color="auto" w:fill="FFFFFF"/>
          <w:lang w:val="en-US" w:eastAsia="zh-CN"/>
        </w:rPr>
        <w:t>缴费基数大幅</w:t>
      </w:r>
      <w:r>
        <w:rPr>
          <w:rFonts w:hint="default" w:ascii="Times New Roman" w:hAnsi="Times New Roman" w:eastAsia="方正仿宋_GBK" w:cs="Times New Roman"/>
          <w:b w:val="0"/>
          <w:bCs w:val="0"/>
          <w:spacing w:val="0"/>
          <w:sz w:val="32"/>
          <w:szCs w:val="32"/>
          <w:highlight w:val="none"/>
          <w:u w:val="none" w:color="auto"/>
          <w:shd w:val="clear" w:color="auto" w:fill="FFFFFF"/>
          <w:lang w:eastAsia="zh-CN"/>
        </w:rPr>
        <w:t>调</w:t>
      </w:r>
      <w:r>
        <w:rPr>
          <w:rFonts w:hint="default" w:ascii="Times New Roman" w:hAnsi="Times New Roman" w:eastAsia="方正仿宋_GBK" w:cs="Times New Roman"/>
          <w:b w:val="0"/>
          <w:bCs w:val="0"/>
          <w:spacing w:val="0"/>
          <w:sz w:val="32"/>
          <w:szCs w:val="32"/>
          <w:highlight w:val="none"/>
          <w:u w:val="none" w:color="auto"/>
          <w:shd w:val="clear" w:color="auto" w:fill="FFFFFF"/>
          <w:lang w:val="en-US" w:eastAsia="zh-CN"/>
        </w:rPr>
        <w:t>增</w:t>
      </w:r>
      <w:r>
        <w:rPr>
          <w:rStyle w:val="17"/>
          <w:rFonts w:hint="default" w:ascii="Times New Roman" w:hAnsi="Times New Roman" w:eastAsia="方正仿宋_GBK" w:cs="Times New Roman"/>
          <w:b w:val="0"/>
          <w:bCs w:val="0"/>
          <w:spacing w:val="0"/>
          <w:sz w:val="32"/>
          <w:szCs w:val="32"/>
          <w:highlight w:val="none"/>
          <w:u w:val="none" w:color="auto"/>
          <w:shd w:val="clear" w:fill="FFFFFF"/>
        </w:rPr>
        <w:t>，年末财政</w:t>
      </w:r>
      <w:r>
        <w:rPr>
          <w:rStyle w:val="17"/>
          <w:rFonts w:hint="default" w:ascii="Times New Roman" w:hAnsi="Times New Roman" w:eastAsia="方正仿宋_GBK" w:cs="Times New Roman"/>
          <w:b w:val="0"/>
          <w:bCs w:val="0"/>
          <w:spacing w:val="0"/>
          <w:sz w:val="32"/>
          <w:szCs w:val="32"/>
          <w:highlight w:val="none"/>
          <w:u w:val="none" w:color="auto"/>
          <w:shd w:val="clear" w:fill="FFFFFF"/>
          <w:lang w:val="en-US" w:eastAsia="zh-CN"/>
        </w:rPr>
        <w:t>下达</w:t>
      </w:r>
      <w:r>
        <w:rPr>
          <w:rStyle w:val="17"/>
          <w:rFonts w:hint="default" w:ascii="Times New Roman" w:hAnsi="Times New Roman" w:eastAsia="方正仿宋_GBK" w:cs="Times New Roman"/>
          <w:b w:val="0"/>
          <w:bCs w:val="0"/>
          <w:spacing w:val="0"/>
          <w:sz w:val="32"/>
          <w:szCs w:val="32"/>
          <w:highlight w:val="none"/>
          <w:u w:val="none" w:color="auto"/>
          <w:shd w:val="clear" w:fill="FFFFFF"/>
        </w:rPr>
        <w:t>养老保险、职业年金</w:t>
      </w:r>
      <w:r>
        <w:rPr>
          <w:rStyle w:val="17"/>
          <w:rFonts w:hint="default" w:ascii="Times New Roman" w:hAnsi="Times New Roman" w:eastAsia="方正仿宋_GBK" w:cs="Times New Roman"/>
          <w:b w:val="0"/>
          <w:bCs w:val="0"/>
          <w:spacing w:val="0"/>
          <w:sz w:val="32"/>
          <w:szCs w:val="32"/>
          <w:highlight w:val="none"/>
          <w:u w:val="none" w:color="auto"/>
          <w:shd w:val="clear" w:fill="FFFFFF"/>
          <w:lang w:val="en-US" w:eastAsia="zh-CN"/>
        </w:rPr>
        <w:t>补缴</w:t>
      </w:r>
      <w:r>
        <w:rPr>
          <w:rStyle w:val="17"/>
          <w:rFonts w:hint="default" w:ascii="Times New Roman" w:hAnsi="Times New Roman" w:eastAsia="方正仿宋_GBK" w:cs="Times New Roman"/>
          <w:b w:val="0"/>
          <w:bCs w:val="0"/>
          <w:spacing w:val="0"/>
          <w:sz w:val="32"/>
          <w:szCs w:val="32"/>
          <w:highlight w:val="none"/>
          <w:u w:val="none" w:color="auto"/>
          <w:shd w:val="clear" w:fill="FFFFFF"/>
        </w:rPr>
        <w:t>指标。</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17"/>
          <w:rFonts w:hint="default" w:ascii="Times New Roman" w:hAnsi="Times New Roman" w:eastAsia="方正仿宋_GBK" w:cs="Times New Roman"/>
          <w:b w:val="0"/>
          <w:bCs w:val="0"/>
          <w:spacing w:val="0"/>
          <w:sz w:val="32"/>
          <w:szCs w:val="32"/>
          <w:highlight w:val="none"/>
          <w:u w:val="none" w:color="auto"/>
          <w:shd w:val="clear"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）卫生健康支出229.77万元，占77.4%，较年初预算数增加100.37万元，增长77.6%，</w:t>
      </w:r>
      <w:r>
        <w:rPr>
          <w:rStyle w:val="17"/>
          <w:rFonts w:hint="default" w:ascii="Times New Roman" w:hAnsi="Times New Roman" w:eastAsia="方正仿宋_GBK" w:cs="Times New Roman"/>
          <w:b w:val="0"/>
          <w:bCs w:val="0"/>
          <w:spacing w:val="0"/>
          <w:sz w:val="32"/>
          <w:szCs w:val="32"/>
          <w:highlight w:val="none"/>
          <w:u w:val="none" w:color="auto"/>
          <w:shd w:val="clear" w:fill="FFFFFF"/>
          <w:lang w:val="en-US" w:eastAsia="zh-CN" w:bidi="ar-SA"/>
        </w:rPr>
        <w:t>主要原因是基本公共卫生收入未纳入年初预算。</w:t>
      </w:r>
    </w:p>
    <w:p>
      <w:pPr>
        <w:pStyle w:val="11"/>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sz w:val="32"/>
          <w:szCs w:val="32"/>
          <w:highlight w:val="yellow"/>
          <w:shd w:val="clear" w:color="auto" w:fill="FFFFFF"/>
          <w:lang w:val="en-US" w:eastAsia="zh-CN"/>
        </w:rPr>
      </w:pPr>
      <w:r>
        <w:rPr>
          <w:rFonts w:hint="default" w:ascii="Times New Roman" w:hAnsi="Times New Roman" w:eastAsia="方正仿宋_GBK" w:cs="Times New Roman"/>
          <w:sz w:val="32"/>
          <w:szCs w:val="32"/>
          <w:shd w:val="clear" w:color="auto" w:fill="FFFFFF"/>
        </w:rPr>
        <w:t>3.结转结余情况。2024年度年末一般公共预算财政拨款结转和结余0.00万元，与2023年度相比，无增减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（四）一般公共预算财政拨款基本支出决算情况说明</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7"/>
          <w:rFonts w:hint="default" w:ascii="Times New Roman" w:hAnsi="Times New Roman" w:eastAsia="方正仿宋_GBK" w:cs="Times New Roman"/>
          <w:b w:val="0"/>
          <w:bCs w:val="0"/>
          <w:spacing w:val="0"/>
          <w:sz w:val="32"/>
          <w:szCs w:val="32"/>
          <w:highlight w:val="none"/>
          <w:u w:val="none" w:color="auto"/>
          <w:shd w:val="clear" w:fill="FFFFFF"/>
        </w:rPr>
      </w:pPr>
      <w:r>
        <w:rPr>
          <w:rFonts w:hint="default" w:ascii="Times New Roman" w:hAnsi="Times New Roman" w:eastAsia="方正仿宋_GBK" w:cs="Times New Roman"/>
          <w:sz w:val="32"/>
          <w:szCs w:val="32"/>
          <w:shd w:val="clear" w:color="auto" w:fill="FFFFFF"/>
        </w:rPr>
        <w:t>2024年度一般公共财政拨款基本支出209.62万元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其中：人员经费209.62万元，与2023年度相比，增加26.85万元，增长14.7%，</w:t>
      </w:r>
      <w:r>
        <w:rPr>
          <w:rFonts w:hint="default" w:ascii="Times New Roman" w:hAnsi="Times New Roman" w:eastAsia="方正仿宋_GBK" w:cs="Times New Roman"/>
          <w:b w:val="0"/>
          <w:bCs w:val="0"/>
          <w:spacing w:val="0"/>
          <w:sz w:val="32"/>
          <w:szCs w:val="32"/>
          <w:highlight w:val="none"/>
          <w:u w:val="none" w:color="auto"/>
          <w:shd w:val="clear" w:color="auto" w:fill="FFFFFF"/>
        </w:rPr>
        <w:t>主要原因是</w:t>
      </w:r>
      <w:r>
        <w:rPr>
          <w:rStyle w:val="17"/>
          <w:rFonts w:hint="default" w:ascii="Times New Roman" w:hAnsi="Times New Roman" w:eastAsia="方正仿宋_GBK" w:cs="Times New Roman"/>
          <w:b w:val="0"/>
          <w:bCs w:val="0"/>
          <w:spacing w:val="0"/>
          <w:sz w:val="32"/>
          <w:szCs w:val="32"/>
          <w:highlight w:val="none"/>
          <w:u w:val="none" w:color="auto"/>
          <w:shd w:val="clear" w:fill="FFFFFF"/>
        </w:rPr>
        <w:t>当年</w:t>
      </w:r>
      <w:r>
        <w:rPr>
          <w:rFonts w:hint="default" w:ascii="Times New Roman" w:hAnsi="Times New Roman" w:eastAsia="方正仿宋_GBK" w:cs="Times New Roman"/>
          <w:b w:val="0"/>
          <w:bCs w:val="0"/>
          <w:spacing w:val="0"/>
          <w:sz w:val="32"/>
          <w:szCs w:val="32"/>
          <w:highlight w:val="none"/>
          <w:u w:val="none" w:color="auto"/>
          <w:shd w:val="clear" w:color="auto" w:fill="FFFFFF"/>
          <w:lang w:eastAsia="zh-CN"/>
        </w:rPr>
        <w:t>养老保险和职业年金</w:t>
      </w:r>
      <w:r>
        <w:rPr>
          <w:rFonts w:hint="default" w:ascii="Times New Roman" w:hAnsi="Times New Roman" w:eastAsia="方正仿宋_GBK" w:cs="Times New Roman"/>
          <w:b w:val="0"/>
          <w:bCs w:val="0"/>
          <w:spacing w:val="0"/>
          <w:sz w:val="32"/>
          <w:szCs w:val="32"/>
          <w:highlight w:val="none"/>
          <w:u w:val="none" w:color="auto"/>
          <w:shd w:val="clear" w:color="auto" w:fill="FFFFFF"/>
          <w:lang w:val="en-US" w:eastAsia="zh-CN"/>
        </w:rPr>
        <w:t>缴费基数大幅</w:t>
      </w:r>
      <w:r>
        <w:rPr>
          <w:rFonts w:hint="default" w:ascii="Times New Roman" w:hAnsi="Times New Roman" w:eastAsia="方正仿宋_GBK" w:cs="Times New Roman"/>
          <w:b w:val="0"/>
          <w:bCs w:val="0"/>
          <w:spacing w:val="0"/>
          <w:sz w:val="32"/>
          <w:szCs w:val="32"/>
          <w:highlight w:val="none"/>
          <w:u w:val="none" w:color="auto"/>
          <w:shd w:val="clear" w:color="auto" w:fill="FFFFFF"/>
          <w:lang w:eastAsia="zh-CN"/>
        </w:rPr>
        <w:t>调</w:t>
      </w:r>
      <w:r>
        <w:rPr>
          <w:rFonts w:hint="default" w:ascii="Times New Roman" w:hAnsi="Times New Roman" w:eastAsia="方正仿宋_GBK" w:cs="Times New Roman"/>
          <w:b w:val="0"/>
          <w:bCs w:val="0"/>
          <w:spacing w:val="0"/>
          <w:sz w:val="32"/>
          <w:szCs w:val="32"/>
          <w:highlight w:val="none"/>
          <w:u w:val="none" w:color="auto"/>
          <w:shd w:val="clear" w:color="auto" w:fill="FFFFFF"/>
          <w:lang w:val="en-US" w:eastAsia="zh-CN"/>
        </w:rPr>
        <w:t>增，保险缴费支出增加</w:t>
      </w:r>
      <w:r>
        <w:rPr>
          <w:rFonts w:hint="default" w:ascii="Times New Roman" w:hAnsi="Times New Roman" w:eastAsia="方正仿宋_GBK" w:cs="Times New Roman"/>
          <w:b w:val="0"/>
          <w:bCs w:val="0"/>
          <w:color w:val="000000" w:themeColor="text1"/>
          <w:spacing w:val="0"/>
          <w:sz w:val="32"/>
          <w:szCs w:val="32"/>
          <w:highlight w:val="none"/>
          <w:u w:val="none" w:color="auto"/>
          <w:shd w:val="clear" w:color="auto" w:fill="FFFFFF"/>
          <w:lang w:eastAsia="zh-CN"/>
          <w14:textFill>
            <w14:solidFill>
              <w14:schemeClr w14:val="tx1"/>
            </w14:solidFill>
          </w14:textFill>
        </w:rPr>
        <w:t>。</w:t>
      </w:r>
      <w:r>
        <w:rPr>
          <w:rFonts w:hint="default" w:ascii="Times New Roman" w:hAnsi="Times New Roman" w:eastAsia="方正仿宋_GBK" w:cs="Times New Roman"/>
          <w:b w:val="0"/>
          <w:bCs w:val="0"/>
          <w:spacing w:val="0"/>
          <w:sz w:val="32"/>
          <w:szCs w:val="32"/>
          <w:highlight w:val="none"/>
          <w:u w:val="none" w:color="auto"/>
          <w:shd w:val="clear" w:color="auto" w:fill="FFFFFF"/>
        </w:rPr>
        <w:t>人员经费用途主要包括</w:t>
      </w:r>
      <w:r>
        <w:rPr>
          <w:rStyle w:val="17"/>
          <w:rFonts w:hint="default" w:ascii="Times New Roman" w:hAnsi="Times New Roman" w:eastAsia="方正仿宋_GBK" w:cs="Times New Roman"/>
          <w:b w:val="0"/>
          <w:bCs w:val="0"/>
          <w:spacing w:val="0"/>
          <w:sz w:val="32"/>
          <w:szCs w:val="32"/>
          <w:highlight w:val="none"/>
          <w:u w:val="none" w:color="auto"/>
          <w:shd w:val="clear" w:fill="FFFFFF"/>
        </w:rPr>
        <w:t>基本工资、津贴补贴、绩效工资</w:t>
      </w:r>
      <w:r>
        <w:rPr>
          <w:rStyle w:val="17"/>
          <w:rFonts w:hint="default" w:ascii="Times New Roman" w:hAnsi="Times New Roman" w:eastAsia="方正仿宋_GBK" w:cs="Times New Roman"/>
          <w:b w:val="0"/>
          <w:bCs w:val="0"/>
          <w:spacing w:val="0"/>
          <w:sz w:val="32"/>
          <w:szCs w:val="32"/>
          <w:highlight w:val="none"/>
          <w:u w:val="none" w:color="auto"/>
          <w:shd w:val="clear" w:fill="FFFFFF"/>
          <w:lang w:eastAsia="zh-CN"/>
        </w:rPr>
        <w:t>、机关事业单位基本养老保险缴费、</w:t>
      </w:r>
      <w:r>
        <w:rPr>
          <w:rStyle w:val="17"/>
          <w:rFonts w:hint="default" w:ascii="Times New Roman" w:hAnsi="Times New Roman" w:eastAsia="方正仿宋_GBK" w:cs="Times New Roman"/>
          <w:b w:val="0"/>
          <w:bCs w:val="0"/>
          <w:spacing w:val="0"/>
          <w:sz w:val="32"/>
          <w:szCs w:val="32"/>
          <w:highlight w:val="none"/>
          <w:u w:val="none" w:color="auto"/>
          <w:shd w:val="clear" w:fill="FFFFFF"/>
          <w:lang w:val="en-US" w:eastAsia="zh-CN"/>
        </w:rPr>
        <w:t>职业年金缴费</w:t>
      </w:r>
      <w:r>
        <w:rPr>
          <w:rStyle w:val="17"/>
          <w:rFonts w:hint="default" w:ascii="Times New Roman" w:hAnsi="Times New Roman" w:eastAsia="方正仿宋_GBK" w:cs="Times New Roman"/>
          <w:b w:val="0"/>
          <w:bCs w:val="0"/>
          <w:spacing w:val="0"/>
          <w:sz w:val="32"/>
          <w:szCs w:val="32"/>
          <w:highlight w:val="none"/>
          <w:u w:val="none" w:color="auto"/>
          <w:shd w:val="clear" w:fill="FFFFFF"/>
        </w:rPr>
        <w:t>等。</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（五）政府性基金预算收支决算情况说明</w:t>
      </w:r>
    </w:p>
    <w:p>
      <w:pPr>
        <w:pStyle w:val="11"/>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Style w:val="13"/>
          <w:rFonts w:hint="default" w:ascii="Times New Roman" w:hAnsi="Times New Roman" w:eastAsia="方正仿宋_GBK" w:cs="Times New Roman"/>
          <w:b w:val="0"/>
          <w:bCs w:val="0"/>
          <w:sz w:val="32"/>
          <w:szCs w:val="32"/>
          <w:shd w:val="clear" w:fill="FFFFFF"/>
        </w:rPr>
        <w:t>本单位2024年度无政府性基金预算财政拨款收支。</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（六）国有资本经营预算财政拨款支出决算情况说明</w:t>
      </w:r>
    </w:p>
    <w:p>
      <w:pPr>
        <w:pStyle w:val="11"/>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right="0" w:rightChars="0" w:firstLine="640" w:firstLineChars="200"/>
        <w:jc w:val="both"/>
        <w:textAlignment w:val="auto"/>
        <w:rPr>
          <w:rStyle w:val="13"/>
          <w:rFonts w:hint="default" w:ascii="Times New Roman" w:hAnsi="Times New Roman" w:eastAsia="方正仿宋_GBK" w:cs="Times New Roman"/>
          <w:b w:val="0"/>
          <w:bCs w:val="0"/>
          <w:sz w:val="32"/>
          <w:szCs w:val="32"/>
          <w:shd w:val="clear" w:fill="FFFFFF"/>
        </w:rPr>
      </w:pPr>
      <w:r>
        <w:rPr>
          <w:rStyle w:val="13"/>
          <w:rFonts w:hint="default" w:ascii="Times New Roman" w:hAnsi="Times New Roman" w:eastAsia="方正仿宋_GBK" w:cs="Times New Roman"/>
          <w:b w:val="0"/>
          <w:bCs w:val="0"/>
          <w:sz w:val="32"/>
          <w:szCs w:val="32"/>
          <w:shd w:val="clear" w:fill="FFFFFF"/>
        </w:rPr>
        <w:t>本单位2024年度无国有资本经营预算财政拨款支出。</w:t>
      </w:r>
    </w:p>
    <w:p>
      <w:pPr>
        <w:pStyle w:val="10"/>
        <w:keepNext w:val="0"/>
        <w:keepLines w:val="0"/>
        <w:pageBreakBefore w:val="0"/>
        <w:widowControl w:val="0"/>
        <w:suppressLineNumbers w:val="0"/>
        <w:tabs>
          <w:tab w:val="center" w:pos="4153"/>
          <w:tab w:val="left" w:pos="7275"/>
        </w:tabs>
        <w:kinsoku/>
        <w:wordWrap/>
        <w:overflowPunct/>
        <w:topLinePunct w:val="0"/>
        <w:autoSpaceDN/>
        <w:bidi w:val="0"/>
        <w:adjustRightInd/>
        <w:spacing w:before="0" w:beforeAutospacing="0" w:after="0" w:afterAutospacing="0" w:line="560" w:lineRule="exact"/>
        <w:ind w:left="0" w:right="0" w:firstLine="640"/>
        <w:jc w:val="both"/>
        <w:textAlignment w:val="auto"/>
        <w:rPr>
          <w:rFonts w:hint="default" w:ascii="Times New Roman" w:hAnsi="Times New Roman" w:eastAsia="方正黑体_GBK" w:cs="Times New Roman"/>
          <w:kern w:val="2"/>
          <w:sz w:val="32"/>
          <w:szCs w:val="32"/>
          <w:lang w:bidi="ar-SA"/>
        </w:rPr>
      </w:pPr>
      <w:r>
        <w:rPr>
          <w:rFonts w:hint="default" w:ascii="Times New Roman" w:hAnsi="Times New Roman" w:eastAsia="方正黑体_GBK" w:cs="Times New Roman"/>
          <w:kern w:val="2"/>
          <w:sz w:val="32"/>
          <w:szCs w:val="32"/>
          <w:lang w:bidi="ar-SA"/>
        </w:rPr>
        <w:t>三、财政拨款“三公”经费情况说明</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（一）</w:t>
      </w:r>
      <w:r>
        <w:rPr>
          <w:rStyle w:val="12"/>
          <w:rFonts w:hint="eastAsia" w:ascii="Times New Roman" w:hAnsi="Times New Roman" w:eastAsia="方正楷体_GBK" w:cs="Times New Roman"/>
          <w:b w:val="0"/>
          <w:bCs w:val="0"/>
          <w:kern w:val="0"/>
          <w:shd w:val="clear" w:fill="FFFFFF"/>
          <w:lang w:val="en-US" w:eastAsia="zh-CN" w:bidi="ar"/>
        </w:rPr>
        <w:t>“</w:t>
      </w:r>
      <w:r>
        <w:rPr>
          <w:rStyle w:val="12"/>
          <w:rFonts w:hint="default" w:ascii="Times New Roman" w:hAnsi="Times New Roman" w:eastAsia="方正楷体_GBK" w:cs="Times New Roman"/>
          <w:b w:val="0"/>
          <w:bCs w:val="0"/>
          <w:kern w:val="0"/>
          <w:shd w:val="clear" w:fill="FFFFFF"/>
          <w:lang w:val="en-US" w:eastAsia="zh-CN" w:bidi="ar"/>
        </w:rPr>
        <w:t>三公</w:t>
      </w:r>
      <w:r>
        <w:rPr>
          <w:rStyle w:val="12"/>
          <w:rFonts w:hint="eastAsia" w:ascii="Times New Roman" w:hAnsi="Times New Roman" w:eastAsia="方正楷体_GBK" w:cs="Times New Roman"/>
          <w:b w:val="0"/>
          <w:bCs w:val="0"/>
          <w:kern w:val="0"/>
          <w:shd w:val="clear" w:fill="FFFFFF"/>
          <w:lang w:val="en-US" w:eastAsia="zh-CN" w:bidi="ar"/>
        </w:rPr>
        <w:t>”</w:t>
      </w:r>
      <w:r>
        <w:rPr>
          <w:rStyle w:val="12"/>
          <w:rFonts w:hint="default" w:ascii="Times New Roman" w:hAnsi="Times New Roman" w:eastAsia="方正楷体_GBK" w:cs="Times New Roman"/>
          <w:b w:val="0"/>
          <w:bCs w:val="0"/>
          <w:kern w:val="0"/>
          <w:shd w:val="clear" w:fill="FFFFFF"/>
          <w:lang w:val="en-US" w:eastAsia="zh-CN" w:bidi="ar"/>
        </w:rPr>
        <w:t>经费支出总体情况说明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highlight w:val="none"/>
          <w:u w:val="none" w:color="auto"/>
        </w:rPr>
      </w:pPr>
      <w:r>
        <w:rPr>
          <w:rFonts w:hint="default" w:ascii="Times New Roman" w:hAnsi="Times New Roman" w:eastAsia="方正仿宋_GBK" w:cs="Times New Roman"/>
          <w:b w:val="0"/>
          <w:bCs w:val="0"/>
          <w:spacing w:val="0"/>
          <w:sz w:val="32"/>
          <w:szCs w:val="32"/>
          <w:highlight w:val="none"/>
          <w:u w:val="none" w:color="auto"/>
          <w:shd w:val="clear" w:color="auto" w:fill="FFFFFF"/>
        </w:rPr>
        <w:t>202</w:t>
      </w:r>
      <w:r>
        <w:rPr>
          <w:rFonts w:hint="default" w:ascii="Times New Roman" w:hAnsi="Times New Roman" w:eastAsia="方正仿宋_GBK" w:cs="Times New Roman"/>
          <w:b w:val="0"/>
          <w:bCs w:val="0"/>
          <w:spacing w:val="0"/>
          <w:sz w:val="32"/>
          <w:szCs w:val="32"/>
          <w:highlight w:val="none"/>
          <w:u w:val="none" w:color="auto"/>
          <w:shd w:val="clear" w:color="auto" w:fill="FFFFFF"/>
          <w:lang w:val="en-US" w:eastAsia="zh-CN"/>
        </w:rPr>
        <w:t>4</w:t>
      </w:r>
      <w:r>
        <w:rPr>
          <w:rFonts w:hint="default" w:ascii="Times New Roman" w:hAnsi="Times New Roman" w:eastAsia="方正仿宋_GBK" w:cs="Times New Roman"/>
          <w:b w:val="0"/>
          <w:bCs w:val="0"/>
          <w:spacing w:val="0"/>
          <w:sz w:val="32"/>
          <w:szCs w:val="32"/>
          <w:highlight w:val="none"/>
          <w:u w:val="none" w:color="auto"/>
          <w:shd w:val="clear" w:color="auto" w:fill="FFFFFF"/>
        </w:rPr>
        <w:t>年度</w:t>
      </w:r>
      <w:r>
        <w:rPr>
          <w:rFonts w:hint="eastAsia" w:ascii="方正仿宋_GBK" w:hAnsi="方正仿宋_GBK" w:eastAsia="方正仿宋_GBK" w:cs="方正仿宋_GBK"/>
          <w:b w:val="0"/>
          <w:bCs w:val="0"/>
          <w:spacing w:val="0"/>
          <w:sz w:val="32"/>
          <w:szCs w:val="32"/>
          <w:highlight w:val="none"/>
          <w:u w:val="none" w:color="auto"/>
          <w:shd w:val="clear" w:color="auto" w:fill="FFFFFF"/>
        </w:rPr>
        <w:t>“三公”</w:t>
      </w:r>
      <w:r>
        <w:rPr>
          <w:rFonts w:hint="default" w:ascii="Times New Roman" w:hAnsi="Times New Roman" w:eastAsia="方正仿宋_GBK" w:cs="Times New Roman"/>
          <w:b w:val="0"/>
          <w:bCs w:val="0"/>
          <w:spacing w:val="0"/>
          <w:sz w:val="32"/>
          <w:szCs w:val="32"/>
          <w:highlight w:val="none"/>
          <w:u w:val="none" w:color="auto"/>
          <w:shd w:val="clear" w:color="auto" w:fill="FFFFFF"/>
        </w:rPr>
        <w:t>经费支出共计</w:t>
      </w:r>
      <w:r>
        <w:rPr>
          <w:rFonts w:hint="default" w:ascii="Times New Roman" w:hAnsi="Times New Roman" w:eastAsia="方正仿宋_GBK" w:cs="Times New Roman"/>
          <w:b w:val="0"/>
          <w:bCs w:val="0"/>
          <w:spacing w:val="0"/>
          <w:sz w:val="32"/>
          <w:szCs w:val="32"/>
          <w:highlight w:val="none"/>
          <w:u w:val="none" w:color="auto"/>
        </w:rPr>
        <w:t>0.00</w:t>
      </w:r>
      <w:r>
        <w:rPr>
          <w:rFonts w:hint="default" w:ascii="Times New Roman" w:hAnsi="Times New Roman" w:eastAsia="方正仿宋_GBK" w:cs="Times New Roman"/>
          <w:b w:val="0"/>
          <w:bCs w:val="0"/>
          <w:spacing w:val="0"/>
          <w:sz w:val="32"/>
          <w:szCs w:val="32"/>
          <w:highlight w:val="none"/>
          <w:u w:val="none" w:color="auto"/>
          <w:shd w:val="clear" w:color="auto" w:fill="FFFFFF"/>
        </w:rPr>
        <w:t>万元，较年初预算数无增减，主要原因是</w:t>
      </w:r>
      <w:r>
        <w:rPr>
          <w:rStyle w:val="17"/>
          <w:rFonts w:hint="default" w:ascii="Times New Roman" w:hAnsi="Times New Roman" w:eastAsia="方正仿宋_GBK" w:cs="Times New Roman"/>
          <w:b w:val="0"/>
          <w:bCs w:val="0"/>
          <w:spacing w:val="0"/>
          <w:kern w:val="0"/>
          <w:sz w:val="32"/>
          <w:szCs w:val="32"/>
          <w:highlight w:val="none"/>
          <w:u w:val="none" w:color="auto"/>
          <w:shd w:val="clear" w:fill="FFFFFF"/>
        </w:rPr>
        <w:t>未</w:t>
      </w:r>
      <w:r>
        <w:rPr>
          <w:rStyle w:val="17"/>
          <w:rFonts w:hint="eastAsia" w:ascii="方正仿宋_GBK" w:hAnsi="方正仿宋_GBK" w:eastAsia="方正仿宋_GBK" w:cs="方正仿宋_GBK"/>
          <w:b w:val="0"/>
          <w:bCs w:val="0"/>
          <w:spacing w:val="0"/>
          <w:kern w:val="0"/>
          <w:sz w:val="32"/>
          <w:szCs w:val="32"/>
          <w:highlight w:val="none"/>
          <w:u w:val="none" w:color="auto"/>
          <w:shd w:val="clear" w:fill="FFFFFF"/>
        </w:rPr>
        <w:t>发生“三公”经费支出。</w:t>
      </w:r>
      <w:r>
        <w:rPr>
          <w:rFonts w:hint="eastAsia" w:ascii="方正仿宋_GBK" w:hAnsi="方正仿宋_GBK" w:eastAsia="方正仿宋_GBK" w:cs="方正仿宋_GBK"/>
          <w:b w:val="0"/>
          <w:bCs w:val="0"/>
          <w:spacing w:val="0"/>
          <w:sz w:val="32"/>
          <w:szCs w:val="32"/>
          <w:highlight w:val="none"/>
          <w:u w:val="none" w:color="auto"/>
          <w:shd w:val="clear" w:color="auto" w:fill="FFFFFF"/>
        </w:rPr>
        <w:t>较上年支出数无增减，主要原因是</w:t>
      </w:r>
      <w:r>
        <w:rPr>
          <w:rStyle w:val="17"/>
          <w:rFonts w:hint="eastAsia" w:ascii="方正仿宋_GBK" w:hAnsi="方正仿宋_GBK" w:eastAsia="方正仿宋_GBK" w:cs="方正仿宋_GBK"/>
          <w:b w:val="0"/>
          <w:bCs w:val="0"/>
          <w:spacing w:val="0"/>
          <w:kern w:val="0"/>
          <w:sz w:val="32"/>
          <w:szCs w:val="32"/>
          <w:highlight w:val="none"/>
          <w:u w:val="none" w:color="auto"/>
          <w:shd w:val="clear" w:fill="FFFFFF"/>
        </w:rPr>
        <w:t>未发生“三公”</w:t>
      </w:r>
      <w:r>
        <w:rPr>
          <w:rStyle w:val="17"/>
          <w:rFonts w:hint="default" w:ascii="Times New Roman" w:hAnsi="Times New Roman" w:eastAsia="方正仿宋_GBK" w:cs="Times New Roman"/>
          <w:b w:val="0"/>
          <w:bCs w:val="0"/>
          <w:spacing w:val="0"/>
          <w:kern w:val="0"/>
          <w:sz w:val="32"/>
          <w:szCs w:val="32"/>
          <w:highlight w:val="none"/>
          <w:u w:val="none" w:color="auto"/>
          <w:shd w:val="clear" w:fill="FFFFFF"/>
        </w:rPr>
        <w:t>经费支出。</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（二）“三公”经费分项支出情况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highlight w:val="none"/>
          <w:u w:val="none" w:color="auto"/>
          <w:shd w:val="clear" w:color="auto" w:fill="FFFFFF"/>
          <w:lang w:eastAsia="zh-CN"/>
        </w:rPr>
      </w:pPr>
      <w:r>
        <w:rPr>
          <w:rFonts w:hint="default" w:ascii="Times New Roman" w:hAnsi="Times New Roman" w:eastAsia="方正仿宋_GBK" w:cs="Times New Roman"/>
          <w:b w:val="0"/>
          <w:bCs w:val="0"/>
          <w:spacing w:val="0"/>
          <w:sz w:val="32"/>
          <w:szCs w:val="32"/>
          <w:highlight w:val="none"/>
          <w:u w:val="none" w:color="auto"/>
          <w:shd w:val="clear" w:color="auto" w:fill="FFFFFF"/>
        </w:rPr>
        <w:t>202</w:t>
      </w:r>
      <w:r>
        <w:rPr>
          <w:rFonts w:hint="default" w:ascii="Times New Roman" w:hAnsi="Times New Roman" w:eastAsia="方正仿宋_GBK" w:cs="Times New Roman"/>
          <w:b w:val="0"/>
          <w:bCs w:val="0"/>
          <w:spacing w:val="0"/>
          <w:sz w:val="32"/>
          <w:szCs w:val="32"/>
          <w:highlight w:val="none"/>
          <w:u w:val="none" w:color="auto"/>
          <w:shd w:val="clear" w:color="auto" w:fill="FFFFFF"/>
          <w:lang w:val="en-US" w:eastAsia="zh-CN"/>
        </w:rPr>
        <w:t>4</w:t>
      </w:r>
      <w:r>
        <w:rPr>
          <w:rFonts w:hint="default" w:ascii="Times New Roman" w:hAnsi="Times New Roman" w:eastAsia="方正仿宋_GBK" w:cs="Times New Roman"/>
          <w:b w:val="0"/>
          <w:bCs w:val="0"/>
          <w:spacing w:val="0"/>
          <w:sz w:val="32"/>
          <w:szCs w:val="32"/>
          <w:highlight w:val="none"/>
          <w:u w:val="none" w:color="auto"/>
          <w:shd w:val="clear" w:color="auto" w:fill="FFFFFF"/>
        </w:rPr>
        <w:t>年度本单位因公出国（境）费用</w:t>
      </w:r>
      <w:r>
        <w:rPr>
          <w:rFonts w:hint="default" w:ascii="Times New Roman" w:hAnsi="Times New Roman" w:eastAsia="方正仿宋_GBK" w:cs="Times New Roman"/>
          <w:b w:val="0"/>
          <w:bCs w:val="0"/>
          <w:spacing w:val="0"/>
          <w:sz w:val="32"/>
          <w:szCs w:val="32"/>
          <w:highlight w:val="none"/>
          <w:u w:val="none" w:color="auto"/>
        </w:rPr>
        <w:t>0.00</w:t>
      </w:r>
      <w:r>
        <w:rPr>
          <w:rFonts w:hint="default" w:ascii="Times New Roman" w:hAnsi="Times New Roman" w:eastAsia="方正仿宋_GBK" w:cs="Times New Roman"/>
          <w:b w:val="0"/>
          <w:bCs w:val="0"/>
          <w:spacing w:val="0"/>
          <w:sz w:val="32"/>
          <w:szCs w:val="32"/>
          <w:highlight w:val="none"/>
          <w:u w:val="none" w:color="auto"/>
          <w:shd w:val="clear" w:color="auto" w:fill="FFFFFF"/>
        </w:rPr>
        <w:t>万元，费用支出较年初预算数无增减，较上年支出数无增减</w:t>
      </w:r>
      <w:r>
        <w:rPr>
          <w:rFonts w:hint="default" w:ascii="Times New Roman" w:hAnsi="Times New Roman" w:eastAsia="方正仿宋_GBK" w:cs="Times New Roman"/>
          <w:b w:val="0"/>
          <w:bCs w:val="0"/>
          <w:spacing w:val="0"/>
          <w:sz w:val="32"/>
          <w:szCs w:val="32"/>
          <w:highlight w:val="none"/>
          <w:u w:val="none" w:color="auto"/>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highlight w:val="none"/>
          <w:u w:val="none" w:color="auto"/>
        </w:rPr>
      </w:pPr>
      <w:r>
        <w:rPr>
          <w:rFonts w:hint="default" w:ascii="Times New Roman" w:hAnsi="Times New Roman" w:eastAsia="方正仿宋_GBK" w:cs="Times New Roman"/>
          <w:b w:val="0"/>
          <w:bCs w:val="0"/>
          <w:spacing w:val="0"/>
          <w:sz w:val="32"/>
          <w:szCs w:val="32"/>
          <w:highlight w:val="none"/>
          <w:u w:val="none" w:color="auto"/>
          <w:shd w:val="clear" w:color="auto" w:fill="FFFFFF"/>
        </w:rPr>
        <w:t> 公务车购置费</w:t>
      </w:r>
      <w:r>
        <w:rPr>
          <w:rFonts w:hint="default" w:ascii="Times New Roman" w:hAnsi="Times New Roman" w:eastAsia="方正仿宋_GBK" w:cs="Times New Roman"/>
          <w:b w:val="0"/>
          <w:bCs w:val="0"/>
          <w:spacing w:val="0"/>
          <w:sz w:val="32"/>
          <w:szCs w:val="32"/>
          <w:highlight w:val="none"/>
          <w:u w:val="none" w:color="auto"/>
        </w:rPr>
        <w:t>0.00</w:t>
      </w:r>
      <w:r>
        <w:rPr>
          <w:rFonts w:hint="default" w:ascii="Times New Roman" w:hAnsi="Times New Roman" w:eastAsia="方正仿宋_GBK" w:cs="Times New Roman"/>
          <w:b w:val="0"/>
          <w:bCs w:val="0"/>
          <w:spacing w:val="0"/>
          <w:sz w:val="32"/>
          <w:szCs w:val="32"/>
          <w:highlight w:val="none"/>
          <w:u w:val="none" w:color="auto"/>
          <w:shd w:val="clear" w:color="auto" w:fill="FFFFFF"/>
        </w:rPr>
        <w:t>万元，费用支出较年初预算数无增减，较上年支出数无增减。</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highlight w:val="none"/>
          <w:u w:val="none" w:color="auto"/>
          <w:shd w:val="clear" w:color="auto" w:fill="FFFFFF"/>
        </w:rPr>
      </w:pPr>
      <w:r>
        <w:rPr>
          <w:rFonts w:hint="default" w:ascii="Times New Roman" w:hAnsi="Times New Roman" w:eastAsia="方正仿宋_GBK" w:cs="Times New Roman"/>
          <w:b w:val="0"/>
          <w:bCs w:val="0"/>
          <w:spacing w:val="0"/>
          <w:sz w:val="32"/>
          <w:szCs w:val="32"/>
          <w:highlight w:val="none"/>
          <w:u w:val="none" w:color="auto"/>
          <w:shd w:val="clear" w:color="auto" w:fill="FFFFFF"/>
        </w:rPr>
        <w:t> 公务车运行维护费</w:t>
      </w:r>
      <w:r>
        <w:rPr>
          <w:rFonts w:hint="default" w:ascii="Times New Roman" w:hAnsi="Times New Roman" w:eastAsia="方正仿宋_GBK" w:cs="Times New Roman"/>
          <w:b w:val="0"/>
          <w:bCs w:val="0"/>
          <w:spacing w:val="0"/>
          <w:sz w:val="32"/>
          <w:szCs w:val="32"/>
          <w:highlight w:val="none"/>
          <w:u w:val="none" w:color="auto"/>
        </w:rPr>
        <w:t>0.00</w:t>
      </w:r>
      <w:r>
        <w:rPr>
          <w:rFonts w:hint="default" w:ascii="Times New Roman" w:hAnsi="Times New Roman" w:eastAsia="方正仿宋_GBK" w:cs="Times New Roman"/>
          <w:b w:val="0"/>
          <w:bCs w:val="0"/>
          <w:spacing w:val="0"/>
          <w:sz w:val="32"/>
          <w:szCs w:val="32"/>
          <w:highlight w:val="none"/>
          <w:u w:val="none" w:color="auto"/>
          <w:shd w:val="clear" w:color="auto" w:fill="FFFFFF"/>
        </w:rPr>
        <w:t>万元，费用支出较年初预算数无增减，较上年支出数无增减</w:t>
      </w:r>
      <w:r>
        <w:rPr>
          <w:rFonts w:hint="default" w:ascii="Times New Roman" w:hAnsi="Times New Roman" w:eastAsia="方正仿宋_GBK" w:cs="Times New Roman"/>
          <w:b w:val="0"/>
          <w:bCs w:val="0"/>
          <w:spacing w:val="0"/>
          <w:sz w:val="32"/>
          <w:szCs w:val="32"/>
          <w:highlight w:val="none"/>
          <w:u w:val="none" w:color="auto"/>
          <w:shd w:val="clear" w:color="auto" w:fill="FFFFFF"/>
          <w:lang w:eastAsia="zh-CN"/>
        </w:rPr>
        <w:t>。</w:t>
      </w:r>
      <w:r>
        <w:rPr>
          <w:rFonts w:hint="default" w:ascii="Times New Roman" w:hAnsi="Times New Roman" w:eastAsia="方正仿宋_GBK" w:cs="Times New Roman"/>
          <w:b w:val="0"/>
          <w:bCs w:val="0"/>
          <w:spacing w:val="0"/>
          <w:sz w:val="32"/>
          <w:szCs w:val="32"/>
          <w:highlight w:val="none"/>
          <w:u w:val="none" w:color="auto"/>
          <w:shd w:val="clear" w:color="auto" w:fill="FFFFFF"/>
        </w:rPr>
        <w:t> </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highlight w:val="none"/>
          <w:u w:val="none" w:color="auto"/>
          <w:lang w:eastAsia="zh-CN"/>
        </w:rPr>
      </w:pPr>
      <w:r>
        <w:rPr>
          <w:rFonts w:hint="default" w:ascii="Times New Roman" w:hAnsi="Times New Roman" w:eastAsia="方正仿宋_GBK" w:cs="Times New Roman"/>
          <w:b w:val="0"/>
          <w:bCs w:val="0"/>
          <w:spacing w:val="0"/>
          <w:sz w:val="32"/>
          <w:szCs w:val="32"/>
          <w:highlight w:val="none"/>
          <w:u w:val="none" w:color="auto"/>
          <w:shd w:val="clear" w:color="auto" w:fill="FFFFFF"/>
        </w:rPr>
        <w:t>公务接待费</w:t>
      </w:r>
      <w:r>
        <w:rPr>
          <w:rFonts w:hint="default" w:ascii="Times New Roman" w:hAnsi="Times New Roman" w:eastAsia="方正仿宋_GBK" w:cs="Times New Roman"/>
          <w:b w:val="0"/>
          <w:bCs w:val="0"/>
          <w:spacing w:val="0"/>
          <w:sz w:val="32"/>
          <w:szCs w:val="32"/>
          <w:highlight w:val="none"/>
          <w:u w:val="none" w:color="auto"/>
        </w:rPr>
        <w:t>0.00</w:t>
      </w:r>
      <w:r>
        <w:rPr>
          <w:rFonts w:hint="default" w:ascii="Times New Roman" w:hAnsi="Times New Roman" w:eastAsia="方正仿宋_GBK" w:cs="Times New Roman"/>
          <w:b w:val="0"/>
          <w:bCs w:val="0"/>
          <w:spacing w:val="0"/>
          <w:sz w:val="32"/>
          <w:szCs w:val="32"/>
          <w:highlight w:val="none"/>
          <w:u w:val="none" w:color="auto"/>
          <w:shd w:val="clear" w:color="auto" w:fill="FFFFFF"/>
        </w:rPr>
        <w:t>万元，费用支出较年初预算数无增减，较上年支出数无增减</w:t>
      </w:r>
      <w:r>
        <w:rPr>
          <w:rFonts w:hint="default" w:ascii="Times New Roman" w:hAnsi="Times New Roman" w:eastAsia="方正仿宋_GBK" w:cs="Times New Roman"/>
          <w:b w:val="0"/>
          <w:bCs w:val="0"/>
          <w:spacing w:val="0"/>
          <w:sz w:val="32"/>
          <w:szCs w:val="32"/>
          <w:highlight w:val="none"/>
          <w:u w:val="none" w:color="auto"/>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（三）</w:t>
      </w:r>
      <w:r>
        <w:rPr>
          <w:rStyle w:val="12"/>
          <w:rFonts w:hint="eastAsia" w:ascii="Times New Roman" w:hAnsi="Times New Roman" w:eastAsia="方正楷体_GBK" w:cs="Times New Roman"/>
          <w:b w:val="0"/>
          <w:bCs w:val="0"/>
          <w:kern w:val="0"/>
          <w:shd w:val="clear" w:fill="FFFFFF"/>
          <w:lang w:val="en-US" w:eastAsia="zh-CN" w:bidi="ar"/>
        </w:rPr>
        <w:t>“</w:t>
      </w:r>
      <w:r>
        <w:rPr>
          <w:rStyle w:val="12"/>
          <w:rFonts w:hint="default" w:ascii="Times New Roman" w:hAnsi="Times New Roman" w:eastAsia="方正楷体_GBK" w:cs="Times New Roman"/>
          <w:b w:val="0"/>
          <w:bCs w:val="0"/>
          <w:kern w:val="0"/>
          <w:shd w:val="clear" w:fill="FFFFFF"/>
          <w:lang w:val="en-US" w:eastAsia="zh-CN" w:bidi="ar"/>
        </w:rPr>
        <w:t>三公</w:t>
      </w:r>
      <w:r>
        <w:rPr>
          <w:rStyle w:val="12"/>
          <w:rFonts w:hint="eastAsia" w:ascii="Times New Roman" w:hAnsi="Times New Roman" w:eastAsia="方正楷体_GBK" w:cs="Times New Roman"/>
          <w:b w:val="0"/>
          <w:bCs w:val="0"/>
          <w:kern w:val="0"/>
          <w:shd w:val="clear" w:fill="FFFFFF"/>
          <w:lang w:val="en-US" w:eastAsia="zh-CN" w:bidi="ar"/>
        </w:rPr>
        <w:t>”</w:t>
      </w:r>
      <w:r>
        <w:rPr>
          <w:rStyle w:val="12"/>
          <w:rFonts w:hint="default" w:ascii="Times New Roman" w:hAnsi="Times New Roman" w:eastAsia="方正楷体_GBK" w:cs="Times New Roman"/>
          <w:b w:val="0"/>
          <w:bCs w:val="0"/>
          <w:kern w:val="0"/>
          <w:shd w:val="clear" w:fill="FFFFFF"/>
          <w:lang w:val="en-US" w:eastAsia="zh-CN" w:bidi="ar"/>
        </w:rPr>
        <w:t>经费实物量情况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pStyle w:val="10"/>
        <w:keepNext w:val="0"/>
        <w:keepLines w:val="0"/>
        <w:pageBreakBefore w:val="0"/>
        <w:widowControl w:val="0"/>
        <w:suppressLineNumbers w:val="0"/>
        <w:tabs>
          <w:tab w:val="center" w:pos="4153"/>
          <w:tab w:val="left" w:pos="7275"/>
        </w:tabs>
        <w:kinsoku/>
        <w:wordWrap/>
        <w:overflowPunct/>
        <w:topLinePunct w:val="0"/>
        <w:autoSpaceDN/>
        <w:bidi w:val="0"/>
        <w:adjustRightInd/>
        <w:spacing w:before="0" w:beforeAutospacing="0" w:after="0" w:afterAutospacing="0" w:line="560" w:lineRule="exact"/>
        <w:ind w:left="0" w:right="0" w:firstLine="640"/>
        <w:jc w:val="both"/>
        <w:textAlignment w:val="auto"/>
        <w:rPr>
          <w:rFonts w:hint="default" w:ascii="Times New Roman" w:hAnsi="Times New Roman" w:eastAsia="方正黑体_GBK" w:cs="Times New Roman"/>
          <w:kern w:val="2"/>
          <w:sz w:val="32"/>
          <w:szCs w:val="32"/>
          <w:lang w:bidi="ar-SA"/>
        </w:rPr>
      </w:pPr>
      <w:r>
        <w:rPr>
          <w:rFonts w:hint="default" w:ascii="Times New Roman" w:hAnsi="Times New Roman" w:eastAsia="方正黑体_GBK" w:cs="Times New Roman"/>
          <w:kern w:val="2"/>
          <w:sz w:val="32"/>
          <w:szCs w:val="32"/>
          <w:lang w:bidi="ar-SA"/>
        </w:rPr>
        <w:t>四、其他需要说明的事项</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（一）财政拨款会议费、培训费和差旅费情况说明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本年度会议费支出0.00万元，与2023年度相比，无增减。本年度培训费支出0.00万元，与2023年度相比</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本年度差旅费支出0.00万元，与2023年度相比，无增减。</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（二）机关运行经费情况说明</w:t>
      </w:r>
    </w:p>
    <w:p>
      <w:pPr>
        <w:keepNext w:val="0"/>
        <w:keepLines w:val="0"/>
        <w:pageBreakBefore w:val="0"/>
        <w:widowControl w:val="0"/>
        <w:suppressLineNumbers w:val="0"/>
        <w:kinsoku/>
        <w:wordWrap/>
        <w:overflowPunct/>
        <w:topLinePunct w:val="0"/>
        <w:autoSpaceDE w:val="0"/>
        <w:autoSpaceDN/>
        <w:bidi w:val="0"/>
        <w:adjustRightInd/>
        <w:spacing w:line="56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按照部门决算列报口径，我单位不在机关运行经费统计范围之内。</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（三）国有资产占用情况说明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highlight w:val="none"/>
          <w:u w:val="none" w:color="auto"/>
        </w:rPr>
      </w:pPr>
      <w:r>
        <w:rPr>
          <w:rFonts w:hint="default" w:ascii="Times New Roman" w:hAnsi="Times New Roman" w:eastAsia="方正仿宋_GBK" w:cs="Times New Roman"/>
          <w:b w:val="0"/>
          <w:bCs w:val="0"/>
          <w:spacing w:val="0"/>
          <w:sz w:val="32"/>
          <w:szCs w:val="32"/>
          <w:highlight w:val="none"/>
          <w:u w:val="none" w:color="auto"/>
          <w:shd w:val="clear" w:color="auto" w:fill="FFFFFF"/>
        </w:rPr>
        <w:t>截至202</w:t>
      </w:r>
      <w:r>
        <w:rPr>
          <w:rFonts w:hint="default" w:ascii="Times New Roman" w:hAnsi="Times New Roman" w:eastAsia="方正仿宋_GBK" w:cs="Times New Roman"/>
          <w:b w:val="0"/>
          <w:bCs w:val="0"/>
          <w:spacing w:val="0"/>
          <w:sz w:val="32"/>
          <w:szCs w:val="32"/>
          <w:highlight w:val="none"/>
          <w:u w:val="none" w:color="auto"/>
          <w:shd w:val="clear" w:color="auto" w:fill="FFFFFF"/>
          <w:lang w:val="en-US" w:eastAsia="zh-CN"/>
        </w:rPr>
        <w:t>4</w:t>
      </w:r>
      <w:r>
        <w:rPr>
          <w:rFonts w:hint="default" w:ascii="Times New Roman" w:hAnsi="Times New Roman" w:eastAsia="方正仿宋_GBK" w:cs="Times New Roman"/>
          <w:b w:val="0"/>
          <w:bCs w:val="0"/>
          <w:spacing w:val="0"/>
          <w:sz w:val="32"/>
          <w:szCs w:val="32"/>
          <w:highlight w:val="none"/>
          <w:u w:val="none" w:color="auto"/>
          <w:shd w:val="clear" w:color="auto" w:fill="FFFFFF"/>
        </w:rPr>
        <w:t>年12月31日，本单位共有车辆</w:t>
      </w:r>
      <w:r>
        <w:rPr>
          <w:rFonts w:hint="default" w:ascii="Times New Roman" w:hAnsi="Times New Roman" w:eastAsia="方正仿宋_GBK" w:cs="Times New Roman"/>
          <w:b w:val="0"/>
          <w:bCs w:val="0"/>
          <w:spacing w:val="0"/>
          <w:sz w:val="32"/>
          <w:szCs w:val="32"/>
          <w:highlight w:val="none"/>
          <w:u w:val="none" w:color="auto"/>
        </w:rPr>
        <w:t>1</w:t>
      </w:r>
      <w:r>
        <w:rPr>
          <w:rFonts w:hint="default" w:ascii="Times New Roman" w:hAnsi="Times New Roman" w:eastAsia="方正仿宋_GBK" w:cs="Times New Roman"/>
          <w:b w:val="0"/>
          <w:bCs w:val="0"/>
          <w:spacing w:val="0"/>
          <w:sz w:val="32"/>
          <w:szCs w:val="32"/>
          <w:highlight w:val="none"/>
          <w:u w:val="none" w:color="auto"/>
          <w:shd w:val="clear" w:color="auto" w:fill="FFFFFF"/>
        </w:rPr>
        <w:t>辆，</w:t>
      </w:r>
      <w:r>
        <w:rPr>
          <w:rStyle w:val="17"/>
          <w:rFonts w:hint="default" w:ascii="Times New Roman" w:hAnsi="Times New Roman" w:eastAsia="方正仿宋_GBK" w:cs="Times New Roman"/>
          <w:b w:val="0"/>
          <w:bCs w:val="0"/>
          <w:spacing w:val="0"/>
          <w:kern w:val="0"/>
          <w:sz w:val="32"/>
          <w:szCs w:val="32"/>
          <w:highlight w:val="none"/>
          <w:u w:val="none" w:color="auto"/>
          <w:shd w:val="clear" w:fill="FFFFFF"/>
        </w:rPr>
        <w:t>为特种专业技术用车（救护车）。</w:t>
      </w:r>
      <w:r>
        <w:rPr>
          <w:rFonts w:hint="default" w:ascii="Times New Roman" w:hAnsi="Times New Roman" w:eastAsia="方正仿宋_GBK" w:cs="Times New Roman"/>
          <w:b w:val="0"/>
          <w:bCs w:val="0"/>
          <w:spacing w:val="0"/>
          <w:sz w:val="32"/>
          <w:szCs w:val="32"/>
          <w:highlight w:val="none"/>
          <w:u w:val="none" w:color="auto"/>
          <w:shd w:val="clear" w:color="auto" w:fill="FFFFFF"/>
        </w:rPr>
        <w:t>单价100万元（含）以上专用设备</w:t>
      </w:r>
      <w:r>
        <w:rPr>
          <w:rFonts w:hint="default" w:ascii="Times New Roman" w:hAnsi="Times New Roman" w:eastAsia="方正仿宋_GBK" w:cs="Times New Roman"/>
          <w:b w:val="0"/>
          <w:bCs w:val="0"/>
          <w:spacing w:val="0"/>
          <w:sz w:val="32"/>
          <w:szCs w:val="32"/>
          <w:highlight w:val="none"/>
          <w:u w:val="none" w:color="auto"/>
        </w:rPr>
        <w:t>0</w:t>
      </w:r>
      <w:r>
        <w:rPr>
          <w:rFonts w:hint="default" w:ascii="Times New Roman" w:hAnsi="Times New Roman" w:eastAsia="方正仿宋_GBK" w:cs="Times New Roman"/>
          <w:b w:val="0"/>
          <w:bCs w:val="0"/>
          <w:spacing w:val="0"/>
          <w:sz w:val="32"/>
          <w:szCs w:val="32"/>
          <w:highlight w:val="none"/>
          <w:u w:val="none" w:color="auto"/>
          <w:shd w:val="clear" w:color="auto" w:fill="FFFFFF"/>
        </w:rPr>
        <w:t>台（套）。</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（四）政府采购支出情况说明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本单位政府采购支出总额14.02万元，其中：政府采购货物支出1.30万元、政府采购工程支出0.00万元、政府采购服务支出12.72万元。授予中小企业合同金额14.02万元，占政府采购支出总额的100.0%，其中：授予小微企业合同金额14.02万元，占政府采购支出总额的100.0 %。主要用于</w:t>
      </w:r>
      <w:r>
        <w:rPr>
          <w:rFonts w:hint="default" w:ascii="Times New Roman" w:hAnsi="Times New Roman" w:eastAsia="方正仿宋_GBK" w:cs="Times New Roman"/>
          <w:sz w:val="32"/>
          <w:szCs w:val="32"/>
          <w:shd w:val="clear" w:color="auto" w:fill="FFFFFF"/>
          <w:lang w:val="en-US" w:eastAsia="zh-CN"/>
        </w:rPr>
        <w:t>采购医院清洁外包服务，</w:t>
      </w:r>
      <w:r>
        <w:rPr>
          <w:rFonts w:hint="default" w:ascii="Times New Roman" w:hAnsi="Times New Roman" w:eastAsia="方正仿宋_GBK" w:cs="Times New Roman"/>
          <w:b w:val="0"/>
          <w:bCs w:val="0"/>
          <w:spacing w:val="0"/>
          <w:sz w:val="32"/>
          <w:szCs w:val="32"/>
          <w:highlight w:val="none"/>
          <w:u w:val="none" w:color="auto"/>
          <w:shd w:val="clear" w:color="auto" w:fill="FFFFFF"/>
          <w:lang w:eastAsia="zh-CN"/>
        </w:rPr>
        <w:t>办公设备、办公物资等。</w:t>
      </w:r>
    </w:p>
    <w:p>
      <w:pPr>
        <w:pStyle w:val="10"/>
        <w:keepNext w:val="0"/>
        <w:keepLines w:val="0"/>
        <w:pageBreakBefore w:val="0"/>
        <w:widowControl w:val="0"/>
        <w:suppressLineNumbers w:val="0"/>
        <w:tabs>
          <w:tab w:val="center" w:pos="4153"/>
          <w:tab w:val="left" w:pos="7275"/>
        </w:tabs>
        <w:kinsoku/>
        <w:wordWrap/>
        <w:overflowPunct/>
        <w:topLinePunct w:val="0"/>
        <w:autoSpaceDN/>
        <w:bidi w:val="0"/>
        <w:adjustRightInd/>
        <w:spacing w:before="0" w:beforeAutospacing="0" w:after="0" w:afterAutospacing="0" w:line="560" w:lineRule="exact"/>
        <w:ind w:left="0" w:right="0" w:firstLine="640"/>
        <w:jc w:val="both"/>
        <w:textAlignment w:val="auto"/>
        <w:rPr>
          <w:rFonts w:hint="default" w:ascii="Times New Roman" w:hAnsi="Times New Roman" w:eastAsia="方正黑体_GBK" w:cs="Times New Roman"/>
          <w:kern w:val="2"/>
          <w:sz w:val="32"/>
          <w:szCs w:val="32"/>
          <w:lang w:bidi="ar-SA"/>
        </w:rPr>
      </w:pPr>
      <w:r>
        <w:rPr>
          <w:rFonts w:hint="default" w:ascii="Times New Roman" w:hAnsi="Times New Roman" w:eastAsia="方正黑体_GBK" w:cs="Times New Roman"/>
          <w:kern w:val="2"/>
          <w:sz w:val="32"/>
          <w:szCs w:val="32"/>
          <w:lang w:bidi="ar-SA"/>
        </w:rPr>
        <w:t>五、预算绩效管理情况说明</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（一）预算绩效管理工作开展情况</w:t>
      </w:r>
    </w:p>
    <w:p>
      <w:pPr>
        <w:keepNext w:val="0"/>
        <w:keepLines w:val="0"/>
        <w:pageBreakBefore w:val="0"/>
        <w:widowControl w:val="0"/>
        <w:suppressLineNumbers w:val="0"/>
        <w:kinsoku/>
        <w:wordWrap/>
        <w:overflowPunct/>
        <w:topLinePunct w:val="0"/>
        <w:autoSpaceDE w:val="0"/>
        <w:autoSpaceDN/>
        <w:bidi w:val="0"/>
        <w:adjustRightInd/>
        <w:spacing w:line="560" w:lineRule="exact"/>
        <w:ind w:left="0"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Style w:val="17"/>
          <w:rFonts w:hint="default" w:ascii="Times New Roman" w:hAnsi="Times New Roman" w:eastAsia="方正仿宋_GBK" w:cs="Times New Roman"/>
          <w:b w:val="0"/>
          <w:bCs w:val="0"/>
          <w:kern w:val="0"/>
          <w:sz w:val="32"/>
          <w:szCs w:val="32"/>
          <w:shd w:val="clear" w:fill="FFFFFF"/>
        </w:rPr>
        <w:t>根据预算绩效管理要求，我单位对3个项目开展了绩效自评，涉及</w:t>
      </w:r>
      <w:r>
        <w:rPr>
          <w:rStyle w:val="17"/>
          <w:rFonts w:hint="default" w:ascii="Times New Roman" w:hAnsi="Times New Roman" w:eastAsia="方正仿宋_GBK" w:cs="Times New Roman"/>
          <w:b w:val="0"/>
          <w:bCs w:val="0"/>
          <w:kern w:val="0"/>
          <w:sz w:val="32"/>
          <w:szCs w:val="32"/>
          <w:shd w:val="clear" w:fill="FFFFFF"/>
          <w:lang w:val="en-US" w:eastAsia="zh-CN"/>
        </w:rPr>
        <w:t>财政拨款项目支出</w:t>
      </w:r>
      <w:r>
        <w:rPr>
          <w:rStyle w:val="17"/>
          <w:rFonts w:hint="default" w:ascii="Times New Roman" w:hAnsi="Times New Roman" w:eastAsia="方正仿宋_GBK" w:cs="Times New Roman"/>
          <w:b w:val="0"/>
          <w:bCs w:val="0"/>
          <w:kern w:val="0"/>
          <w:sz w:val="32"/>
          <w:szCs w:val="32"/>
          <w:shd w:val="clear" w:fill="FFFFFF"/>
        </w:rPr>
        <w:t>资金</w:t>
      </w:r>
      <w:r>
        <w:rPr>
          <w:rStyle w:val="17"/>
          <w:rFonts w:hint="default" w:ascii="Times New Roman" w:hAnsi="Times New Roman" w:eastAsia="方正仿宋_GBK" w:cs="Times New Roman"/>
          <w:b w:val="0"/>
          <w:bCs w:val="0"/>
          <w:kern w:val="0"/>
          <w:sz w:val="32"/>
          <w:szCs w:val="32"/>
          <w:shd w:val="clear" w:fill="FFFFFF"/>
          <w:lang w:val="en-US" w:eastAsia="zh-CN"/>
        </w:rPr>
        <w:t>70.3</w:t>
      </w:r>
      <w:r>
        <w:rPr>
          <w:rStyle w:val="17"/>
          <w:rFonts w:hint="eastAsia" w:ascii="Times New Roman" w:hAnsi="Times New Roman" w:eastAsia="方正仿宋_GBK" w:cs="Times New Roman"/>
          <w:b w:val="0"/>
          <w:bCs w:val="0"/>
          <w:kern w:val="0"/>
          <w:sz w:val="32"/>
          <w:szCs w:val="32"/>
          <w:shd w:val="clear" w:fill="FFFFFF"/>
          <w:lang w:val="en-US" w:eastAsia="zh-CN"/>
        </w:rPr>
        <w:t>6</w:t>
      </w:r>
      <w:r>
        <w:rPr>
          <w:rStyle w:val="17"/>
          <w:rFonts w:hint="default" w:ascii="Times New Roman" w:hAnsi="Times New Roman" w:eastAsia="方正仿宋_GBK" w:cs="Times New Roman"/>
          <w:b w:val="0"/>
          <w:bCs w:val="0"/>
          <w:kern w:val="0"/>
          <w:sz w:val="32"/>
          <w:szCs w:val="32"/>
          <w:shd w:val="clear" w:fill="FFFFFF"/>
        </w:rPr>
        <w:t>万元；以委托第三方出具报告的方式开展绩效评价0项，涉及资金0.00万元。</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（二）绩效自评结果</w:t>
      </w:r>
    </w:p>
    <w:p>
      <w:pPr>
        <w:keepNext w:val="0"/>
        <w:keepLines w:val="0"/>
        <w:pageBreakBefore w:val="0"/>
        <w:widowControl w:val="0"/>
        <w:suppressLineNumbers w:val="0"/>
        <w:kinsoku/>
        <w:wordWrap/>
        <w:overflowPunct/>
        <w:topLinePunct w:val="0"/>
        <w:autoSpaceDE w:val="0"/>
        <w:autoSpaceDN/>
        <w:bidi w:val="0"/>
        <w:adjustRightInd/>
        <w:spacing w:line="560" w:lineRule="exact"/>
        <w:ind w:left="0" w:firstLine="640" w:firstLineChars="200"/>
        <w:jc w:val="left"/>
        <w:textAlignment w:val="auto"/>
        <w:rPr>
          <w:rStyle w:val="17"/>
          <w:rFonts w:hint="default" w:ascii="Times New Roman" w:hAnsi="Times New Roman" w:eastAsia="方正仿宋_GBK" w:cs="Times New Roman"/>
          <w:b w:val="0"/>
          <w:bCs w:val="0"/>
          <w:kern w:val="0"/>
          <w:sz w:val="32"/>
          <w:szCs w:val="32"/>
          <w:shd w:val="clear" w:fill="FFFFFF"/>
        </w:rPr>
      </w:pPr>
      <w:r>
        <w:rPr>
          <w:rStyle w:val="17"/>
          <w:rFonts w:hint="default" w:ascii="Times New Roman" w:hAnsi="Times New Roman" w:eastAsia="方正仿宋_GBK" w:cs="Times New Roman"/>
          <w:b w:val="0"/>
          <w:bCs w:val="0"/>
          <w:kern w:val="0"/>
          <w:sz w:val="32"/>
          <w:szCs w:val="32"/>
          <w:shd w:val="clear" w:fill="FFFFFF"/>
        </w:rPr>
        <w:t>1.绩效目标自评表</w:t>
      </w:r>
    </w:p>
    <w:p>
      <w:pPr>
        <w:keepNext w:val="0"/>
        <w:keepLines w:val="0"/>
        <w:pageBreakBefore w:val="0"/>
        <w:widowControl w:val="0"/>
        <w:suppressLineNumbers w:val="0"/>
        <w:kinsoku/>
        <w:wordWrap/>
        <w:overflowPunct/>
        <w:topLinePunct w:val="0"/>
        <w:autoSpaceDE w:val="0"/>
        <w:autoSpaceDN/>
        <w:bidi w:val="0"/>
        <w:adjustRightInd/>
        <w:spacing w:line="560" w:lineRule="exact"/>
        <w:ind w:left="0" w:firstLine="640" w:firstLineChars="200"/>
        <w:jc w:val="left"/>
        <w:textAlignment w:val="auto"/>
        <w:rPr>
          <w:rStyle w:val="17"/>
          <w:rFonts w:hint="default" w:ascii="Times New Roman" w:hAnsi="Times New Roman" w:eastAsia="方正仿宋_GBK" w:cs="Times New Roman"/>
          <w:b w:val="0"/>
          <w:bCs w:val="0"/>
          <w:kern w:val="0"/>
          <w:sz w:val="32"/>
          <w:szCs w:val="32"/>
          <w:shd w:val="clear" w:fill="FFFFFF"/>
        </w:rPr>
      </w:pPr>
      <w:r>
        <w:rPr>
          <w:rStyle w:val="17"/>
          <w:rFonts w:hint="default" w:ascii="Times New Roman" w:hAnsi="Times New Roman" w:eastAsia="方正仿宋_GBK" w:cs="Times New Roman"/>
          <w:b w:val="0"/>
          <w:bCs w:val="0"/>
          <w:kern w:val="0"/>
          <w:sz w:val="32"/>
          <w:szCs w:val="32"/>
          <w:shd w:val="clear" w:fill="FFFFFF"/>
        </w:rPr>
        <w:t>详见公开表。</w:t>
      </w:r>
    </w:p>
    <w:p>
      <w:pPr>
        <w:keepNext w:val="0"/>
        <w:keepLines w:val="0"/>
        <w:pageBreakBefore w:val="0"/>
        <w:widowControl w:val="0"/>
        <w:suppressLineNumbers w:val="0"/>
        <w:kinsoku/>
        <w:wordWrap/>
        <w:overflowPunct/>
        <w:topLinePunct w:val="0"/>
        <w:autoSpaceDE w:val="0"/>
        <w:autoSpaceDN/>
        <w:bidi w:val="0"/>
        <w:adjustRightInd/>
        <w:spacing w:line="560" w:lineRule="exact"/>
        <w:ind w:left="0" w:firstLine="640" w:firstLineChars="200"/>
        <w:jc w:val="left"/>
        <w:textAlignment w:val="auto"/>
        <w:rPr>
          <w:rStyle w:val="17"/>
          <w:rFonts w:hint="default" w:ascii="Times New Roman" w:hAnsi="Times New Roman" w:eastAsia="方正仿宋_GBK" w:cs="Times New Roman"/>
          <w:b w:val="0"/>
          <w:bCs w:val="0"/>
          <w:kern w:val="0"/>
          <w:sz w:val="32"/>
          <w:szCs w:val="32"/>
          <w:shd w:val="clear" w:fill="FFFFFF"/>
        </w:rPr>
      </w:pPr>
      <w:r>
        <w:rPr>
          <w:rStyle w:val="17"/>
          <w:rFonts w:hint="default" w:ascii="Times New Roman" w:hAnsi="Times New Roman" w:eastAsia="方正仿宋_GBK" w:cs="Times New Roman"/>
          <w:b w:val="0"/>
          <w:bCs w:val="0"/>
          <w:kern w:val="0"/>
          <w:sz w:val="32"/>
          <w:szCs w:val="32"/>
          <w:shd w:val="clear" w:fill="FFFFFF"/>
        </w:rPr>
        <w:t>2.绩效自评报告或案例</w:t>
      </w:r>
    </w:p>
    <w:p>
      <w:pPr>
        <w:pStyle w:val="11"/>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right="0" w:righ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无。</w:t>
      </w:r>
    </w:p>
    <w:p>
      <w:pPr>
        <w:keepNext w:val="0"/>
        <w:keepLines w:val="0"/>
        <w:pageBreakBefore w:val="0"/>
        <w:widowControl w:val="0"/>
        <w:suppressLineNumbers w:val="0"/>
        <w:kinsoku/>
        <w:wordWrap/>
        <w:overflowPunct/>
        <w:topLinePunct w:val="0"/>
        <w:autoSpaceDE w:val="0"/>
        <w:autoSpaceDN/>
        <w:bidi w:val="0"/>
        <w:adjustRightInd/>
        <w:spacing w:line="560" w:lineRule="exact"/>
        <w:ind w:left="0" w:firstLine="640" w:firstLineChars="200"/>
        <w:jc w:val="left"/>
        <w:textAlignment w:val="auto"/>
        <w:rPr>
          <w:rStyle w:val="17"/>
          <w:rFonts w:hint="default" w:ascii="Times New Roman" w:hAnsi="Times New Roman" w:eastAsia="方正仿宋_GBK" w:cs="Times New Roman"/>
          <w:b w:val="0"/>
          <w:bCs w:val="0"/>
          <w:kern w:val="0"/>
          <w:sz w:val="32"/>
          <w:szCs w:val="32"/>
          <w:shd w:val="clear" w:fill="FFFFFF"/>
        </w:rPr>
      </w:pPr>
      <w:r>
        <w:rPr>
          <w:rStyle w:val="17"/>
          <w:rFonts w:hint="default" w:ascii="Times New Roman" w:hAnsi="Times New Roman" w:eastAsia="方正仿宋_GBK" w:cs="Times New Roman"/>
          <w:b w:val="0"/>
          <w:bCs w:val="0"/>
          <w:kern w:val="0"/>
          <w:sz w:val="32"/>
          <w:szCs w:val="32"/>
          <w:shd w:val="clear" w:fill="FFFFFF"/>
        </w:rPr>
        <w:t>3.关于绩效自评结果的说明</w:t>
      </w:r>
    </w:p>
    <w:p>
      <w:pPr>
        <w:keepNext w:val="0"/>
        <w:keepLines w:val="0"/>
        <w:pageBreakBefore w:val="0"/>
        <w:widowControl w:val="0"/>
        <w:suppressLineNumbers w:val="0"/>
        <w:kinsoku/>
        <w:wordWrap/>
        <w:overflowPunct/>
        <w:topLinePunct w:val="0"/>
        <w:autoSpaceDE w:val="0"/>
        <w:autoSpaceDN/>
        <w:bidi w:val="0"/>
        <w:adjustRightInd/>
        <w:spacing w:line="560" w:lineRule="exact"/>
        <w:ind w:left="0" w:firstLine="640" w:firstLineChars="200"/>
        <w:jc w:val="left"/>
        <w:textAlignment w:val="auto"/>
        <w:rPr>
          <w:rStyle w:val="17"/>
          <w:rFonts w:hint="default" w:ascii="Times New Roman" w:hAnsi="Times New Roman" w:eastAsia="方正仿宋_GBK" w:cs="Times New Roman"/>
          <w:b w:val="0"/>
          <w:bCs w:val="0"/>
          <w:kern w:val="0"/>
          <w:sz w:val="32"/>
          <w:szCs w:val="32"/>
          <w:shd w:val="clear" w:fill="FFFFFF"/>
        </w:rPr>
      </w:pPr>
      <w:r>
        <w:rPr>
          <w:rStyle w:val="17"/>
          <w:rFonts w:hint="default" w:ascii="Times New Roman" w:hAnsi="Times New Roman" w:eastAsia="方正仿宋_GBK" w:cs="Times New Roman"/>
          <w:b w:val="0"/>
          <w:bCs w:val="0"/>
          <w:kern w:val="0"/>
          <w:sz w:val="32"/>
          <w:szCs w:val="32"/>
          <w:shd w:val="clear" w:fill="FFFFFF"/>
        </w:rPr>
        <w:t>本年度我单位顺利开展了基本公共卫生工作并严格执行基本药物制度，两项工作均已达到年初工作计划，自评绩效目标完成度比较好。</w:t>
      </w:r>
    </w:p>
    <w:p>
      <w:pPr>
        <w:pStyle w:val="9"/>
        <w:keepNext w:val="0"/>
        <w:keepLines w:val="0"/>
        <w:pageBreakBefore w:val="0"/>
        <w:widowControl w:val="0"/>
        <w:kinsoku/>
        <w:wordWrap/>
        <w:overflowPunct/>
        <w:topLinePunct w:val="0"/>
        <w:autoSpaceDE w:val="0"/>
        <w:autoSpaceDN/>
        <w:bidi w:val="0"/>
        <w:adjustRightInd/>
        <w:spacing w:line="560" w:lineRule="exact"/>
        <w:ind w:firstLine="643"/>
        <w:textAlignment w:val="auto"/>
        <w:rPr>
          <w:rStyle w:val="12"/>
          <w:rFonts w:hint="default" w:ascii="Times New Roman" w:hAnsi="Times New Roman" w:eastAsia="方正楷体_GBK" w:cs="Times New Roman"/>
          <w:b w:val="0"/>
          <w:bCs w:val="0"/>
          <w:kern w:val="0"/>
          <w:shd w:val="clear" w:fill="FFFFFF"/>
          <w:lang w:val="en-US" w:eastAsia="zh-CN" w:bidi="ar"/>
        </w:rPr>
      </w:pPr>
      <w:r>
        <w:rPr>
          <w:rStyle w:val="12"/>
          <w:rFonts w:hint="default" w:ascii="Times New Roman" w:hAnsi="Times New Roman" w:eastAsia="方正楷体_GBK" w:cs="Times New Roman"/>
          <w:b w:val="0"/>
          <w:bCs w:val="0"/>
          <w:kern w:val="0"/>
          <w:shd w:val="clear" w:fill="FFFFFF"/>
          <w:lang w:val="en-US" w:eastAsia="zh-CN" w:bidi="ar"/>
        </w:rPr>
        <w:t>（三）财政绩效评价情况</w:t>
      </w:r>
    </w:p>
    <w:p>
      <w:pPr>
        <w:pStyle w:val="18"/>
        <w:keepNext w:val="0"/>
        <w:keepLines w:val="0"/>
        <w:pageBreakBefore w:val="0"/>
        <w:widowControl w:val="0"/>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cs="Times New Roman"/>
        </w:rPr>
      </w:pPr>
      <w:bookmarkStart w:id="0" w:name="_GoBack"/>
      <w:bookmarkEnd w:id="0"/>
      <w:r>
        <w:rPr>
          <w:rFonts w:hint="default" w:ascii="Times New Roman" w:hAnsi="Times New Roman" w:eastAsia="方正仿宋_GBK" w:cs="Times New Roman"/>
          <w:b w:val="0"/>
          <w:bCs w:val="0"/>
          <w:spacing w:val="0"/>
          <w:sz w:val="32"/>
          <w:szCs w:val="32"/>
          <w:shd w:val="clear" w:color="auto" w:fill="FFFFFF"/>
        </w:rPr>
        <w:t>财政局</w:t>
      </w:r>
      <w:r>
        <w:rPr>
          <w:rFonts w:hint="default" w:ascii="Times New Roman" w:hAnsi="Times New Roman" w:eastAsia="方正仿宋_GBK" w:cs="Times New Roman"/>
          <w:b w:val="0"/>
          <w:bCs w:val="0"/>
          <w:spacing w:val="0"/>
          <w:sz w:val="32"/>
          <w:szCs w:val="32"/>
          <w:shd w:val="clear" w:color="auto" w:fill="FFFFFF"/>
          <w:lang w:eastAsia="zh-CN"/>
        </w:rPr>
        <w:t>未</w:t>
      </w:r>
      <w:r>
        <w:rPr>
          <w:rFonts w:hint="default" w:ascii="Times New Roman" w:hAnsi="Times New Roman" w:eastAsia="方正仿宋_GBK" w:cs="Times New Roman"/>
          <w:b w:val="0"/>
          <w:bCs w:val="0"/>
          <w:spacing w:val="0"/>
          <w:sz w:val="32"/>
          <w:szCs w:val="32"/>
          <w:shd w:val="clear" w:color="auto" w:fill="FFFFFF"/>
        </w:rPr>
        <w:t>委托第三方对我单位开展绩效评价</w:t>
      </w:r>
      <w:r>
        <w:rPr>
          <w:rFonts w:hint="default" w:ascii="Times New Roman" w:hAnsi="Times New Roman" w:eastAsia="方正仿宋_GBK" w:cs="Times New Roman"/>
          <w:b w:val="0"/>
          <w:bCs w:val="0"/>
          <w:spacing w:val="0"/>
          <w:sz w:val="32"/>
          <w:szCs w:val="32"/>
          <w:shd w:val="clear" w:color="auto" w:fill="FFFFFF"/>
          <w:lang w:eastAsia="zh-CN"/>
        </w:rPr>
        <w:t>。</w:t>
      </w:r>
    </w:p>
    <w:p>
      <w:pPr>
        <w:pStyle w:val="5"/>
        <w:keepNext w:val="0"/>
        <w:keepLines w:val="0"/>
        <w:pageBreakBefore w:val="0"/>
        <w:widowControl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Style w:val="8"/>
          <w:rFonts w:hint="default" w:ascii="Times New Roman" w:hAnsi="Times New Roman" w:eastAsia="方正黑体_GBK" w:cs="Times New Roman"/>
          <w:b w:val="0"/>
          <w:bCs w:val="0"/>
          <w:spacing w:val="0"/>
          <w:sz w:val="32"/>
          <w:szCs w:val="32"/>
          <w:shd w:val="clear" w:color="auto" w:fill="FFFFFF"/>
        </w:rPr>
      </w:pPr>
      <w:r>
        <w:rPr>
          <w:rStyle w:val="8"/>
          <w:rFonts w:hint="default" w:ascii="Times New Roman" w:hAnsi="Times New Roman" w:eastAsia="方正黑体_GBK" w:cs="Times New Roman"/>
          <w:b w:val="0"/>
          <w:bCs w:val="0"/>
          <w:spacing w:val="0"/>
          <w:sz w:val="32"/>
          <w:szCs w:val="32"/>
          <w:shd w:val="clear" w:color="auto" w:fill="FFFFFF"/>
        </w:rPr>
        <w:t>  六、专业名词解释</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12"/>
          <w:rFonts w:hint="default" w:ascii="Times New Roman" w:hAnsi="Times New Roman" w:eastAsia="方正楷体_GBK" w:cs="Times New Roman"/>
          <w:b w:val="0"/>
          <w:bCs w:val="0"/>
          <w:kern w:val="0"/>
          <w:shd w:val="clear" w:fill="FFFFFF"/>
          <w:lang w:val="en-US" w:eastAsia="zh-CN" w:bidi="ar"/>
        </w:rPr>
        <w:t> （一）财政拨款收入</w:t>
      </w:r>
      <w:r>
        <w:rPr>
          <w:rStyle w:val="8"/>
          <w:rFonts w:hint="default" w:ascii="Times New Roman" w:hAnsi="Times New Roman" w:eastAsia="方正楷体_GBK" w:cs="Times New Roman"/>
          <w:b w:val="0"/>
          <w:bCs w:val="0"/>
          <w:spacing w:val="0"/>
          <w:sz w:val="32"/>
          <w:szCs w:val="32"/>
          <w:shd w:val="clear" w:color="auto" w:fill="FFFFFF"/>
        </w:rPr>
        <w:t>：</w:t>
      </w:r>
      <w:r>
        <w:rPr>
          <w:rFonts w:hint="default" w:ascii="Times New Roman" w:hAnsi="Times New Roman" w:eastAsia="方正仿宋_GBK" w:cs="Times New Roman"/>
          <w:b w:val="0"/>
          <w:bCs w:val="0"/>
          <w:spacing w:val="0"/>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（二）事业收入：</w:t>
      </w:r>
      <w:r>
        <w:rPr>
          <w:rFonts w:hint="default" w:ascii="Times New Roman" w:hAnsi="Times New Roman" w:eastAsia="方正仿宋_GBK" w:cs="Times New Roman"/>
          <w:b w:val="0"/>
          <w:bCs w:val="0"/>
          <w:spacing w:val="0"/>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（三）经营收入：</w:t>
      </w:r>
      <w:r>
        <w:rPr>
          <w:rFonts w:hint="default" w:ascii="Times New Roman" w:hAnsi="Times New Roman" w:eastAsia="方正仿宋_GBK" w:cs="Times New Roman"/>
          <w:b w:val="0"/>
          <w:bCs w:val="0"/>
          <w:spacing w:val="0"/>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（四）其他收入：</w:t>
      </w:r>
      <w:r>
        <w:rPr>
          <w:rFonts w:hint="eastAsia" w:ascii="方正仿宋_GBK" w:hAnsi="方正仿宋_GBK" w:eastAsia="方正仿宋_GBK" w:cs="方正仿宋_GBK"/>
          <w:b w:val="0"/>
          <w:bCs w:val="0"/>
          <w:spacing w:val="0"/>
          <w:sz w:val="32"/>
          <w:szCs w:val="32"/>
          <w:shd w:val="clear" w:color="auto" w:fill="FFFFFF"/>
        </w:rPr>
        <w:t>指单位取得的除“财政拨款收入”、“事业收入”、“经营收入”等</w:t>
      </w:r>
      <w:r>
        <w:rPr>
          <w:rFonts w:hint="default" w:ascii="Times New Roman" w:hAnsi="Times New Roman" w:eastAsia="方正仿宋_GBK" w:cs="Times New Roman"/>
          <w:b w:val="0"/>
          <w:bCs w:val="0"/>
          <w:spacing w:val="0"/>
          <w:sz w:val="32"/>
          <w:szCs w:val="32"/>
          <w:shd w:val="clear" w:color="auto" w:fill="FFFFFF"/>
        </w:rPr>
        <w:t>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pacing w:val="0"/>
          <w:sz w:val="32"/>
          <w:szCs w:val="32"/>
        </w:rPr>
      </w:pPr>
      <w:r>
        <w:rPr>
          <w:rStyle w:val="8"/>
          <w:rFonts w:hint="default" w:ascii="Times New Roman" w:hAnsi="Times New Roman" w:eastAsia="方正楷体_GBK" w:cs="Times New Roman"/>
          <w:b w:val="0"/>
          <w:bCs w:val="0"/>
          <w:spacing w:val="0"/>
          <w:sz w:val="32"/>
          <w:szCs w:val="32"/>
          <w:shd w:val="clear" w:color="auto" w:fill="FFFFFF"/>
        </w:rPr>
        <w:t>（五）使用非财政拨款结余：</w:t>
      </w:r>
      <w:r>
        <w:rPr>
          <w:rFonts w:hint="eastAsia" w:ascii="方正仿宋_GBK" w:hAnsi="方正仿宋_GBK" w:eastAsia="方正仿宋_GBK" w:cs="方正仿宋_GBK"/>
          <w:b w:val="0"/>
          <w:bCs w:val="0"/>
          <w:spacing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（六）年初结转和结余：</w:t>
      </w:r>
      <w:r>
        <w:rPr>
          <w:rFonts w:hint="default" w:ascii="Times New Roman" w:hAnsi="Times New Roman" w:eastAsia="方正仿宋_GBK" w:cs="Times New Roman"/>
          <w:b w:val="0"/>
          <w:bCs w:val="0"/>
          <w:spacing w:val="0"/>
          <w:sz w:val="32"/>
          <w:szCs w:val="32"/>
          <w:shd w:val="clear" w:color="auto" w:fill="FFFFFF"/>
        </w:rPr>
        <w:t>指单位上年结转本年使用的基本支出结转、项目支出结转和结余、经营结余。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楷体_GBK" w:cs="Times New Roman"/>
          <w:b w:val="0"/>
          <w:bCs w:val="0"/>
          <w:spacing w:val="0"/>
          <w:sz w:val="32"/>
          <w:szCs w:val="32"/>
          <w:shd w:val="clear" w:color="auto" w:fill="FFFFFF"/>
        </w:rPr>
        <w:t> （七）结余分配：</w:t>
      </w:r>
      <w:r>
        <w:rPr>
          <w:rFonts w:hint="default" w:ascii="Times New Roman" w:hAnsi="Times New Roman" w:eastAsia="方正仿宋_GBK" w:cs="Times New Roman"/>
          <w:b w:val="0"/>
          <w:bCs w:val="0"/>
          <w:spacing w:val="0"/>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（八）年末结转和结余：</w:t>
      </w:r>
      <w:r>
        <w:rPr>
          <w:rFonts w:hint="default" w:ascii="Times New Roman" w:hAnsi="Times New Roman" w:eastAsia="方正仿宋_GBK" w:cs="Times New Roman"/>
          <w:b w:val="0"/>
          <w:bCs w:val="0"/>
          <w:spacing w:val="0"/>
          <w:sz w:val="32"/>
          <w:szCs w:val="32"/>
          <w:shd w:val="clear" w:color="auto" w:fill="FFFFFF"/>
        </w:rPr>
        <w:t>指单位结转下年的基本支出结转、项目支出结转和结余、经营结余。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（九）基本支出：</w:t>
      </w:r>
      <w:r>
        <w:rPr>
          <w:rFonts w:hint="default" w:ascii="Times New Roman" w:hAnsi="Times New Roman" w:eastAsia="方正仿宋_GBK" w:cs="Times New Roman"/>
          <w:b w:val="0"/>
          <w:bCs w:val="0"/>
          <w:spacing w:val="0"/>
          <w:sz w:val="32"/>
          <w:szCs w:val="32"/>
          <w:shd w:val="clear" w:color="auto" w:fill="FFFFFF"/>
        </w:rPr>
        <w:t>指为保障机构正常运转、完成日常工作任务而发生的人员经费和公用经费。其中：人员经费指政府收支分类经济科目中的</w:t>
      </w:r>
      <w:r>
        <w:rPr>
          <w:rFonts w:hint="eastAsia" w:ascii="方正仿宋_GBK" w:hAnsi="方正仿宋_GBK" w:eastAsia="方正仿宋_GBK" w:cs="方正仿宋_GBK"/>
          <w:b w:val="0"/>
          <w:bCs w:val="0"/>
          <w:spacing w:val="0"/>
          <w:sz w:val="32"/>
          <w:szCs w:val="32"/>
          <w:shd w:val="clear" w:color="auto" w:fill="FFFFFF"/>
        </w:rPr>
        <w:t>“工资福利支出”和“对个人和家庭的补助”；公用经费指政府收支分类经济科目中除“工资福利支出”和“对个人和家庭的补助”外</w:t>
      </w:r>
      <w:r>
        <w:rPr>
          <w:rFonts w:hint="default" w:ascii="Times New Roman" w:hAnsi="Times New Roman" w:eastAsia="方正仿宋_GBK" w:cs="Times New Roman"/>
          <w:b w:val="0"/>
          <w:bCs w:val="0"/>
          <w:spacing w:val="0"/>
          <w:sz w:val="32"/>
          <w:szCs w:val="32"/>
          <w:shd w:val="clear" w:color="auto" w:fill="FFFFFF"/>
        </w:rPr>
        <w:t>的其他支出。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（十）项目支出：</w:t>
      </w:r>
      <w:r>
        <w:rPr>
          <w:rFonts w:hint="default" w:ascii="Times New Roman" w:hAnsi="Times New Roman" w:eastAsia="方正仿宋_GBK" w:cs="Times New Roman"/>
          <w:b w:val="0"/>
          <w:bCs w:val="0"/>
          <w:spacing w:val="0"/>
          <w:sz w:val="32"/>
          <w:szCs w:val="32"/>
          <w:shd w:val="clear" w:color="auto" w:fill="FFFFFF"/>
        </w:rPr>
        <w:t>指在基本支出之外为完成特定行政任务和事业发展目标所发生的支出。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（十一）经营支出：</w:t>
      </w:r>
      <w:r>
        <w:rPr>
          <w:rFonts w:hint="default" w:ascii="Times New Roman" w:hAnsi="Times New Roman" w:eastAsia="方正仿宋_GBK" w:cs="Times New Roman"/>
          <w:b w:val="0"/>
          <w:bCs w:val="0"/>
          <w:spacing w:val="0"/>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（十二）</w:t>
      </w:r>
      <w:r>
        <w:rPr>
          <w:rStyle w:val="8"/>
          <w:rFonts w:hint="eastAsia" w:ascii="Times New Roman" w:hAnsi="Times New Roman" w:eastAsia="方正楷体_GBK" w:cs="Times New Roman"/>
          <w:b w:val="0"/>
          <w:bCs w:val="0"/>
          <w:spacing w:val="0"/>
          <w:sz w:val="32"/>
          <w:szCs w:val="32"/>
          <w:shd w:val="clear" w:color="auto" w:fill="FFFFFF"/>
          <w:lang w:eastAsia="zh-CN"/>
        </w:rPr>
        <w:t>“</w:t>
      </w:r>
      <w:r>
        <w:rPr>
          <w:rStyle w:val="8"/>
          <w:rFonts w:hint="default" w:ascii="Times New Roman" w:hAnsi="Times New Roman" w:eastAsia="方正楷体_GBK" w:cs="Times New Roman"/>
          <w:b w:val="0"/>
          <w:bCs w:val="0"/>
          <w:spacing w:val="0"/>
          <w:sz w:val="32"/>
          <w:szCs w:val="32"/>
          <w:shd w:val="clear" w:color="auto" w:fill="FFFFFF"/>
        </w:rPr>
        <w:t>三公</w:t>
      </w:r>
      <w:r>
        <w:rPr>
          <w:rStyle w:val="8"/>
          <w:rFonts w:hint="eastAsia" w:ascii="Times New Roman" w:hAnsi="Times New Roman" w:eastAsia="方正楷体_GBK" w:cs="Times New Roman"/>
          <w:b w:val="0"/>
          <w:bCs w:val="0"/>
          <w:spacing w:val="0"/>
          <w:sz w:val="32"/>
          <w:szCs w:val="32"/>
          <w:shd w:val="clear" w:color="auto" w:fill="FFFFFF"/>
          <w:lang w:eastAsia="zh-CN"/>
        </w:rPr>
        <w:t>”</w:t>
      </w:r>
      <w:r>
        <w:rPr>
          <w:rStyle w:val="8"/>
          <w:rFonts w:hint="default" w:ascii="Times New Roman" w:hAnsi="Times New Roman" w:eastAsia="方正楷体_GBK" w:cs="Times New Roman"/>
          <w:b w:val="0"/>
          <w:bCs w:val="0"/>
          <w:spacing w:val="0"/>
          <w:sz w:val="32"/>
          <w:szCs w:val="32"/>
          <w:shd w:val="clear" w:color="auto" w:fill="FFFFFF"/>
        </w:rPr>
        <w:t>经费：</w:t>
      </w:r>
      <w:r>
        <w:rPr>
          <w:rFonts w:hint="default" w:ascii="Times New Roman" w:hAnsi="Times New Roman" w:eastAsia="方正仿宋_GBK" w:cs="Times New Roman"/>
          <w:b w:val="0"/>
          <w:bCs w:val="0"/>
          <w:spacing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（十三）机关运行经费：</w:t>
      </w:r>
      <w:r>
        <w:rPr>
          <w:rFonts w:hint="default" w:ascii="Times New Roman" w:hAnsi="Times New Roman" w:eastAsia="方正仿宋_GBK" w:cs="Times New Roman"/>
          <w:b w:val="0"/>
          <w:bCs w:val="0"/>
          <w:spacing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（十四）工资福利支出（支出经济分类科目类级）：</w:t>
      </w:r>
      <w:r>
        <w:rPr>
          <w:rFonts w:hint="default" w:ascii="Times New Roman" w:hAnsi="Times New Roman" w:eastAsia="方正仿宋_GBK" w:cs="Times New Roman"/>
          <w:b w:val="0"/>
          <w:bCs w:val="0"/>
          <w:spacing w:val="0"/>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（十五）商品和服务支出（支出经济分类科目类级）：</w:t>
      </w:r>
      <w:r>
        <w:rPr>
          <w:rFonts w:hint="default" w:ascii="Times New Roman" w:hAnsi="Times New Roman" w:eastAsia="方正仿宋_GBK" w:cs="Times New Roman"/>
          <w:b w:val="0"/>
          <w:bCs w:val="0"/>
          <w:spacing w:val="0"/>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rPr>
      </w:pPr>
      <w:r>
        <w:rPr>
          <w:rStyle w:val="8"/>
          <w:rFonts w:hint="default" w:ascii="Times New Roman" w:hAnsi="Times New Roman" w:eastAsia="楷体"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pacing w:val="0"/>
          <w:sz w:val="32"/>
          <w:szCs w:val="32"/>
          <w:shd w:val="clear" w:color="auto" w:fill="FFFFFF"/>
        </w:rPr>
        <w:t>反映用于对个人和家庭的补助支出。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pacing w:val="0"/>
          <w:sz w:val="32"/>
          <w:szCs w:val="32"/>
          <w:shd w:val="clear" w:color="auto" w:fill="FFFFFF"/>
        </w:rPr>
      </w:pPr>
      <w:r>
        <w:rPr>
          <w:rStyle w:val="8"/>
          <w:rFonts w:hint="default" w:ascii="Times New Roman" w:hAnsi="Times New Roman" w:eastAsia="方正仿宋_GBK" w:cs="Times New Roman"/>
          <w:b w:val="0"/>
          <w:bCs w:val="0"/>
          <w:spacing w:val="0"/>
          <w:sz w:val="32"/>
          <w:szCs w:val="32"/>
          <w:shd w:val="clear" w:color="auto" w:fill="FFFFFF"/>
        </w:rPr>
        <w:t> </w:t>
      </w:r>
      <w:r>
        <w:rPr>
          <w:rStyle w:val="8"/>
          <w:rFonts w:hint="default" w:ascii="Times New Roman" w:hAnsi="Times New Roman" w:eastAsia="方正楷体_GBK" w:cs="Times New Roman"/>
          <w:b w:val="0"/>
          <w:bCs w:val="0"/>
          <w:spacing w:val="0"/>
          <w:sz w:val="32"/>
          <w:szCs w:val="32"/>
          <w:shd w:val="clear" w:color="auto" w:fill="FFFFFF"/>
        </w:rPr>
        <w:t>（十七）其他资本性支出（支出经济分类科目类级）：</w:t>
      </w:r>
      <w:r>
        <w:rPr>
          <w:rFonts w:hint="default" w:ascii="Times New Roman" w:hAnsi="Times New Roman" w:eastAsia="方正仿宋_GBK" w:cs="Times New Roman"/>
          <w:b w:val="0"/>
          <w:bCs w:val="0"/>
          <w:spacing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val="0"/>
          <w:spacing w:val="0"/>
          <w:sz w:val="32"/>
          <w:szCs w:val="32"/>
          <w:shd w:val="clear" w:color="auto" w:fill="FFFFFF"/>
        </w:rPr>
      </w:pPr>
      <w:r>
        <w:rPr>
          <w:rStyle w:val="8"/>
          <w:rFonts w:hint="default" w:ascii="Times New Roman" w:hAnsi="Times New Roman" w:eastAsia="方正黑体_GBK" w:cs="Times New Roman"/>
          <w:b w:val="0"/>
          <w:bCs w:val="0"/>
          <w:spacing w:val="0"/>
          <w:sz w:val="32"/>
          <w:szCs w:val="32"/>
          <w:shd w:val="clear" w:color="auto" w:fill="FFFFFF"/>
        </w:rPr>
        <w:t>七、决算公开联系方式及信息反馈渠道</w:t>
      </w:r>
    </w:p>
    <w:p>
      <w:pPr>
        <w:keepNext w:val="0"/>
        <w:keepLines w:val="0"/>
        <w:pageBreakBefore w:val="0"/>
        <w:widowControl w:val="0"/>
        <w:suppressLineNumbers w:val="0"/>
        <w:kinsoku/>
        <w:wordWrap/>
        <w:overflowPunct/>
        <w:topLinePunct w:val="0"/>
        <w:autoSpaceDE w:val="0"/>
        <w:autoSpaceDN/>
        <w:bidi w:val="0"/>
        <w:adjustRightInd/>
        <w:spacing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spacing w:val="0"/>
          <w:sz w:val="32"/>
          <w:szCs w:val="32"/>
          <w:shd w:val="clear" w:color="auto" w:fill="FFFFFF"/>
        </w:rPr>
        <w:t>本单位决算公开信息反馈和联系方式</w:t>
      </w:r>
      <w:r>
        <w:rPr>
          <w:rFonts w:hint="default" w:ascii="Times New Roman" w:hAnsi="Times New Roman" w:eastAsia="方正仿宋_GBK" w:cs="Times New Roman"/>
          <w:b w:val="0"/>
          <w:bCs w:val="0"/>
          <w:spacing w:val="0"/>
          <w:sz w:val="32"/>
          <w:szCs w:val="32"/>
          <w:shd w:val="clear" w:color="auto" w:fill="FFFFFF"/>
          <w:lang w:eastAsia="zh-CN"/>
        </w:rPr>
        <w:t>：</w:t>
      </w:r>
      <w:r>
        <w:rPr>
          <w:rStyle w:val="17"/>
          <w:rFonts w:hint="default" w:ascii="Times New Roman" w:hAnsi="Times New Roman" w:eastAsia="方正仿宋_GBK" w:cs="Times New Roman"/>
          <w:b w:val="0"/>
          <w:bCs w:val="0"/>
          <w:kern w:val="0"/>
          <w:sz w:val="32"/>
          <w:szCs w:val="32"/>
          <w:shd w:val="clear" w:fill="FFFFFF"/>
        </w:rPr>
        <w:t>023-48225462</w:t>
      </w:r>
    </w:p>
    <w:p>
      <w:pPr>
        <w:pStyle w:val="9"/>
        <w:keepNext w:val="0"/>
        <w:keepLines w:val="0"/>
        <w:pageBreakBefore w:val="0"/>
        <w:widowControl w:val="0"/>
        <w:kinsoku/>
        <w:wordWrap/>
        <w:overflowPunct/>
        <w:topLinePunct w:val="0"/>
        <w:autoSpaceDE w:val="0"/>
        <w:autoSpaceDN/>
        <w:bidi w:val="0"/>
        <w:adjustRightInd/>
        <w:spacing w:beforeAutospacing="0" w:afterAutospacing="0" w:line="560" w:lineRule="exact"/>
        <w:ind w:firstLine="420" w:firstLineChars="200"/>
        <w:textAlignment w:val="auto"/>
        <w:rPr>
          <w:rFonts w:hint="default" w:ascii="Times New Roman" w:hAnsi="Times New Roman" w:eastAsia="方正仿宋_GBK" w:cs="Times New Roman"/>
          <w:b w:val="0"/>
          <w:bCs w:val="0"/>
          <w:spacing w:val="0"/>
          <w:sz w:val="21"/>
          <w:szCs w:val="21"/>
          <w:lang w:val="en-US" w:eastAsia="zh-CN"/>
        </w:rPr>
      </w:pP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p>
    <w:sectPr>
      <w:headerReference r:id="rId3" w:type="default"/>
      <w:footerReference r:id="rId4" w:type="default"/>
      <w:pgSz w:w="11906" w:h="16838"/>
      <w:pgMar w:top="2098" w:right="1474" w:bottom="1984" w:left="1587" w:header="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0288;mso-width-relative:page;mso-height-relative:page;" filled="f" stroked="f" coordsize="21600,21600" o:gfxdata="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p6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87wl9QAAAAHAQAADwAAAAAAAAAB&#10;ACAAAAAiAAAAZHJzL2Rvd25yZXYueG1sUEsBAhQAFAAAAAgAh07iQMDe54oUAgAAEwQAAA4AAAAA&#10;AAAAAQAgAAAAIwEAAGRycy9lMm9Eb2MueG1sUEsFBgAAAAAGAAYAWQEAAKkFA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624B82"/>
    <w:rsid w:val="007B419D"/>
    <w:rsid w:val="009B67B8"/>
    <w:rsid w:val="009E2D09"/>
    <w:rsid w:val="00B03CCD"/>
    <w:rsid w:val="00E22924"/>
    <w:rsid w:val="00FE7556"/>
    <w:rsid w:val="01474EBF"/>
    <w:rsid w:val="01F3521E"/>
    <w:rsid w:val="02557C87"/>
    <w:rsid w:val="026D3223"/>
    <w:rsid w:val="03237D85"/>
    <w:rsid w:val="03E3214F"/>
    <w:rsid w:val="04446191"/>
    <w:rsid w:val="044C50BA"/>
    <w:rsid w:val="05C23886"/>
    <w:rsid w:val="066E57BB"/>
    <w:rsid w:val="06710E08"/>
    <w:rsid w:val="06A2550B"/>
    <w:rsid w:val="06F80EE2"/>
    <w:rsid w:val="07001CCA"/>
    <w:rsid w:val="075678DB"/>
    <w:rsid w:val="07AF7E3A"/>
    <w:rsid w:val="08051BCA"/>
    <w:rsid w:val="08887FC5"/>
    <w:rsid w:val="08BA052C"/>
    <w:rsid w:val="08DB07BA"/>
    <w:rsid w:val="098305D0"/>
    <w:rsid w:val="09B71227"/>
    <w:rsid w:val="09B72B6E"/>
    <w:rsid w:val="0A2D5046"/>
    <w:rsid w:val="0A3851D8"/>
    <w:rsid w:val="0A5C4B69"/>
    <w:rsid w:val="0A7140AF"/>
    <w:rsid w:val="0AEA2F37"/>
    <w:rsid w:val="0AEC3BC7"/>
    <w:rsid w:val="0B5A00BC"/>
    <w:rsid w:val="0B9335CE"/>
    <w:rsid w:val="0C7927C4"/>
    <w:rsid w:val="0C8E2713"/>
    <w:rsid w:val="0C9B098C"/>
    <w:rsid w:val="0D11728C"/>
    <w:rsid w:val="0D673E11"/>
    <w:rsid w:val="0DB50EFE"/>
    <w:rsid w:val="0DDA54E4"/>
    <w:rsid w:val="0E3A5F83"/>
    <w:rsid w:val="0E981627"/>
    <w:rsid w:val="0EF441AF"/>
    <w:rsid w:val="0F4F35B5"/>
    <w:rsid w:val="0F836721"/>
    <w:rsid w:val="103645A3"/>
    <w:rsid w:val="10484987"/>
    <w:rsid w:val="107B59E5"/>
    <w:rsid w:val="11003CB0"/>
    <w:rsid w:val="111445C7"/>
    <w:rsid w:val="1158083A"/>
    <w:rsid w:val="11F03528"/>
    <w:rsid w:val="121A2334"/>
    <w:rsid w:val="12C921C4"/>
    <w:rsid w:val="13850DCB"/>
    <w:rsid w:val="13871C70"/>
    <w:rsid w:val="13A22600"/>
    <w:rsid w:val="13A71CB4"/>
    <w:rsid w:val="13AF1D43"/>
    <w:rsid w:val="13CE1647"/>
    <w:rsid w:val="13CF716E"/>
    <w:rsid w:val="141A11EA"/>
    <w:rsid w:val="14200702"/>
    <w:rsid w:val="14587163"/>
    <w:rsid w:val="148E377E"/>
    <w:rsid w:val="1580711B"/>
    <w:rsid w:val="15B42ABF"/>
    <w:rsid w:val="189B0D0B"/>
    <w:rsid w:val="194A1770"/>
    <w:rsid w:val="19917D9C"/>
    <w:rsid w:val="19B906A4"/>
    <w:rsid w:val="1A1F744B"/>
    <w:rsid w:val="1A277D03"/>
    <w:rsid w:val="1A4854EC"/>
    <w:rsid w:val="1A50725A"/>
    <w:rsid w:val="1AAE21D3"/>
    <w:rsid w:val="1B6554E0"/>
    <w:rsid w:val="1B6F15B6"/>
    <w:rsid w:val="1BAA2EDC"/>
    <w:rsid w:val="1BC218BC"/>
    <w:rsid w:val="1C2A5889"/>
    <w:rsid w:val="1CE157EE"/>
    <w:rsid w:val="1D014A01"/>
    <w:rsid w:val="1D022362"/>
    <w:rsid w:val="1D8A14F0"/>
    <w:rsid w:val="1DD26311"/>
    <w:rsid w:val="1DE33F41"/>
    <w:rsid w:val="1E7E3921"/>
    <w:rsid w:val="1EF67CA4"/>
    <w:rsid w:val="1EFA3C38"/>
    <w:rsid w:val="1F66307C"/>
    <w:rsid w:val="1FCD26AF"/>
    <w:rsid w:val="203E7B55"/>
    <w:rsid w:val="20642787"/>
    <w:rsid w:val="20CE0ED9"/>
    <w:rsid w:val="20FF72E4"/>
    <w:rsid w:val="211F7986"/>
    <w:rsid w:val="21350F58"/>
    <w:rsid w:val="21556F04"/>
    <w:rsid w:val="22403BD3"/>
    <w:rsid w:val="22F8223D"/>
    <w:rsid w:val="23337719"/>
    <w:rsid w:val="23403BE4"/>
    <w:rsid w:val="238E0DF3"/>
    <w:rsid w:val="24B92327"/>
    <w:rsid w:val="2533755C"/>
    <w:rsid w:val="26396DF4"/>
    <w:rsid w:val="27167136"/>
    <w:rsid w:val="27B23302"/>
    <w:rsid w:val="27F154AD"/>
    <w:rsid w:val="28377363"/>
    <w:rsid w:val="29310A5F"/>
    <w:rsid w:val="295757E3"/>
    <w:rsid w:val="29693E94"/>
    <w:rsid w:val="29C37A35"/>
    <w:rsid w:val="29C95E09"/>
    <w:rsid w:val="2A076083"/>
    <w:rsid w:val="2A24600D"/>
    <w:rsid w:val="2A73162E"/>
    <w:rsid w:val="2B0379D1"/>
    <w:rsid w:val="2B167953"/>
    <w:rsid w:val="2B200583"/>
    <w:rsid w:val="2B326508"/>
    <w:rsid w:val="2B8209DE"/>
    <w:rsid w:val="2B9E68B5"/>
    <w:rsid w:val="2BB07664"/>
    <w:rsid w:val="2C02237E"/>
    <w:rsid w:val="2C161D32"/>
    <w:rsid w:val="2C2D3EC7"/>
    <w:rsid w:val="2C6762A3"/>
    <w:rsid w:val="2D8D2A49"/>
    <w:rsid w:val="2DB244BE"/>
    <w:rsid w:val="2DBB6D6F"/>
    <w:rsid w:val="2E47051C"/>
    <w:rsid w:val="2E60513A"/>
    <w:rsid w:val="2FE029D7"/>
    <w:rsid w:val="2FF06E00"/>
    <w:rsid w:val="30533F6E"/>
    <w:rsid w:val="30D047F9"/>
    <w:rsid w:val="31101099"/>
    <w:rsid w:val="315D128C"/>
    <w:rsid w:val="315D199F"/>
    <w:rsid w:val="315F0B22"/>
    <w:rsid w:val="31D84415"/>
    <w:rsid w:val="32285F6F"/>
    <w:rsid w:val="32770556"/>
    <w:rsid w:val="329C0913"/>
    <w:rsid w:val="32A93554"/>
    <w:rsid w:val="33150BE9"/>
    <w:rsid w:val="331D7A9E"/>
    <w:rsid w:val="3337290D"/>
    <w:rsid w:val="339C4E66"/>
    <w:rsid w:val="33C543BD"/>
    <w:rsid w:val="345E211C"/>
    <w:rsid w:val="348E53F5"/>
    <w:rsid w:val="34983880"/>
    <w:rsid w:val="34A57D4B"/>
    <w:rsid w:val="352930DB"/>
    <w:rsid w:val="35573069"/>
    <w:rsid w:val="357F67EE"/>
    <w:rsid w:val="358C217E"/>
    <w:rsid w:val="359F188C"/>
    <w:rsid w:val="3623361D"/>
    <w:rsid w:val="362A03A5"/>
    <w:rsid w:val="362D2433"/>
    <w:rsid w:val="36C9128A"/>
    <w:rsid w:val="37135440"/>
    <w:rsid w:val="37841E99"/>
    <w:rsid w:val="37BF1123"/>
    <w:rsid w:val="37F26E25"/>
    <w:rsid w:val="38BE4696"/>
    <w:rsid w:val="39166507"/>
    <w:rsid w:val="392A081F"/>
    <w:rsid w:val="398268AC"/>
    <w:rsid w:val="39B051C8"/>
    <w:rsid w:val="39B82A39"/>
    <w:rsid w:val="39F33306"/>
    <w:rsid w:val="3A3E6C77"/>
    <w:rsid w:val="3B1705E5"/>
    <w:rsid w:val="3B18334B"/>
    <w:rsid w:val="3B36794F"/>
    <w:rsid w:val="3B544954"/>
    <w:rsid w:val="3BF014AD"/>
    <w:rsid w:val="3C460065"/>
    <w:rsid w:val="3C6A5B02"/>
    <w:rsid w:val="3D2757A1"/>
    <w:rsid w:val="3D3D4FC4"/>
    <w:rsid w:val="3D4445A5"/>
    <w:rsid w:val="3DDF3AB1"/>
    <w:rsid w:val="3DE60B7E"/>
    <w:rsid w:val="3E1D0952"/>
    <w:rsid w:val="3E247234"/>
    <w:rsid w:val="3E42660A"/>
    <w:rsid w:val="3E7555B1"/>
    <w:rsid w:val="3F0527E5"/>
    <w:rsid w:val="3F16459E"/>
    <w:rsid w:val="3F3617F2"/>
    <w:rsid w:val="3FDE15A7"/>
    <w:rsid w:val="4004000C"/>
    <w:rsid w:val="402B55A8"/>
    <w:rsid w:val="40FD5440"/>
    <w:rsid w:val="411B6CE5"/>
    <w:rsid w:val="412070D7"/>
    <w:rsid w:val="41314E40"/>
    <w:rsid w:val="4142353C"/>
    <w:rsid w:val="415C674B"/>
    <w:rsid w:val="420F4A55"/>
    <w:rsid w:val="425B7C9B"/>
    <w:rsid w:val="426C1EA8"/>
    <w:rsid w:val="42864D18"/>
    <w:rsid w:val="42E86A87"/>
    <w:rsid w:val="42F75C15"/>
    <w:rsid w:val="43136432"/>
    <w:rsid w:val="43483E86"/>
    <w:rsid w:val="43770A38"/>
    <w:rsid w:val="443A3B12"/>
    <w:rsid w:val="4447748A"/>
    <w:rsid w:val="44A854C2"/>
    <w:rsid w:val="44DD597D"/>
    <w:rsid w:val="44E977E0"/>
    <w:rsid w:val="46276812"/>
    <w:rsid w:val="465B470D"/>
    <w:rsid w:val="469D6AD4"/>
    <w:rsid w:val="46E841F3"/>
    <w:rsid w:val="47290367"/>
    <w:rsid w:val="47674801"/>
    <w:rsid w:val="478B56E4"/>
    <w:rsid w:val="48225EF7"/>
    <w:rsid w:val="495C4A24"/>
    <w:rsid w:val="498B355B"/>
    <w:rsid w:val="4AD70EE7"/>
    <w:rsid w:val="4B614574"/>
    <w:rsid w:val="4B7951CB"/>
    <w:rsid w:val="4B7C315C"/>
    <w:rsid w:val="4B8169C4"/>
    <w:rsid w:val="4BAB7F90"/>
    <w:rsid w:val="4C392DFB"/>
    <w:rsid w:val="4DAC4ACA"/>
    <w:rsid w:val="4E233D62"/>
    <w:rsid w:val="4E5C5DB9"/>
    <w:rsid w:val="4F186D58"/>
    <w:rsid w:val="501E0C85"/>
    <w:rsid w:val="50EC262C"/>
    <w:rsid w:val="50F149A8"/>
    <w:rsid w:val="522F6E0C"/>
    <w:rsid w:val="52463BA1"/>
    <w:rsid w:val="527E1443"/>
    <w:rsid w:val="52A42F98"/>
    <w:rsid w:val="5391176E"/>
    <w:rsid w:val="53C0244D"/>
    <w:rsid w:val="53D9325D"/>
    <w:rsid w:val="53DD4D4E"/>
    <w:rsid w:val="53E578CE"/>
    <w:rsid w:val="543B029D"/>
    <w:rsid w:val="545D0246"/>
    <w:rsid w:val="554E5773"/>
    <w:rsid w:val="555A3CBC"/>
    <w:rsid w:val="55746A30"/>
    <w:rsid w:val="5579200B"/>
    <w:rsid w:val="55F304BE"/>
    <w:rsid w:val="56530F5D"/>
    <w:rsid w:val="56CF0F2B"/>
    <w:rsid w:val="582E1C82"/>
    <w:rsid w:val="5842572D"/>
    <w:rsid w:val="58466FCB"/>
    <w:rsid w:val="5A737E20"/>
    <w:rsid w:val="5AE75037"/>
    <w:rsid w:val="5B307ABF"/>
    <w:rsid w:val="5B58571C"/>
    <w:rsid w:val="5B8376C2"/>
    <w:rsid w:val="5B96133A"/>
    <w:rsid w:val="5C1336B7"/>
    <w:rsid w:val="5C182A2D"/>
    <w:rsid w:val="5C263CE4"/>
    <w:rsid w:val="5C5D2777"/>
    <w:rsid w:val="5CE172C2"/>
    <w:rsid w:val="5D290C69"/>
    <w:rsid w:val="5D537F41"/>
    <w:rsid w:val="5EFA176D"/>
    <w:rsid w:val="5F0247F9"/>
    <w:rsid w:val="5F2D4A41"/>
    <w:rsid w:val="5F9920D6"/>
    <w:rsid w:val="5FD72BFF"/>
    <w:rsid w:val="601C34ED"/>
    <w:rsid w:val="60A958A9"/>
    <w:rsid w:val="60D22ADB"/>
    <w:rsid w:val="61025A59"/>
    <w:rsid w:val="611C2FBF"/>
    <w:rsid w:val="613D5BBC"/>
    <w:rsid w:val="61536C39"/>
    <w:rsid w:val="61646F94"/>
    <w:rsid w:val="61B87256"/>
    <w:rsid w:val="628D3A49"/>
    <w:rsid w:val="62944DD7"/>
    <w:rsid w:val="634C7460"/>
    <w:rsid w:val="634D1435"/>
    <w:rsid w:val="63732C3E"/>
    <w:rsid w:val="63C25DC5"/>
    <w:rsid w:val="63C62057"/>
    <w:rsid w:val="63C73832"/>
    <w:rsid w:val="640D4E41"/>
    <w:rsid w:val="648B3FB8"/>
    <w:rsid w:val="64FB113D"/>
    <w:rsid w:val="656152C6"/>
    <w:rsid w:val="6587477F"/>
    <w:rsid w:val="658C3A08"/>
    <w:rsid w:val="65C031CA"/>
    <w:rsid w:val="65CE6852"/>
    <w:rsid w:val="65E87914"/>
    <w:rsid w:val="660C375D"/>
    <w:rsid w:val="66267C04"/>
    <w:rsid w:val="663F505A"/>
    <w:rsid w:val="665C1999"/>
    <w:rsid w:val="667F2393"/>
    <w:rsid w:val="66831BC4"/>
    <w:rsid w:val="66EE5541"/>
    <w:rsid w:val="6732696D"/>
    <w:rsid w:val="67401089"/>
    <w:rsid w:val="692172FD"/>
    <w:rsid w:val="692C5FB8"/>
    <w:rsid w:val="6A3829EE"/>
    <w:rsid w:val="6B144D07"/>
    <w:rsid w:val="6B474EF5"/>
    <w:rsid w:val="6C560CAE"/>
    <w:rsid w:val="6C934903"/>
    <w:rsid w:val="6D023395"/>
    <w:rsid w:val="6D0615E4"/>
    <w:rsid w:val="6D903FF5"/>
    <w:rsid w:val="6DA955B8"/>
    <w:rsid w:val="6DE346AB"/>
    <w:rsid w:val="6E6E71B9"/>
    <w:rsid w:val="6F7F6A2D"/>
    <w:rsid w:val="6FB442D1"/>
    <w:rsid w:val="6FFB2E76"/>
    <w:rsid w:val="71325EE7"/>
    <w:rsid w:val="71C34D91"/>
    <w:rsid w:val="71ED38AA"/>
    <w:rsid w:val="720229AA"/>
    <w:rsid w:val="72DB435C"/>
    <w:rsid w:val="72E32C08"/>
    <w:rsid w:val="73EF00BF"/>
    <w:rsid w:val="74B86703"/>
    <w:rsid w:val="750837F0"/>
    <w:rsid w:val="764F62AB"/>
    <w:rsid w:val="765C45EC"/>
    <w:rsid w:val="768A7619"/>
    <w:rsid w:val="76E14979"/>
    <w:rsid w:val="771A5453"/>
    <w:rsid w:val="77EA362A"/>
    <w:rsid w:val="780608AE"/>
    <w:rsid w:val="7875383E"/>
    <w:rsid w:val="790C526F"/>
    <w:rsid w:val="79652BD2"/>
    <w:rsid w:val="796D60A4"/>
    <w:rsid w:val="79A031D5"/>
    <w:rsid w:val="79A436FA"/>
    <w:rsid w:val="7A1525F7"/>
    <w:rsid w:val="7A3E6CB6"/>
    <w:rsid w:val="7A680D2D"/>
    <w:rsid w:val="7AB67B89"/>
    <w:rsid w:val="7AF20495"/>
    <w:rsid w:val="7B420052"/>
    <w:rsid w:val="7B4231CA"/>
    <w:rsid w:val="7BD06A28"/>
    <w:rsid w:val="7C1E4CD7"/>
    <w:rsid w:val="7C3A7C0B"/>
    <w:rsid w:val="7C5248E4"/>
    <w:rsid w:val="7C566698"/>
    <w:rsid w:val="7D2C4132"/>
    <w:rsid w:val="7D474AC8"/>
    <w:rsid w:val="7DBB1012"/>
    <w:rsid w:val="7E046E5D"/>
    <w:rsid w:val="7E0B3D48"/>
    <w:rsid w:val="7E105802"/>
    <w:rsid w:val="7EC34622"/>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styleId="10">
    <w:name w:val="List Paragraph"/>
    <w:basedOn w:val="1"/>
    <w:qFormat/>
    <w:uiPriority w:val="34"/>
    <w:pPr>
      <w:ind w:firstLine="420" w:firstLineChars="200"/>
    </w:pPr>
  </w:style>
  <w:style w:type="paragraph" w:customStyle="1" w:styleId="11">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2">
    <w:name w:val="31"/>
    <w:basedOn w:val="7"/>
    <w:qFormat/>
    <w:uiPriority w:val="0"/>
    <w:rPr>
      <w:rFonts w:hint="eastAsia" w:ascii="宋体" w:hAnsi="宋体" w:eastAsia="宋体" w:cs="宋体"/>
      <w:b/>
      <w:bCs/>
      <w:sz w:val="32"/>
      <w:szCs w:val="32"/>
    </w:rPr>
  </w:style>
  <w:style w:type="character" w:customStyle="1" w:styleId="13">
    <w:name w:val="24"/>
    <w:basedOn w:val="7"/>
    <w:qFormat/>
    <w:uiPriority w:val="0"/>
    <w:rPr>
      <w:rFonts w:hint="default" w:ascii="Times New Roman" w:hAnsi="Times New Roman" w:cs="Times New Roman"/>
    </w:rPr>
  </w:style>
  <w:style w:type="character" w:customStyle="1" w:styleId="14">
    <w:name w:val="43"/>
    <w:basedOn w:val="7"/>
    <w:qFormat/>
    <w:uiPriority w:val="0"/>
    <w:rPr>
      <w:rFonts w:hint="default" w:ascii="Times New Roman" w:hAnsi="Times New Roman" w:cs="Times New Roman"/>
      <w:kern w:val="2"/>
      <w:sz w:val="28"/>
      <w:szCs w:val="28"/>
    </w:rPr>
  </w:style>
  <w:style w:type="character" w:customStyle="1" w:styleId="15">
    <w:name w:val="15"/>
    <w:basedOn w:val="7"/>
    <w:qFormat/>
    <w:uiPriority w:val="0"/>
    <w:rPr>
      <w:rFonts w:hint="default" w:ascii="Times New Roman" w:hAnsi="Times New Roman" w:cs="Times New Roman"/>
    </w:rPr>
  </w:style>
  <w:style w:type="character" w:customStyle="1" w:styleId="16">
    <w:name w:val="28"/>
    <w:basedOn w:val="7"/>
    <w:qFormat/>
    <w:uiPriority w:val="0"/>
    <w:rPr>
      <w:rFonts w:hint="default" w:ascii="Times New Roman" w:hAnsi="Times New Roman" w:cs="Times New Roman"/>
      <w:b/>
      <w:bCs/>
    </w:rPr>
  </w:style>
  <w:style w:type="character" w:customStyle="1" w:styleId="17">
    <w:name w:val="37"/>
    <w:basedOn w:val="7"/>
    <w:qFormat/>
    <w:uiPriority w:val="0"/>
    <w:rPr>
      <w:rFonts w:hint="default" w:ascii="Times New Roman" w:hAnsi="Times New Roman" w:cs="Times New Roman"/>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3892</Words>
  <Characters>4294</Characters>
  <Lines>113</Lines>
  <Paragraphs>31</Paragraphs>
  <TotalTime>10</TotalTime>
  <ScaleCrop>false</ScaleCrop>
  <LinksUpToDate>false</LinksUpToDate>
  <CharactersWithSpaces>4318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2025-10-16T01:24:00Z</dcterms:created>
  <dc:creator>Administrator</dc:creator>
  <cp:lastModifiedBy>Administrator</cp:lastModifiedBy>
  <cp:lastPrinted>2025-10-16T05:13:00Z</cp:lastPrinted>
  <dcterms:modified xsi:type="dcterms:W3CDTF">2025-10-20T08:39:13Z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716C435800814DFB9E8B26C87CAE8AB2_13</vt:lpwstr>
  </property>
  <property fmtid="{D5CDD505-2E9C-101B-9397-08002B2CF9AE}" pid="4" name="KSOTemplateDocerSaveRecord">
    <vt:lpwstr>eyJoZGlkIjoiNmI1ZTlkODU2ODg5NzY1NDBhZDFkZjdhYjE4ZjY3MDYiLCJ1c2VySWQiOiI0NjAxNjIyMTYifQ==</vt:lpwstr>
  </property>
</Properties>
</file>