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公文小标宋" w:cs="Times New Roman"/>
          <w:color w:val="auto"/>
          <w:sz w:val="44"/>
          <w:szCs w:val="44"/>
          <w:highlight w:val="none"/>
        </w:rPr>
      </w:pPr>
      <w:r>
        <w:rPr>
          <w:rFonts w:hint="default" w:ascii="Times New Roman" w:hAnsi="Times New Roman" w:eastAsia="方正公文小标宋" w:cs="Times New Roman"/>
          <w:color w:val="auto"/>
          <w:sz w:val="44"/>
          <w:szCs w:val="44"/>
          <w:highlight w:val="none"/>
        </w:rPr>
        <w:t>重庆市綦江区中医院</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44"/>
          <w:szCs w:val="44"/>
          <w:highlight w:val="none"/>
          <w:shd w:val="clear" w:color="auto" w:fill="FFFFFF"/>
        </w:rPr>
      </w:pPr>
      <w:r>
        <w:rPr>
          <w:rFonts w:hint="default" w:ascii="Times New Roman" w:hAnsi="Times New Roman" w:eastAsia="方正公文小标宋" w:cs="Times New Roman"/>
          <w:color w:val="auto"/>
          <w:sz w:val="44"/>
          <w:szCs w:val="44"/>
          <w:highlight w:val="none"/>
          <w:shd w:val="clear" w:color="auto" w:fill="FFFFFF"/>
        </w:rPr>
        <w:t>2024年度决算公开说明</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黑体" w:cs="Times New Roman"/>
          <w:color w:val="auto"/>
          <w:sz w:val="32"/>
          <w:szCs w:val="32"/>
          <w:highlight w:val="none"/>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方正黑体_GBK" w:cs="Times New Roman"/>
          <w:color w:val="auto"/>
          <w:sz w:val="32"/>
          <w:szCs w:val="32"/>
          <w:highlight w:val="none"/>
          <w:shd w:val="clear" w:color="auto" w:fill="FFFFFF"/>
        </w:rPr>
      </w:pPr>
      <w:r>
        <w:rPr>
          <w:rStyle w:val="13"/>
          <w:rFonts w:hint="default" w:ascii="Times New Roman" w:hAnsi="Times New Roman" w:eastAsia="方正黑体_GBK" w:cs="Times New Roman"/>
          <w:color w:val="auto"/>
          <w:sz w:val="32"/>
          <w:szCs w:val="32"/>
          <w:highlight w:val="none"/>
          <w:shd w:val="clear" w:color="auto" w:fill="FFFFFF"/>
        </w:rPr>
        <w:t>一、</w:t>
      </w:r>
      <w:r>
        <w:rPr>
          <w:rStyle w:val="13"/>
          <w:rFonts w:hint="default" w:ascii="Times New Roman" w:hAnsi="Times New Roman" w:eastAsia="方正黑体_GBK" w:cs="Times New Roman"/>
          <w:color w:val="auto"/>
          <w:sz w:val="32"/>
          <w:szCs w:val="32"/>
          <w:highlight w:val="none"/>
          <w:shd w:val="clear" w:color="auto" w:fill="FFFFFF"/>
          <w:lang w:eastAsia="zh-CN"/>
        </w:rPr>
        <w:t>单位</w:t>
      </w:r>
      <w:r>
        <w:rPr>
          <w:rStyle w:val="13"/>
          <w:rFonts w:hint="default" w:ascii="Times New Roman" w:hAnsi="Times New Roman" w:eastAsia="方正黑体_GBK" w:cs="Times New Roman"/>
          <w:color w:val="auto"/>
          <w:sz w:val="32"/>
          <w:szCs w:val="32"/>
          <w:highlight w:val="none"/>
          <w:shd w:val="clear" w:color="auto" w:fill="FFFFFF"/>
        </w:rPr>
        <w:t>基本情况</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（一）职能职责</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1.为群众提供中西医医疗、预防、保健、康复等医疗卫生服务；</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2.贯彻落实医药卫生体制改革、中西医并重方针和国家中医药法律法规，执行中医药政策；</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w:t>
      </w:r>
      <w:r>
        <w:rPr>
          <w:rFonts w:hint="default" w:ascii="Times New Roman" w:hAnsi="Times New Roman" w:eastAsia="方正仿宋_GBK" w:cs="Times New Roman"/>
          <w:color w:val="auto"/>
          <w:kern w:val="0"/>
          <w:sz w:val="32"/>
          <w:szCs w:val="32"/>
          <w:highlight w:val="none"/>
          <w:lang w:eastAsia="zh-CN"/>
        </w:rPr>
        <w:t>满足</w:t>
      </w:r>
      <w:r>
        <w:rPr>
          <w:rFonts w:hint="default" w:ascii="Times New Roman" w:hAnsi="Times New Roman" w:eastAsia="方正仿宋_GBK" w:cs="Times New Roman"/>
          <w:color w:val="auto"/>
          <w:kern w:val="0"/>
          <w:sz w:val="32"/>
          <w:szCs w:val="32"/>
          <w:highlight w:val="none"/>
        </w:rPr>
        <w:t>全区人民中西医疗健康需求，建立与地方经济发展相适应的中西医结合医疗环境，加强医院标准化管理；</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贯彻落实国家基本药物制度和药品集中采购工作，执行医用耗材集中采购工作；负责医院内部的药品和医疗器械管理工作；承担意外灾害事故、疫情等突发公共卫生事件的医疗急救工作，开展各种医疗保健卫生知识宣传；</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5.做好城镇职工医疗保险、城乡居民合作医疗保险等定点医疗机构各项工作，承担上级主管部门交办的其他卫生工作。</w:t>
      </w:r>
    </w:p>
    <w:p>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（二）机构设置</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开设临床科室26个、医技科室13个。其中国家级中医重点（特色）专科3个，国家中医优势专科建设单位1个，市级中医药重点学科1个，市级中医重点（特色）专科8个（含在建），区级重点专科7个。建设各级名中医工作室15个，传承工作站3个。</w:t>
      </w:r>
    </w:p>
    <w:p>
      <w:pPr>
        <w:keepNext w:val="0"/>
        <w:keepLines w:val="0"/>
        <w:pageBreakBefore w:val="0"/>
        <w:widowControl/>
        <w:numPr>
          <w:ilvl w:val="0"/>
          <w:numId w:val="1"/>
        </w:numPr>
        <w:shd w:val="clear"/>
        <w:kinsoku/>
        <w:wordWrap/>
        <w:overflowPunct/>
        <w:topLinePunct w:val="0"/>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方正楷体_GBK" w:cs="Times New Roman"/>
          <w:b w:val="0"/>
          <w:bCs w:val="0"/>
          <w:color w:val="auto"/>
          <w:kern w:val="0"/>
          <w:sz w:val="32"/>
          <w:szCs w:val="32"/>
          <w:highlight w:val="none"/>
          <w:lang w:eastAsia="zh-CN"/>
        </w:rPr>
        <w:t>单位构成</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本单位无下级预算单位。</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方正黑体_GBK" w:cs="Times New Roman"/>
          <w:color w:val="auto"/>
          <w:sz w:val="32"/>
          <w:szCs w:val="32"/>
          <w:highlight w:val="none"/>
          <w:shd w:val="clear" w:color="auto" w:fill="FFFFFF"/>
        </w:rPr>
      </w:pPr>
      <w:r>
        <w:rPr>
          <w:rStyle w:val="13"/>
          <w:rFonts w:hint="default" w:ascii="Times New Roman" w:hAnsi="Times New Roman" w:eastAsia="方正黑体_GBK" w:cs="Times New Roman"/>
          <w:color w:val="auto"/>
          <w:sz w:val="32"/>
          <w:szCs w:val="32"/>
          <w:highlight w:val="none"/>
          <w:shd w:val="clear" w:color="auto" w:fill="FFFFFF"/>
        </w:rPr>
        <w:t>二、</w:t>
      </w:r>
      <w:r>
        <w:rPr>
          <w:rStyle w:val="13"/>
          <w:rFonts w:hint="default" w:ascii="Times New Roman" w:hAnsi="Times New Roman" w:eastAsia="方正黑体_GBK" w:cs="Times New Roman"/>
          <w:color w:val="auto"/>
          <w:sz w:val="32"/>
          <w:szCs w:val="32"/>
          <w:highlight w:val="none"/>
          <w:shd w:val="clear" w:color="auto" w:fill="FFFFFF"/>
          <w:lang w:eastAsia="zh-CN"/>
        </w:rPr>
        <w:t>单位</w:t>
      </w:r>
      <w:r>
        <w:rPr>
          <w:rStyle w:val="13"/>
          <w:rFonts w:hint="default" w:ascii="Times New Roman" w:hAnsi="Times New Roman" w:eastAsia="方正黑体_GBK" w:cs="Times New Roman"/>
          <w:color w:val="auto"/>
          <w:sz w:val="32"/>
          <w:szCs w:val="32"/>
          <w:highlight w:val="none"/>
          <w:shd w:val="clear" w:color="auto" w:fill="FFFFFF"/>
        </w:rPr>
        <w:t>决算</w:t>
      </w:r>
      <w:r>
        <w:rPr>
          <w:rStyle w:val="13"/>
          <w:rFonts w:hint="default" w:ascii="Times New Roman" w:hAnsi="Times New Roman" w:eastAsia="方正黑体_GBK" w:cs="Times New Roman"/>
          <w:color w:val="auto"/>
          <w:sz w:val="32"/>
          <w:szCs w:val="32"/>
          <w:highlight w:val="none"/>
          <w:shd w:val="clear" w:color="auto" w:fill="FFFFFF"/>
          <w:lang w:eastAsia="zh-CN"/>
        </w:rPr>
        <w:t>收支</w:t>
      </w:r>
      <w:r>
        <w:rPr>
          <w:rStyle w:val="13"/>
          <w:rFonts w:hint="default" w:ascii="Times New Roman" w:hAnsi="Times New Roman" w:eastAsia="方正黑体_GBK" w:cs="Times New Roman"/>
          <w:color w:val="auto"/>
          <w:sz w:val="32"/>
          <w:szCs w:val="32"/>
          <w:highlight w:val="none"/>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32596.69万元。收、支与2023年度相比，增加2751.12万元，增长9.2%，主要原因是</w:t>
      </w:r>
      <w:r>
        <w:rPr>
          <w:rFonts w:hint="default" w:ascii="Times New Roman" w:hAnsi="Times New Roman" w:eastAsia="方正仿宋_GBK" w:cs="Times New Roman"/>
          <w:color w:val="auto"/>
          <w:sz w:val="32"/>
          <w:szCs w:val="32"/>
          <w:highlight w:val="none"/>
          <w:shd w:val="clear" w:color="auto" w:fill="FFFFFF"/>
          <w:lang w:eastAsia="zh-CN"/>
        </w:rPr>
        <w:t>二期工程建设支出</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3"/>
          <w:rFonts w:hint="default" w:ascii="Times New Roman" w:hAnsi="Times New Roman" w:eastAsia="方正仿宋_GBK" w:cs="Times New Roman"/>
          <w:b w:val="0"/>
          <w:bCs/>
          <w:color w:val="auto"/>
          <w:sz w:val="32"/>
          <w:szCs w:val="32"/>
          <w:highlight w:val="none"/>
          <w:shd w:val="clear" w:color="auto" w:fill="FFFFFF"/>
          <w:lang w:val="en-US" w:eastAsia="zh-CN"/>
        </w:rPr>
        <w:t>1</w:t>
      </w:r>
      <w:r>
        <w:rPr>
          <w:rStyle w:val="13"/>
          <w:rFonts w:hint="default" w:ascii="Times New Roman" w:hAnsi="Times New Roman" w:eastAsia="方正仿宋_GBK" w:cs="Times New Roman"/>
          <w:b w:val="0"/>
          <w:bCs/>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2024年度收入合计32596.69万元，与2023年度相比，增加2751.12万元，增长9.2%，主要原因是</w:t>
      </w:r>
      <w:r>
        <w:rPr>
          <w:rFonts w:hint="default" w:ascii="Times New Roman" w:hAnsi="Times New Roman" w:eastAsia="方正仿宋_GBK" w:cs="Times New Roman"/>
          <w:color w:val="auto"/>
          <w:sz w:val="32"/>
          <w:szCs w:val="32"/>
          <w:highlight w:val="none"/>
          <w:shd w:val="clear" w:color="auto" w:fill="FFFFFF"/>
          <w:lang w:eastAsia="zh-CN"/>
        </w:rPr>
        <w:t>医疗业务增长</w:t>
      </w:r>
      <w:r>
        <w:rPr>
          <w:rFonts w:hint="default" w:ascii="Times New Roman" w:hAnsi="Times New Roman" w:eastAsia="方正仿宋_GBK" w:cs="Times New Roman"/>
          <w:color w:val="auto"/>
          <w:sz w:val="32"/>
          <w:szCs w:val="32"/>
          <w:highlight w:val="none"/>
          <w:shd w:val="clear" w:color="auto" w:fill="FFFFFF"/>
        </w:rPr>
        <w:t>。其中：财政拨款收入1592.82万元，占4.9%；事业收入30863.33万元，占94.7%；经营收入0.00万元，占0.0%；其他收入140.54万元，占0.4%。此外，使用非财政拨款结余（含专用结余）0.00万元，年初结转和结余0.00万元。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3"/>
          <w:rFonts w:hint="default" w:ascii="Times New Roman" w:hAnsi="Times New Roman" w:eastAsia="方正仿宋_GBK" w:cs="Times New Roman"/>
          <w:b w:val="0"/>
          <w:bCs/>
          <w:color w:val="auto"/>
          <w:sz w:val="32"/>
          <w:szCs w:val="32"/>
          <w:highlight w:val="none"/>
          <w:shd w:val="clear" w:color="auto" w:fill="FFFFFF"/>
          <w:lang w:val="en-US" w:eastAsia="zh-CN"/>
        </w:rPr>
        <w:t>2</w:t>
      </w:r>
      <w:r>
        <w:rPr>
          <w:rStyle w:val="13"/>
          <w:rFonts w:hint="default" w:ascii="Times New Roman" w:hAnsi="Times New Roman" w:eastAsia="方正仿宋_GBK" w:cs="Times New Roman"/>
          <w:b w:val="0"/>
          <w:bCs/>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2024年度支出合计32596.69万元，与2023年度相比，增加2751.12万元，增长9.2%，主要原因是</w:t>
      </w:r>
      <w:r>
        <w:rPr>
          <w:rFonts w:hint="default" w:ascii="Times New Roman" w:hAnsi="Times New Roman" w:eastAsia="方正仿宋_GBK" w:cs="Times New Roman"/>
          <w:color w:val="auto"/>
          <w:sz w:val="32"/>
          <w:szCs w:val="32"/>
          <w:highlight w:val="none"/>
          <w:shd w:val="clear" w:color="auto" w:fill="FFFFFF"/>
          <w:lang w:eastAsia="zh-CN"/>
        </w:rPr>
        <w:t>二期工程建设支出</w:t>
      </w:r>
      <w:r>
        <w:rPr>
          <w:rFonts w:hint="default" w:ascii="Times New Roman" w:hAnsi="Times New Roman" w:eastAsia="方正仿宋_GBK" w:cs="Times New Roman"/>
          <w:color w:val="auto"/>
          <w:sz w:val="32"/>
          <w:szCs w:val="32"/>
          <w:highlight w:val="none"/>
          <w:shd w:val="clear" w:color="auto" w:fill="FFFFFF"/>
        </w:rPr>
        <w:t>。其中：基本支出27361.37万元，占83.9%；项目支出5235.31万元，占16.1%；经营支出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3"/>
          <w:rFonts w:hint="default" w:ascii="Times New Roman" w:hAnsi="Times New Roman" w:eastAsia="方正仿宋_GBK" w:cs="Times New Roman"/>
          <w:b w:val="0"/>
          <w:bCs/>
          <w:color w:val="auto"/>
          <w:sz w:val="32"/>
          <w:szCs w:val="32"/>
          <w:highlight w:val="none"/>
          <w:shd w:val="clear" w:color="auto" w:fill="FFFFFF"/>
          <w:lang w:val="en-US" w:eastAsia="zh-CN"/>
        </w:rPr>
        <w:t>3</w:t>
      </w:r>
      <w:r>
        <w:rPr>
          <w:rStyle w:val="13"/>
          <w:rFonts w:hint="default" w:ascii="Times New Roman" w:hAnsi="Times New Roman" w:eastAsia="方正仿宋_GBK" w:cs="Times New Roman"/>
          <w:b w:val="0"/>
          <w:bCs/>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2024年度财政拨款收、支总计均为1592.82万元。与2023年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相比，财政拨款收、支总计各减少167.16万元，下降9.5%。主要原因是</w:t>
      </w:r>
      <w:r>
        <w:rPr>
          <w:rFonts w:hint="default" w:ascii="Times New Roman" w:hAnsi="Times New Roman" w:eastAsia="方正仿宋_GBK" w:cs="Times New Roman"/>
          <w:color w:val="auto"/>
          <w:sz w:val="32"/>
          <w:szCs w:val="32"/>
          <w:highlight w:val="none"/>
          <w:shd w:val="clear" w:color="auto" w:fill="FFFFFF"/>
          <w:lang w:eastAsia="zh-CN"/>
        </w:rPr>
        <w:t>减少一次性增核绩效</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3"/>
          <w:rFonts w:hint="default" w:ascii="Times New Roman" w:hAnsi="Times New Roman" w:eastAsia="方正仿宋_GBK" w:cs="Times New Roman"/>
          <w:b w:val="0"/>
          <w:bCs/>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2024年度一般公共预算财政拨款收入1592.82万元，与2023年度相比，减少167.16万元，下降9.5%。主要原因是</w:t>
      </w:r>
      <w:r>
        <w:rPr>
          <w:rFonts w:hint="default" w:ascii="Times New Roman" w:hAnsi="Times New Roman" w:eastAsia="方正仿宋_GBK" w:cs="Times New Roman"/>
          <w:color w:val="auto"/>
          <w:sz w:val="32"/>
          <w:szCs w:val="32"/>
          <w:highlight w:val="none"/>
          <w:shd w:val="clear" w:color="auto" w:fill="FFFFFF"/>
          <w:lang w:eastAsia="zh-CN"/>
        </w:rPr>
        <w:t>减少一次性增核绩效</w:t>
      </w:r>
      <w:r>
        <w:rPr>
          <w:rFonts w:hint="default" w:ascii="Times New Roman" w:hAnsi="Times New Roman" w:eastAsia="方正仿宋_GBK" w:cs="Times New Roman"/>
          <w:color w:val="auto"/>
          <w:kern w:val="0"/>
          <w:sz w:val="32"/>
          <w:szCs w:val="32"/>
          <w:highlight w:val="none"/>
        </w:rPr>
        <w:t>72.5万</w:t>
      </w:r>
      <w:r>
        <w:rPr>
          <w:rFonts w:hint="default" w:ascii="Times New Roman" w:hAnsi="Times New Roman" w:eastAsia="方正仿宋_GBK" w:cs="Times New Roman"/>
          <w:color w:val="auto"/>
          <w:kern w:val="0"/>
          <w:sz w:val="32"/>
          <w:szCs w:val="32"/>
          <w:highlight w:val="none"/>
          <w:lang w:eastAsia="zh-CN"/>
        </w:rPr>
        <w:t>和减少</w:t>
      </w:r>
      <w:r>
        <w:rPr>
          <w:rFonts w:hint="default" w:ascii="Times New Roman" w:hAnsi="Times New Roman" w:eastAsia="方正仿宋_GBK" w:cs="Times New Roman"/>
          <w:color w:val="auto"/>
          <w:kern w:val="0"/>
          <w:sz w:val="32"/>
          <w:szCs w:val="32"/>
          <w:highlight w:val="none"/>
        </w:rPr>
        <w:t>公立医院综合改革中央补助70万元</w:t>
      </w:r>
      <w:r>
        <w:rPr>
          <w:rFonts w:hint="default" w:ascii="Times New Roman" w:hAnsi="Times New Roman" w:eastAsia="方正仿宋_GBK" w:cs="Times New Roman"/>
          <w:color w:val="auto"/>
          <w:sz w:val="32"/>
          <w:szCs w:val="32"/>
          <w:highlight w:val="none"/>
          <w:shd w:val="clear" w:color="auto" w:fill="FFFFFF"/>
        </w:rPr>
        <w:t>。较年初预算数增加194.27万元，增长13.9%。主要原因是</w:t>
      </w:r>
      <w:r>
        <w:rPr>
          <w:rFonts w:hint="default" w:ascii="Times New Roman" w:hAnsi="Times New Roman" w:eastAsia="方正仿宋_GBK" w:cs="Times New Roman"/>
          <w:color w:val="auto"/>
          <w:sz w:val="32"/>
          <w:szCs w:val="32"/>
          <w:highlight w:val="none"/>
          <w:shd w:val="clear" w:color="auto" w:fill="FFFFFF"/>
          <w:lang w:eastAsia="zh-CN"/>
        </w:rPr>
        <w:t>养老保险和职业年金缴费基数增加</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3"/>
          <w:rFonts w:hint="default" w:ascii="Times New Roman" w:hAnsi="Times New Roman" w:eastAsia="方正仿宋_GBK" w:cs="Times New Roman"/>
          <w:b w:val="0"/>
          <w:bCs/>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2024年度一般公共预算财政拨款支出1592.82万元，与2023年度相比，减少167.16万元，下降9.5%。主要原因是</w:t>
      </w:r>
      <w:r>
        <w:rPr>
          <w:rFonts w:hint="default" w:ascii="Times New Roman" w:hAnsi="Times New Roman" w:eastAsia="方正仿宋_GBK" w:cs="Times New Roman"/>
          <w:color w:val="auto"/>
          <w:sz w:val="32"/>
          <w:szCs w:val="32"/>
          <w:highlight w:val="none"/>
          <w:shd w:val="clear" w:color="auto" w:fill="FFFFFF"/>
          <w:lang w:eastAsia="zh-CN"/>
        </w:rPr>
        <w:t>减少一次性增核绩效</w:t>
      </w:r>
      <w:r>
        <w:rPr>
          <w:rFonts w:hint="default" w:ascii="Times New Roman" w:hAnsi="Times New Roman" w:eastAsia="方正仿宋_GBK" w:cs="Times New Roman"/>
          <w:color w:val="auto"/>
          <w:kern w:val="0"/>
          <w:sz w:val="32"/>
          <w:szCs w:val="32"/>
          <w:highlight w:val="none"/>
        </w:rPr>
        <w:t>72.5万</w:t>
      </w:r>
      <w:r>
        <w:rPr>
          <w:rFonts w:hint="default" w:ascii="Times New Roman" w:hAnsi="Times New Roman" w:eastAsia="方正仿宋_GBK" w:cs="Times New Roman"/>
          <w:color w:val="auto"/>
          <w:kern w:val="0"/>
          <w:sz w:val="32"/>
          <w:szCs w:val="32"/>
          <w:highlight w:val="none"/>
          <w:lang w:eastAsia="zh-CN"/>
        </w:rPr>
        <w:t>和减少</w:t>
      </w:r>
      <w:r>
        <w:rPr>
          <w:rFonts w:hint="default" w:ascii="Times New Roman" w:hAnsi="Times New Roman" w:eastAsia="方正仿宋_GBK" w:cs="Times New Roman"/>
          <w:color w:val="auto"/>
          <w:kern w:val="0"/>
          <w:sz w:val="32"/>
          <w:szCs w:val="32"/>
          <w:highlight w:val="none"/>
        </w:rPr>
        <w:t>公立医院综合改革中央补助70万元</w:t>
      </w:r>
      <w:r>
        <w:rPr>
          <w:rFonts w:hint="default" w:ascii="Times New Roman" w:hAnsi="Times New Roman" w:eastAsia="方正仿宋_GBK" w:cs="Times New Roman"/>
          <w:color w:val="auto"/>
          <w:sz w:val="32"/>
          <w:szCs w:val="32"/>
          <w:highlight w:val="none"/>
          <w:shd w:val="clear" w:color="auto" w:fill="FFFFFF"/>
        </w:rPr>
        <w:t>。较年初预算数增加194.27万元，增长13.9%。主要原因是</w:t>
      </w:r>
      <w:r>
        <w:rPr>
          <w:rFonts w:hint="default" w:ascii="Times New Roman" w:hAnsi="Times New Roman" w:eastAsia="方正仿宋_GBK" w:cs="Times New Roman"/>
          <w:color w:val="auto"/>
          <w:sz w:val="32"/>
          <w:szCs w:val="32"/>
          <w:highlight w:val="none"/>
          <w:shd w:val="clear" w:color="auto" w:fill="FFFFFF"/>
          <w:lang w:eastAsia="zh-CN"/>
        </w:rPr>
        <w:t>养老保险和职业年金缴费基数增加</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就业支出594.99万元，占37.4%，较年初预算数增加136.12万元，增长29.7%，主要原因是</w:t>
      </w:r>
      <w:r>
        <w:rPr>
          <w:rFonts w:hint="default" w:ascii="Times New Roman" w:hAnsi="Times New Roman" w:eastAsia="方正仿宋_GBK" w:cs="Times New Roman"/>
          <w:color w:val="auto"/>
          <w:sz w:val="32"/>
          <w:szCs w:val="32"/>
          <w:highlight w:val="none"/>
          <w:shd w:val="clear" w:color="auto" w:fill="FFFFFF"/>
          <w:lang w:eastAsia="zh-CN"/>
        </w:rPr>
        <w:t>养老保险和职业年金缴费基数增加以及补发</w:t>
      </w:r>
      <w:r>
        <w:rPr>
          <w:rFonts w:hint="default" w:ascii="Times New Roman" w:hAnsi="Times New Roman" w:eastAsia="方正仿宋_GBK" w:cs="Times New Roman"/>
          <w:color w:val="auto"/>
          <w:sz w:val="32"/>
          <w:szCs w:val="32"/>
          <w:highlight w:val="none"/>
          <w:shd w:val="clear" w:color="auto" w:fill="FFFFFF"/>
          <w:lang w:val="en-US" w:eastAsia="zh-CN"/>
        </w:rPr>
        <w:t>2023年</w:t>
      </w:r>
      <w:r>
        <w:rPr>
          <w:rFonts w:hint="default" w:ascii="Times New Roman" w:hAnsi="Times New Roman" w:eastAsia="方正仿宋_GBK" w:cs="Times New Roman"/>
          <w:color w:val="auto"/>
          <w:sz w:val="32"/>
          <w:szCs w:val="32"/>
          <w:highlight w:val="none"/>
          <w:shd w:val="clear" w:color="auto" w:fill="FFFFFF"/>
          <w:lang w:eastAsia="zh-CN"/>
        </w:rPr>
        <w:t>退休人员健康休养费</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）卫生健康支出997.82万元，占62.7%，较年初预算数增加58.15万元，增长6.2%，主要原因是</w:t>
      </w:r>
      <w:r>
        <w:rPr>
          <w:rFonts w:hint="default" w:ascii="Times New Roman" w:hAnsi="Times New Roman" w:eastAsia="方正仿宋_GBK" w:cs="Times New Roman"/>
          <w:color w:val="auto"/>
          <w:sz w:val="32"/>
          <w:szCs w:val="32"/>
          <w:highlight w:val="none"/>
          <w:shd w:val="clear" w:color="auto" w:fill="FFFFFF"/>
          <w:lang w:eastAsia="zh-CN"/>
        </w:rPr>
        <w:t>增加基本公共卫生支出</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3"/>
          <w:rFonts w:hint="default" w:ascii="Times New Roman" w:hAnsi="Times New Roman" w:eastAsia="方正仿宋_GBK" w:cs="Times New Roman"/>
          <w:b w:val="0"/>
          <w:bCs/>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2024年度一般公共财政拨款基本支出1383.19万元。其中：人员经费1383.19万元，与2023年度相比，增加217.07万元，增长18.6%，主要原因是</w:t>
      </w:r>
      <w:r>
        <w:rPr>
          <w:rFonts w:hint="default" w:ascii="Times New Roman" w:hAnsi="Times New Roman" w:eastAsia="方正仿宋_GBK" w:cs="Times New Roman"/>
          <w:color w:val="auto"/>
          <w:sz w:val="32"/>
          <w:szCs w:val="32"/>
          <w:highlight w:val="none"/>
          <w:shd w:val="clear" w:color="auto" w:fill="FFFFFF"/>
          <w:lang w:eastAsia="zh-CN"/>
        </w:rPr>
        <w:t>养老保险和职业年金缴费基数增加以及补发</w:t>
      </w:r>
      <w:r>
        <w:rPr>
          <w:rFonts w:hint="default" w:ascii="Times New Roman" w:hAnsi="Times New Roman" w:eastAsia="方正仿宋_GBK" w:cs="Times New Roman"/>
          <w:color w:val="auto"/>
          <w:sz w:val="32"/>
          <w:szCs w:val="32"/>
          <w:highlight w:val="none"/>
          <w:shd w:val="clear" w:color="auto" w:fill="FFFFFF"/>
          <w:lang w:val="en-US" w:eastAsia="zh-CN"/>
        </w:rPr>
        <w:t>2023年</w:t>
      </w:r>
      <w:r>
        <w:rPr>
          <w:rFonts w:hint="default" w:ascii="Times New Roman" w:hAnsi="Times New Roman" w:eastAsia="方正仿宋_GBK" w:cs="Times New Roman"/>
          <w:color w:val="auto"/>
          <w:sz w:val="32"/>
          <w:szCs w:val="32"/>
          <w:highlight w:val="none"/>
          <w:shd w:val="clear" w:color="auto" w:fill="FFFFFF"/>
          <w:lang w:eastAsia="zh-CN"/>
        </w:rPr>
        <w:t>退休人员健康休养费</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kern w:val="0"/>
          <w:sz w:val="32"/>
          <w:szCs w:val="32"/>
          <w:highlight w:val="none"/>
        </w:rPr>
        <w:t>在编职工以及退休职工人员经费补助</w:t>
      </w:r>
      <w:r>
        <w:rPr>
          <w:rFonts w:hint="default" w:ascii="Times New Roman" w:hAnsi="Times New Roman" w:eastAsia="方正仿宋_GBK" w:cs="Times New Roman"/>
          <w:color w:val="auto"/>
          <w:sz w:val="32"/>
          <w:szCs w:val="32"/>
          <w:highlight w:val="none"/>
          <w:shd w:val="clear" w:color="auto" w:fill="FFFFFF"/>
        </w:rPr>
        <w:t>。公用经费0.00万元，与2023年度相比，无增减。</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本单位2024年度无政府性基金预算财政拨款收支</w:t>
      </w:r>
      <w:r>
        <w:rPr>
          <w:rFonts w:hint="default" w:ascii="Times New Roman" w:hAnsi="Times New Roman" w:eastAsia="方正仿宋_GBK" w:cs="Times New Roman"/>
          <w:color w:val="auto"/>
          <w:sz w:val="32"/>
          <w:szCs w:val="32"/>
          <w:highlight w:val="none"/>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本单位2024年度无国有资本经营预算财政拨款支出。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方正黑体_GBK" w:cs="Times New Roman"/>
          <w:color w:val="auto"/>
          <w:sz w:val="32"/>
          <w:szCs w:val="32"/>
          <w:highlight w:val="none"/>
          <w:shd w:val="clear" w:color="auto" w:fill="FFFFFF"/>
        </w:rPr>
      </w:pPr>
      <w:r>
        <w:rPr>
          <w:rStyle w:val="13"/>
          <w:rFonts w:hint="default" w:ascii="Times New Roman" w:hAnsi="Times New Roman" w:eastAsia="方正黑体_GBK" w:cs="Times New Roman"/>
          <w:color w:val="auto"/>
          <w:sz w:val="32"/>
          <w:szCs w:val="32"/>
          <w:highlight w:val="none"/>
          <w:shd w:val="clear" w:color="auto" w:fill="FFFFFF"/>
        </w:rPr>
        <w:t>三、</w:t>
      </w:r>
      <w:r>
        <w:rPr>
          <w:rStyle w:val="13"/>
          <w:rFonts w:hint="default" w:ascii="Times New Roman" w:hAnsi="Times New Roman" w:eastAsia="方正黑体_GBK" w:cs="Times New Roman"/>
          <w:color w:val="auto"/>
          <w:sz w:val="32"/>
          <w:szCs w:val="32"/>
          <w:highlight w:val="none"/>
          <w:shd w:val="clear" w:color="auto" w:fill="FFFFFF"/>
          <w:lang w:eastAsia="zh-CN"/>
        </w:rPr>
        <w:t>财政拨款</w:t>
      </w:r>
      <w:r>
        <w:rPr>
          <w:rStyle w:val="13"/>
          <w:rFonts w:hint="default" w:ascii="Times New Roman" w:hAnsi="Times New Roman" w:eastAsia="方正黑体_GBK" w:cs="Times New Roman"/>
          <w:color w:val="auto"/>
          <w:sz w:val="32"/>
          <w:szCs w:val="32"/>
          <w:highlight w:val="none"/>
          <w:shd w:val="clear" w:color="auto" w:fill="FFFFFF"/>
        </w:rPr>
        <w:t>“三公”经费情况说明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我单位属于差额拨款单位，未使用财政资金保障“三公”经费。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方正黑体_GBK" w:cs="Times New Roman"/>
          <w:color w:val="auto"/>
          <w:sz w:val="32"/>
          <w:szCs w:val="32"/>
          <w:highlight w:val="none"/>
          <w:shd w:val="clear" w:color="auto" w:fill="FFFFFF"/>
        </w:rPr>
      </w:pPr>
      <w:r>
        <w:rPr>
          <w:rStyle w:val="13"/>
          <w:rFonts w:hint="default" w:ascii="Times New Roman" w:hAnsi="Times New Roman" w:eastAsia="方正黑体_GBK" w:cs="Times New Roman"/>
          <w:color w:val="auto"/>
          <w:sz w:val="32"/>
          <w:szCs w:val="32"/>
          <w:highlight w:val="none"/>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本年度会议费支出0.00万元，与2023年度相比，无增减。本年度培训费支出95.27万元，与2023年度相比，减少28.75万元，下降23.2%，主要原因是</w:t>
      </w:r>
      <w:r>
        <w:rPr>
          <w:rFonts w:hint="default" w:ascii="Times New Roman" w:hAnsi="Times New Roman" w:eastAsia="方正仿宋_GBK" w:cs="Times New Roman"/>
          <w:color w:val="auto"/>
          <w:sz w:val="32"/>
          <w:szCs w:val="32"/>
          <w:highlight w:val="none"/>
          <w:shd w:val="clear" w:color="auto" w:fill="FFFFFF"/>
          <w:lang w:eastAsia="zh-CN"/>
        </w:rPr>
        <w:t>受助理医师规培人员培训费影响</w:t>
      </w:r>
      <w:r>
        <w:rPr>
          <w:rFonts w:hint="default" w:ascii="Times New Roman" w:hAnsi="Times New Roman" w:eastAsia="方正仿宋_GBK" w:cs="Times New Roman"/>
          <w:color w:val="auto"/>
          <w:sz w:val="32"/>
          <w:szCs w:val="32"/>
          <w:highlight w:val="none"/>
          <w:shd w:val="clear" w:color="auto" w:fill="FFFFFF"/>
        </w:rPr>
        <w:t>。本年度差旅费支出0.00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与2023年度相比，减少2.00万元，下降100.0%，主要原因是</w:t>
      </w:r>
      <w:r>
        <w:rPr>
          <w:rFonts w:hint="default" w:ascii="Times New Roman" w:hAnsi="Times New Roman" w:eastAsia="方正仿宋_GBK" w:cs="Times New Roman"/>
          <w:color w:val="auto"/>
          <w:sz w:val="32"/>
          <w:szCs w:val="32"/>
          <w:highlight w:val="none"/>
          <w:shd w:val="clear" w:color="auto" w:fill="FFFFFF"/>
          <w:lang w:eastAsia="zh-CN"/>
        </w:rPr>
        <w:t>本年度我单位无差旅费财政资金</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FF0000"/>
          <w:spacing w:val="0"/>
          <w:sz w:val="32"/>
          <w:szCs w:val="32"/>
          <w:highlight w:val="none"/>
          <w:u w:val="none" w:color="auto"/>
        </w:rPr>
      </w:pPr>
      <w:r>
        <w:rPr>
          <w:rFonts w:hint="default" w:ascii="方正仿宋_GBK" w:hAnsi="方正仿宋_GBK" w:eastAsia="方正仿宋_GBK" w:cs="方正仿宋_GBK"/>
          <w:b w:val="0"/>
          <w:bCs w:val="0"/>
          <w:spacing w:val="0"/>
          <w:sz w:val="32"/>
          <w:szCs w:val="32"/>
          <w:highlight w:val="none"/>
          <w:u w:val="none" w:color="auto"/>
          <w:shd w:val="clear" w:color="auto" w:fill="FFFFFF"/>
        </w:rPr>
        <w:t>按照部门决算列报口径，我单位不在机关运行经费统计范围之内。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bookmarkStart w:id="0" w:name="_GoBack"/>
      <w:bookmarkEnd w:id="0"/>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共有车辆8辆，其中，副部（省）级及以上领导用车0辆、主要负责人用车0辆、机要通信用车0辆、应急保障用车0辆、执法执勤用车0辆，特种专业技术用车8辆，离退休干部用车0辆。单价100万元（含）以上专用设备24台（套）。</w:t>
      </w:r>
    </w:p>
    <w:p>
      <w:pPr>
        <w:pStyle w:val="14"/>
        <w:keepNext w:val="0"/>
        <w:keepLines w:val="0"/>
        <w:pageBreakBefore w:val="0"/>
        <w:widowControl/>
        <w:shd w:val="clea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政府采购支出总额1244.40万元，其中：政府采购货物支出183.12万元、政府采购工程支出95.20万元、政府采购服务支出966.08万元。授予中小企业合同金额969.90</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元，占政府采购支出总额的77.9%，其中：授予小微企业合同金额969.90万元，占政府采购支出总额的77.9 %。主要用于采购</w:t>
      </w:r>
      <w:r>
        <w:rPr>
          <w:rFonts w:hint="default" w:ascii="Times New Roman" w:hAnsi="Times New Roman" w:eastAsia="方正仿宋_GBK" w:cs="Times New Roman"/>
          <w:color w:val="auto"/>
          <w:sz w:val="32"/>
          <w:szCs w:val="32"/>
          <w:highlight w:val="none"/>
          <w:shd w:val="clear" w:color="auto" w:fill="FFFFFF"/>
          <w:lang w:eastAsia="zh-CN"/>
        </w:rPr>
        <w:t>医疗设备维保服务以及医疗综合数据平台等</w:t>
      </w:r>
      <w:r>
        <w:rPr>
          <w:rFonts w:hint="default" w:ascii="Times New Roman" w:hAnsi="Times New Roman" w:eastAsia="方正仿宋_GBK" w:cs="Times New Roman"/>
          <w:color w:val="auto"/>
          <w:sz w:val="32"/>
          <w:szCs w:val="32"/>
          <w:highlight w:val="none"/>
          <w:shd w:val="clear" w:color="auto" w:fill="FFFFFF"/>
        </w:rPr>
        <w:t>。</w:t>
      </w:r>
    </w:p>
    <w:p>
      <w:pPr>
        <w:pStyle w:val="15"/>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Times New Roman" w:hAnsi="Times New Roman" w:eastAsia="方正黑体_GBK" w:cs="Times New Roman"/>
          <w:color w:val="auto"/>
          <w:sz w:val="32"/>
          <w:szCs w:val="32"/>
          <w:highlight w:val="none"/>
          <w:shd w:val="clear" w:color="auto" w:fill="FFFFFF"/>
          <w:lang w:val="en-US" w:eastAsia="zh-CN" w:bidi="ar-SA"/>
        </w:rPr>
      </w:pPr>
      <w:r>
        <w:rPr>
          <w:rStyle w:val="13"/>
          <w:rFonts w:hint="default" w:ascii="Times New Roman" w:hAnsi="Times New Roman" w:eastAsia="方正黑体_GBK" w:cs="Times New Roman"/>
          <w:color w:val="auto"/>
          <w:sz w:val="32"/>
          <w:szCs w:val="32"/>
          <w:highlight w:val="none"/>
          <w:shd w:val="clear" w:color="auto" w:fill="FFFFFF"/>
          <w:lang w:val="en-US" w:eastAsia="zh-CN" w:bidi="ar-SA"/>
        </w:rPr>
        <w:t>五、2024年度预算绩效管理情况说明</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（一）预算绩效管理工作开展情况</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根据预算绩效管理要求，我单位对部门整体和11个项目开展了绩效自评，其中，以填报绩效自评表形式开展自评11项，涉及资金691.82万元；以委托第三方出具报告的方式开展绩效评价0项，涉及资金0万元。</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（二）绩效自评结果</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rPr>
        <w:t>绩效目标自评表</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6"/>
          <w:szCs w:val="36"/>
          <w:highlight w:val="none"/>
        </w:rPr>
      </w:pPr>
      <w:r>
        <w:rPr>
          <w:rFonts w:hint="default" w:ascii="Times New Roman" w:hAnsi="Times New Roman" w:eastAsia="方正仿宋_GBK" w:cs="Times New Roman"/>
          <w:color w:val="auto"/>
          <w:kern w:val="0"/>
          <w:sz w:val="32"/>
          <w:szCs w:val="32"/>
          <w:highlight w:val="none"/>
        </w:rPr>
        <w:t>详见</w:t>
      </w:r>
      <w:r>
        <w:rPr>
          <w:rFonts w:hint="default" w:ascii="Times New Roman" w:hAnsi="Times New Roman" w:eastAsia="方正仿宋_GBK" w:cs="Times New Roman"/>
          <w:color w:val="auto"/>
          <w:kern w:val="0"/>
          <w:sz w:val="32"/>
          <w:szCs w:val="32"/>
          <w:highlight w:val="none"/>
          <w:lang w:eastAsia="zh-CN"/>
        </w:rPr>
        <w:t>附件</w:t>
      </w:r>
      <w:r>
        <w:rPr>
          <w:rFonts w:hint="default" w:ascii="Times New Roman" w:hAnsi="Times New Roman" w:eastAsia="方正仿宋_GBK" w:cs="Times New Roman"/>
          <w:color w:val="auto"/>
          <w:kern w:val="0"/>
          <w:sz w:val="32"/>
          <w:szCs w:val="32"/>
          <w:highlight w:val="none"/>
        </w:rPr>
        <w:t>。</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rPr>
        <w:t>绩效自评报告或案例</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无。</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bidi="ar-SA"/>
        </w:rPr>
        <w:t>3.</w:t>
      </w:r>
      <w:r>
        <w:rPr>
          <w:rFonts w:hint="default" w:ascii="Times New Roman" w:hAnsi="Times New Roman" w:eastAsia="方正仿宋_GBK" w:cs="Times New Roman"/>
          <w:color w:val="auto"/>
          <w:kern w:val="0"/>
          <w:sz w:val="32"/>
          <w:szCs w:val="32"/>
          <w:highlight w:val="none"/>
        </w:rPr>
        <w:t>关于绩效自评结果的说明</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eastAsia="zh-CN"/>
        </w:rPr>
        <w:t>本年度医院设备采购、基本公共卫生等各项工作顺利完成，达成了年初工作目标，自评绩效目标完成度良好。</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（三）重点绩效评价结果</w:t>
      </w:r>
    </w:p>
    <w:p>
      <w:pPr>
        <w:pStyle w:val="19"/>
        <w:keepNext w:val="0"/>
        <w:keepLines w:val="0"/>
        <w:pageBreakBefore w:val="0"/>
        <w:widowControl/>
        <w:shd w:val="clear"/>
        <w:tabs>
          <w:tab w:val="center" w:pos="4153"/>
          <w:tab w:val="left" w:pos="7275"/>
        </w:tabs>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无。</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_GBK" w:cs="Times New Roman"/>
          <w:color w:val="auto"/>
          <w:kern w:val="0"/>
          <w:sz w:val="32"/>
          <w:szCs w:val="32"/>
          <w:highlight w:val="none"/>
        </w:rPr>
      </w:pPr>
      <w:r>
        <w:rPr>
          <w:rStyle w:val="16"/>
          <w:rFonts w:hint="default" w:ascii="Times New Roman" w:hAnsi="Times New Roman" w:eastAsia="方正黑体_GBK" w:cs="Times New Roman"/>
          <w:b/>
          <w:bCs/>
          <w:color w:val="auto"/>
          <w:sz w:val="32"/>
          <w:szCs w:val="32"/>
          <w:highlight w:val="none"/>
          <w:shd w:val="clear" w:fill="FFFFFF"/>
        </w:rPr>
        <w:t xml:space="preserve"> </w:t>
      </w:r>
      <w:r>
        <w:rPr>
          <w:rStyle w:val="16"/>
          <w:rFonts w:hint="default" w:ascii="Times New Roman" w:hAnsi="Times New Roman" w:eastAsia="方正黑体_GBK" w:cs="Times New Roman"/>
          <w:b/>
          <w:bCs/>
          <w:color w:val="auto"/>
          <w:sz w:val="32"/>
          <w:szCs w:val="32"/>
          <w:highlight w:val="none"/>
          <w:shd w:val="clear" w:fill="FFFFFF"/>
          <w:lang w:val="en-US" w:eastAsia="zh-CN"/>
        </w:rPr>
        <w:t xml:space="preserve">  </w:t>
      </w:r>
      <w:r>
        <w:rPr>
          <w:rStyle w:val="13"/>
          <w:rFonts w:hint="default" w:ascii="Times New Roman" w:hAnsi="Times New Roman" w:eastAsia="方正黑体_GBK" w:cs="Times New Roman"/>
          <w:color w:val="auto"/>
          <w:sz w:val="32"/>
          <w:szCs w:val="32"/>
          <w:highlight w:val="none"/>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Style w:val="13"/>
          <w:rFonts w:hint="default" w:ascii="Times New Roman" w:hAnsi="Times New Roman" w:eastAsia="方正楷体_GBK" w:cs="Times New Roman"/>
          <w:b w:val="0"/>
          <w:bCs/>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color w:val="auto"/>
          <w:kern w:val="0"/>
          <w:sz w:val="32"/>
          <w:szCs w:val="32"/>
          <w:highlight w:val="none"/>
        </w:rPr>
      </w:pPr>
      <w:r>
        <w:rPr>
          <w:rStyle w:val="13"/>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20"/>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firstLine="640" w:firstLineChars="200"/>
        <w:jc w:val="left"/>
        <w:textAlignment w:val="auto"/>
        <w:rPr>
          <w:rFonts w:hint="default" w:ascii="Times New Roman" w:hAnsi="Times New Roman" w:cs="Times New Roman"/>
          <w:color w:val="auto"/>
          <w:sz w:val="18"/>
          <w:szCs w:val="18"/>
          <w:highlight w:val="none"/>
        </w:rPr>
      </w:pPr>
      <w:r>
        <w:rPr>
          <w:rFonts w:hint="default" w:ascii="Times New Roman" w:hAnsi="Times New Roman" w:eastAsia="方正仿宋_GBK" w:cs="Times New Roman"/>
          <w:color w:val="auto"/>
          <w:kern w:val="2"/>
          <w:sz w:val="32"/>
          <w:szCs w:val="32"/>
          <w:highlight w:val="none"/>
        </w:rPr>
        <w:t>本单位决算公开信息反馈和联系方式：023-</w:t>
      </w:r>
      <w:r>
        <w:rPr>
          <w:rFonts w:hint="default" w:ascii="Times New Roman" w:hAnsi="Times New Roman" w:eastAsia="方正仿宋_GBK" w:cs="Times New Roman"/>
          <w:color w:val="auto"/>
          <w:kern w:val="2"/>
          <w:sz w:val="32"/>
          <w:szCs w:val="32"/>
          <w:highlight w:val="none"/>
          <w:lang w:val="en-US" w:eastAsia="zh-CN"/>
        </w:rPr>
        <w:t>48659002</w:t>
      </w:r>
    </w:p>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A11174-FA44-4C29-9C46-09FA3D2DE4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00000000" w:usb1="00000000" w:usb2="00000000" w:usb3="00000000" w:csb0="00000000" w:csb1="00000000"/>
    <w:embedRegular r:id="rId2" w:fontKey="{41A194AF-8815-45B3-A8CE-B11125BEA79C}"/>
  </w:font>
  <w:font w:name="方正小标宋_GBK">
    <w:panose1 w:val="03000509000000000000"/>
    <w:charset w:val="86"/>
    <w:family w:val="script"/>
    <w:pitch w:val="default"/>
    <w:sig w:usb0="00000001" w:usb1="080E0000" w:usb2="00000000" w:usb3="00000000" w:csb0="00040000" w:csb1="00000000"/>
    <w:embedRegular r:id="rId3" w:fontKey="{CD27D39B-38D7-4CE4-B967-28785361189F}"/>
  </w:font>
  <w:font w:name="方正黑体_GBK">
    <w:panose1 w:val="03000509000000000000"/>
    <w:charset w:val="86"/>
    <w:family w:val="auto"/>
    <w:pitch w:val="default"/>
    <w:sig w:usb0="00000001" w:usb1="080E0000" w:usb2="00000000" w:usb3="00000000" w:csb0="00040000" w:csb1="00000000"/>
    <w:embedRegular r:id="rId4" w:fontKey="{12944744-5008-4ECE-95F7-5914C29F0414}"/>
  </w:font>
  <w:font w:name="方正楷体_GBK">
    <w:panose1 w:val="03000509000000000000"/>
    <w:charset w:val="86"/>
    <w:family w:val="auto"/>
    <w:pitch w:val="default"/>
    <w:sig w:usb0="00000001" w:usb1="080E0000" w:usb2="00000000" w:usb3="00000000" w:csb0="00040000" w:csb1="00000000"/>
    <w:embedRegular r:id="rId5" w:fontKey="{BBC5B42B-EB65-4CBD-8096-FA532F979CAA}"/>
  </w:font>
  <w:font w:name="方正仿宋_GBK">
    <w:panose1 w:val="03000509000000000000"/>
    <w:charset w:val="86"/>
    <w:family w:val="script"/>
    <w:pitch w:val="default"/>
    <w:sig w:usb0="00000001" w:usb1="080E0000" w:usb2="00000000" w:usb3="00000000" w:csb0="00040000" w:csb1="00000000"/>
    <w:embedRegular r:id="rId6" w:fontKey="{E0816456-6D20-4C06-A614-AF0AD18FBE3C}"/>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B0331"/>
    <w:multiLevelType w:val="singleLevel"/>
    <w:tmpl w:val="6C5B03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DgyNDhiM2ZmMDI1NTgyYjEzMzE3OTM1N2IzY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B56CD9"/>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35C22"/>
    <w:rsid w:val="111445C7"/>
    <w:rsid w:val="114278C6"/>
    <w:rsid w:val="1158083A"/>
    <w:rsid w:val="11643A4B"/>
    <w:rsid w:val="11ED0F98"/>
    <w:rsid w:val="11F03528"/>
    <w:rsid w:val="12C921C4"/>
    <w:rsid w:val="13294F44"/>
    <w:rsid w:val="13871C70"/>
    <w:rsid w:val="13A71CB4"/>
    <w:rsid w:val="13AF1D43"/>
    <w:rsid w:val="13CE1647"/>
    <w:rsid w:val="13FD55AB"/>
    <w:rsid w:val="14200702"/>
    <w:rsid w:val="14370EA1"/>
    <w:rsid w:val="14A023D3"/>
    <w:rsid w:val="163A6CEE"/>
    <w:rsid w:val="173708E3"/>
    <w:rsid w:val="17C374FC"/>
    <w:rsid w:val="182E4AB6"/>
    <w:rsid w:val="189079DC"/>
    <w:rsid w:val="189B0D0B"/>
    <w:rsid w:val="18B43F7C"/>
    <w:rsid w:val="191C433B"/>
    <w:rsid w:val="194A1770"/>
    <w:rsid w:val="19B906A4"/>
    <w:rsid w:val="1B6F15B6"/>
    <w:rsid w:val="1B8B72D6"/>
    <w:rsid w:val="1BAA2EDC"/>
    <w:rsid w:val="1CA55E64"/>
    <w:rsid w:val="1CFA34AD"/>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A064AE"/>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3F1894"/>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F36A2C"/>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qFormat/>
    <w:uiPriority w:val="0"/>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3750</Words>
  <Characters>4196</Characters>
  <Lines>186</Lines>
  <Paragraphs>52</Paragraphs>
  <TotalTime>0</TotalTime>
  <ScaleCrop>false</ScaleCrop>
  <LinksUpToDate>false</LinksUpToDate>
  <CharactersWithSpaces>4201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2025-10-28T02:10:47Z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D44E518CB9AB4AD588A84649D80AB5AE_13</vt:lpwstr>
  </property>
  <property fmtid="{D5CDD505-2E9C-101B-9397-08002B2CF9AE}" pid="4" name="KSOTemplateDocerSaveRecord">
    <vt:lpwstr>eyJoZGlkIjoiOWM0YzE2ZjkyZjk3ZTFmYTk4YjFhYTg3MmRhMjkwYzUiLCJ1c2VySWQiOiI2OTIxMjMzIn0=</vt:lpwstr>
  </property>
</Properties>
</file>