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sz w:val="44"/>
          <w:szCs w:val="44"/>
          <w:shd w:val="clear" w:color="auto" w:fill="FFFFFF"/>
        </w:rPr>
      </w:pPr>
      <w:r>
        <w:rPr>
          <w:rFonts w:hint="eastAsia" w:ascii="方正小标宋_GBK" w:hAnsi="方正小标宋_GBK" w:eastAsia="方正小标宋_GBK" w:cs="方正小标宋_GBK"/>
          <w:color w:val="auto"/>
          <w:sz w:val="44"/>
          <w:szCs w:val="44"/>
        </w:rPr>
        <w:t>重庆市綦江区石壕镇中心卫生院</w:t>
      </w:r>
      <w:r>
        <w:rPr>
          <w:rFonts w:hint="eastAsia" w:ascii="方正小标宋_GBK" w:hAnsi="方正小标宋_GBK" w:eastAsia="方正小标宋_GBK" w:cs="方正小标宋_GBK"/>
          <w:color w:val="auto"/>
          <w:sz w:val="44"/>
          <w:szCs w:val="44"/>
          <w:shd w:val="clear" w:color="auto" w:fill="FFFFFF"/>
        </w:rPr>
        <w:t>202</w:t>
      </w:r>
      <w:r>
        <w:rPr>
          <w:rFonts w:hint="eastAsia" w:ascii="方正小标宋_GBK" w:hAnsi="方正小标宋_GBK" w:eastAsia="方正小标宋_GBK" w:cs="方正小标宋_GBK"/>
          <w:color w:val="auto"/>
          <w:sz w:val="44"/>
          <w:szCs w:val="44"/>
          <w:shd w:val="clear" w:color="auto" w:fill="FFFFFF"/>
          <w:lang w:val="en-US" w:eastAsia="zh-CN"/>
        </w:rPr>
        <w:t>4</w:t>
      </w:r>
      <w:r>
        <w:rPr>
          <w:rFonts w:hint="eastAsia" w:ascii="方正小标宋_GBK" w:hAnsi="方正小标宋_GBK" w:eastAsia="方正小标宋_GBK" w:cs="方正小标宋_GBK"/>
          <w:color w:val="auto"/>
          <w:sz w:val="44"/>
          <w:szCs w:val="44"/>
          <w:shd w:val="clear" w:color="auto" w:fill="FFFFFF"/>
        </w:rPr>
        <w:t>年度决算说明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eastAsia" w:ascii="方正黑体_GBK" w:hAnsi="方正黑体_GBK" w:eastAsia="方正黑体_GBK" w:cs="方正黑体_GBK"/>
          <w:b w:val="0"/>
          <w:bCs/>
          <w:color w:val="auto"/>
          <w:sz w:val="32"/>
          <w:szCs w:val="32"/>
          <w:shd w:val="clear" w:color="auto" w:fill="FFFFFF"/>
        </w:rPr>
      </w:pPr>
      <w:r>
        <w:rPr>
          <w:rStyle w:val="12"/>
          <w:rFonts w:hint="eastAsia" w:ascii="方正黑体_GBK" w:hAnsi="方正黑体_GBK" w:eastAsia="方正黑体_GBK" w:cs="方正黑体_GBK"/>
          <w:b w:val="0"/>
          <w:bCs/>
          <w:color w:val="auto"/>
          <w:sz w:val="32"/>
          <w:szCs w:val="32"/>
          <w:shd w:val="clear" w:color="auto" w:fill="FFFFFF"/>
        </w:rPr>
        <w:t>一、</w:t>
      </w:r>
      <w:r>
        <w:rPr>
          <w:rStyle w:val="12"/>
          <w:rFonts w:hint="eastAsia" w:ascii="方正黑体_GBK" w:hAnsi="方正黑体_GBK" w:eastAsia="方正黑体_GBK" w:cs="方正黑体_GBK"/>
          <w:b w:val="0"/>
          <w:bCs/>
          <w:color w:val="auto"/>
          <w:sz w:val="32"/>
          <w:szCs w:val="32"/>
          <w:shd w:val="clear" w:color="auto" w:fill="FFFFFF"/>
          <w:lang w:eastAsia="zh-CN"/>
        </w:rPr>
        <w:t>单位</w:t>
      </w:r>
      <w:r>
        <w:rPr>
          <w:rStyle w:val="12"/>
          <w:rFonts w:hint="eastAsia" w:ascii="方正黑体_GBK" w:hAnsi="方正黑体_GBK" w:eastAsia="方正黑体_GBK" w:cs="方正黑体_GBK"/>
          <w:b w:val="0"/>
          <w:bCs/>
          <w:color w:val="auto"/>
          <w:sz w:val="32"/>
          <w:szCs w:val="32"/>
          <w:shd w:val="clear" w:color="auto" w:fill="FFFFFF"/>
        </w:rPr>
        <w:t>基本情况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2"/>
          <w:rFonts w:hint="default" w:ascii="Times New Roman" w:hAnsi="Times New Roman" w:eastAsia="楷体"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fill="FFFFFF"/>
          <w:lang w:val="en-US" w:eastAsia="zh-CN"/>
        </w:rPr>
        <w:t>重庆市綦江区石壕镇中心卫生院位于重庆市綦江区最南端，与贵州习水、桐梓两县接壤，距离城区约80公里。幅员面积129平方公里，有15个行政村5个社区，辖区医疗机构有1个卫生院、21个村卫生室。人员情况：我院人员编制数为43人，在编职工41人，非在编职工27人，退休人员15人。其中卫生技术人员56人，高（副）级职称4人、中级职称10人，床位情况：医院编制床位76张，实际开放床76张。</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（一）职能职责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我院的主要职能职责如下：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1、承担本镇农村居民健康档案规范建档指导、管理及服务。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2、普及卫生保健常识，在重点人群和重点场所开展健康教育，帮助居民形成有利于维护和增进健康的行为方式，指导开展爱国卫生工作。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3、提供并组织实施本镇预防接种服务，落实国家免疫规划。</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4、开展新生儿访视及儿童保健系统管理，进行体格检查和生长发育监测及评价，开展健康指导。</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5、做好卫生行政部门规定的其他公共卫生服务。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6、使用农村适宜医疗技术和中医药技术，正确处理常见病、多发病，对疑难重症进行恰当的处理并转诊。承担乡村现场应急救护、转诊服务和康复服务。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7、能完成外科的止血、缝合、包扎、骨折固定等处置，开展阑尾、疝气等常见下腹部手术。</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8、健全消毒、隔离制度，遵守无菌操作规程，加强医疗质量管理。做好医疗废物处理和污水、污物无害化处理。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9、执行国家基本药物制度药品集中采购 、零差率销售等政策，为实施一体化管理的村卫生室统一代购药品。</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（二）机构设置</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机构情况：开设内科、外科、妇产科、中医康复理疗科、公共卫生科、检验科、放射科、医学影像等相关科室。</w:t>
      </w:r>
    </w:p>
    <w:p>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eastAsia" w:ascii="Times New Roman" w:hAnsi="Times New Roman" w:eastAsia="方正楷体_GBK" w:cs="Times New Roman"/>
          <w:b w:val="0"/>
          <w:bCs/>
          <w:color w:val="auto"/>
          <w:sz w:val="32"/>
          <w:szCs w:val="32"/>
          <w:shd w:val="clear" w:color="auto" w:fill="FFFFFF"/>
          <w:lang w:eastAsia="zh-CN"/>
        </w:rPr>
      </w:pPr>
      <w:r>
        <w:rPr>
          <w:rStyle w:val="12"/>
          <w:rFonts w:hint="eastAsia" w:ascii="Times New Roman" w:hAnsi="Times New Roman" w:eastAsia="方正楷体_GBK" w:cs="Times New Roman"/>
          <w:b w:val="0"/>
          <w:bCs/>
          <w:color w:val="auto"/>
          <w:sz w:val="32"/>
          <w:szCs w:val="32"/>
          <w:shd w:val="clear" w:color="auto" w:fill="FFFFFF"/>
          <w:lang w:eastAsia="zh-CN"/>
        </w:rPr>
        <w:t>单位构成</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auto"/>
          <w:sz w:val="32"/>
          <w:szCs w:val="32"/>
          <w:shd w:val="clear" w:fill="FFFFFF"/>
          <w:lang w:val="en-US" w:eastAsia="zh-CN" w:bidi="ar-SA"/>
        </w:rPr>
      </w:pPr>
      <w:r>
        <w:rPr>
          <w:rStyle w:val="12"/>
          <w:rFonts w:hint="eastAsia" w:ascii="Times New Roman" w:hAnsi="Times New Roman" w:eastAsia="方正楷体_GBK" w:cs="Times New Roman"/>
          <w:b w:val="0"/>
          <w:bCs/>
          <w:color w:val="auto"/>
          <w:sz w:val="32"/>
          <w:szCs w:val="32"/>
          <w:shd w:val="clear" w:color="auto" w:fill="FFFFFF"/>
          <w:lang w:val="en-US" w:eastAsia="zh-CN"/>
        </w:rPr>
        <w:t xml:space="preserve">     我单位无下级预算单位。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方正黑体_GBK" w:hAnsi="方正黑体_GBK" w:eastAsia="方正黑体_GBK" w:cs="方正黑体_GBK"/>
          <w:b w:val="0"/>
          <w:bCs/>
          <w:color w:val="auto"/>
          <w:sz w:val="32"/>
          <w:szCs w:val="32"/>
          <w:shd w:val="clear" w:color="auto" w:fill="FFFFFF"/>
        </w:rPr>
      </w:pPr>
      <w:r>
        <w:rPr>
          <w:rStyle w:val="12"/>
          <w:rFonts w:hint="default" w:ascii="方正黑体_GBK" w:hAnsi="方正黑体_GBK" w:eastAsia="方正黑体_GBK" w:cs="方正黑体_GBK"/>
          <w:b w:val="0"/>
          <w:bCs/>
          <w:color w:val="auto"/>
          <w:sz w:val="32"/>
          <w:szCs w:val="32"/>
          <w:shd w:val="clear" w:color="auto" w:fill="FFFFFF"/>
        </w:rPr>
        <w:t>二、</w:t>
      </w:r>
      <w:r>
        <w:rPr>
          <w:rStyle w:val="12"/>
          <w:rFonts w:hint="default" w:ascii="方正黑体_GBK" w:hAnsi="方正黑体_GBK" w:eastAsia="方正黑体_GBK" w:cs="方正黑体_GBK"/>
          <w:b w:val="0"/>
          <w:bCs/>
          <w:color w:val="auto"/>
          <w:sz w:val="32"/>
          <w:szCs w:val="32"/>
          <w:shd w:val="clear" w:color="auto" w:fill="FFFFFF"/>
          <w:lang w:eastAsia="zh-CN"/>
        </w:rPr>
        <w:t>单位</w:t>
      </w:r>
      <w:r>
        <w:rPr>
          <w:rStyle w:val="12"/>
          <w:rFonts w:hint="default" w:ascii="方正黑体_GBK" w:hAnsi="方正黑体_GBK" w:eastAsia="方正黑体_GBK" w:cs="方正黑体_GBK"/>
          <w:b w:val="0"/>
          <w:bCs/>
          <w:color w:val="auto"/>
          <w:sz w:val="32"/>
          <w:szCs w:val="32"/>
          <w:shd w:val="clear" w:color="auto" w:fill="FFFFFF"/>
        </w:rPr>
        <w:t>决算</w:t>
      </w:r>
      <w:r>
        <w:rPr>
          <w:rStyle w:val="12"/>
          <w:rFonts w:hint="default" w:ascii="方正黑体_GBK" w:hAnsi="方正黑体_GBK" w:eastAsia="方正黑体_GBK" w:cs="方正黑体_GBK"/>
          <w:b w:val="0"/>
          <w:bCs/>
          <w:color w:val="auto"/>
          <w:sz w:val="32"/>
          <w:szCs w:val="32"/>
          <w:shd w:val="clear" w:color="auto" w:fill="FFFFFF"/>
          <w:lang w:eastAsia="zh-CN"/>
        </w:rPr>
        <w:t>收支</w:t>
      </w:r>
      <w:r>
        <w:rPr>
          <w:rStyle w:val="12"/>
          <w:rFonts w:hint="default" w:ascii="方正黑体_GBK" w:hAnsi="方正黑体_GBK" w:eastAsia="方正黑体_GBK" w:cs="方正黑体_GBK"/>
          <w:b w:val="0"/>
          <w:bCs/>
          <w:color w:val="auto"/>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2024年度收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rPr>
        <w:t>总计</w:t>
      </w:r>
      <w:r>
        <w:rPr>
          <w:rFonts w:hint="default" w:ascii="Times New Roman" w:hAnsi="Times New Roman" w:eastAsia="方正仿宋_GBK" w:cs="Times New Roman"/>
          <w:color w:val="auto"/>
          <w:sz w:val="32"/>
          <w:szCs w:val="32"/>
          <w:shd w:val="clear" w:color="auto" w:fill="FFFFFF"/>
          <w:lang w:eastAsia="zh-CN"/>
        </w:rPr>
        <w:t>均为</w:t>
      </w:r>
      <w:r>
        <w:rPr>
          <w:rFonts w:hint="default" w:ascii="Times New Roman" w:hAnsi="Times New Roman" w:eastAsia="方正仿宋_GBK" w:cs="Times New Roman"/>
          <w:color w:val="auto"/>
          <w:sz w:val="32"/>
          <w:szCs w:val="32"/>
          <w:shd w:val="clear" w:color="auto" w:fill="FFFFFF"/>
        </w:rPr>
        <w:t>1538.78万元。收、支与2023年度相比，增加5.09万元，增长0.3%，主要原因是</w:t>
      </w:r>
      <w:r>
        <w:rPr>
          <w:rFonts w:hint="default" w:ascii="Times New Roman" w:hAnsi="Times New Roman" w:eastAsia="方正仿宋_GBK" w:cs="Times New Roman"/>
          <w:color w:val="auto"/>
          <w:sz w:val="32"/>
          <w:szCs w:val="32"/>
          <w:shd w:val="clear" w:color="auto" w:fill="FFFFFF"/>
          <w:lang w:eastAsia="zh-CN"/>
        </w:rPr>
        <w:t>人员经费增加。</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2"/>
          <w:rFonts w:hint="default" w:ascii="Times New Roman" w:hAnsi="Times New Roman" w:eastAsia="方正仿宋_GBK" w:cs="Times New Roman"/>
          <w:color w:val="auto"/>
          <w:sz w:val="32"/>
          <w:szCs w:val="32"/>
          <w:shd w:val="clear" w:color="auto" w:fill="FFFFFF"/>
          <w:lang w:val="en-US" w:eastAsia="zh-CN"/>
        </w:rPr>
        <w:t>1</w:t>
      </w:r>
      <w:r>
        <w:rPr>
          <w:rStyle w:val="12"/>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2024年度收入合计1538.78万元，与2023年度相比，增加5.09万元，增长0.3%，主要原因是</w:t>
      </w:r>
      <w:r>
        <w:rPr>
          <w:rFonts w:hint="default" w:ascii="Times New Roman" w:hAnsi="Times New Roman" w:eastAsia="方正仿宋_GBK" w:cs="Times New Roman"/>
          <w:color w:val="auto"/>
          <w:sz w:val="32"/>
          <w:szCs w:val="32"/>
          <w:shd w:val="clear" w:color="auto" w:fill="FFFFFF"/>
          <w:lang w:eastAsia="zh-CN"/>
        </w:rPr>
        <w:t>人员经费增加。</w:t>
      </w:r>
      <w:r>
        <w:rPr>
          <w:rFonts w:hint="default" w:ascii="Times New Roman" w:hAnsi="Times New Roman" w:eastAsia="方正仿宋_GBK" w:cs="Times New Roman"/>
          <w:color w:val="auto"/>
          <w:sz w:val="32"/>
          <w:szCs w:val="32"/>
          <w:shd w:val="clear" w:color="auto" w:fill="FFFFFF"/>
        </w:rPr>
        <w:t>其中：财政拨款收入648.58万元，占42.2%；事业收入890.19万元，占57.9%；经营收入</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万元，占0.0%；其他收入</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万元，占0.0%。此外，使用非财政拨款结余（含专用结余）</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万元，年初结转和结余</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2"/>
          <w:rFonts w:hint="default" w:ascii="Times New Roman" w:hAnsi="Times New Roman" w:eastAsia="方正仿宋_GBK" w:cs="Times New Roman"/>
          <w:color w:val="auto"/>
          <w:sz w:val="32"/>
          <w:szCs w:val="32"/>
          <w:shd w:val="clear" w:color="auto" w:fill="FFFFFF"/>
          <w:lang w:val="en-US" w:eastAsia="zh-CN"/>
        </w:rPr>
        <w:t>2</w:t>
      </w:r>
      <w:r>
        <w:rPr>
          <w:rStyle w:val="12"/>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2024年度支出合计1538.78万元，与2023年度相比，增加5.09万元，增长0.3%，主要原因是</w:t>
      </w:r>
      <w:r>
        <w:rPr>
          <w:rFonts w:hint="default" w:ascii="Times New Roman" w:hAnsi="Times New Roman" w:eastAsia="方正仿宋_GBK" w:cs="Times New Roman"/>
          <w:color w:val="auto"/>
          <w:sz w:val="32"/>
          <w:szCs w:val="32"/>
          <w:shd w:val="clear" w:color="auto" w:fill="FFFFFF"/>
          <w:lang w:eastAsia="zh-CN"/>
        </w:rPr>
        <w:t>人员经费支出增加</w:t>
      </w:r>
      <w:r>
        <w:rPr>
          <w:rFonts w:hint="default" w:ascii="Times New Roman" w:hAnsi="Times New Roman" w:eastAsia="方正仿宋_GBK" w:cs="Times New Roman"/>
          <w:color w:val="auto"/>
          <w:sz w:val="32"/>
          <w:szCs w:val="32"/>
          <w:shd w:val="clear" w:color="auto" w:fill="FFFFFF"/>
        </w:rPr>
        <w:t>。其中：基本支出1188.2万元，占77.2%；项目支出350.58万元，占22.8%；经营支出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万元，占0.0%。此外，结余分配</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仿宋_GBK" w:cs="Times New Roman"/>
          <w:color w:val="auto"/>
          <w:sz w:val="32"/>
          <w:szCs w:val="32"/>
          <w:shd w:val="clear" w:color="auto" w:fill="FFFFFF"/>
          <w:lang w:val="en-US" w:eastAsia="zh-CN"/>
        </w:rPr>
        <w:t>3</w:t>
      </w:r>
      <w:r>
        <w:rPr>
          <w:rStyle w:val="12"/>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2024年度年末结转和结余</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fill="FFFFFF"/>
          <w:lang w:val="en-US" w:eastAsia="zh-CN"/>
        </w:rPr>
        <w:t>较上年决算数无增减。</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2024年度财政拨款收、支总计均为648.58万元。与2023年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相比，财政拨款收、支总计各增加49.64万元，增长8.3%。主要原因是</w:t>
      </w:r>
      <w:r>
        <w:rPr>
          <w:rFonts w:hint="default" w:ascii="Times New Roman" w:hAnsi="Times New Roman" w:eastAsia="方正仿宋_GBK" w:cs="Times New Roman"/>
          <w:color w:val="auto"/>
          <w:sz w:val="32"/>
          <w:szCs w:val="32"/>
          <w:shd w:val="clear" w:color="auto" w:fill="FFFFFF"/>
          <w:lang w:eastAsia="zh-CN"/>
        </w:rPr>
        <w:t>在编人员保险增加，基本公共卫生服务经费增加</w:t>
      </w:r>
      <w:r>
        <w:rPr>
          <w:rFonts w:hint="default" w:ascii="Times New Roman" w:hAnsi="Times New Roman" w:eastAsia="方正仿宋_GBK" w:cs="Times New Roman"/>
          <w:color w:val="auto"/>
          <w:sz w:val="32"/>
          <w:szCs w:val="32"/>
          <w:shd w:val="clear" w:color="auto" w:fill="FFFFFF"/>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2024年度一般公共预算财政拨款收入648.58万元，与2023年度相比，增加49.64万元，增长8.3%。主要原因是</w:t>
      </w:r>
      <w:r>
        <w:rPr>
          <w:rFonts w:hint="default" w:ascii="Times New Roman" w:hAnsi="Times New Roman" w:eastAsia="方正仿宋_GBK" w:cs="Times New Roman"/>
          <w:color w:val="auto"/>
          <w:sz w:val="32"/>
          <w:szCs w:val="32"/>
          <w:shd w:val="clear" w:color="auto" w:fill="FFFFFF"/>
          <w:lang w:eastAsia="zh-CN"/>
        </w:rPr>
        <w:t>在编人员保险增加，基本公共卫生服务经费增加</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较年初预算数增加373.47万元，增长135.8%。</w:t>
      </w:r>
      <w:r>
        <w:rPr>
          <w:rFonts w:hint="default" w:ascii="Times New Roman" w:hAnsi="Times New Roman" w:eastAsia="方正仿宋_GBK" w:cs="Times New Roman"/>
          <w:color w:val="auto"/>
          <w:sz w:val="32"/>
          <w:szCs w:val="32"/>
          <w:shd w:val="clear" w:fill="FFFFFF"/>
          <w:lang w:val="en-US" w:eastAsia="zh-CN"/>
        </w:rPr>
        <w:t>主要原因是年初预算时没有将基本公共卫生服务经费、基本药物制度补助经费、药品零差率经费</w:t>
      </w:r>
      <w:r>
        <w:rPr>
          <w:rFonts w:hint="eastAsia" w:ascii="Times New Roman" w:hAnsi="Times New Roman" w:eastAsia="方正仿宋_GBK" w:cs="Times New Roman"/>
          <w:color w:val="auto"/>
          <w:sz w:val="32"/>
          <w:szCs w:val="32"/>
          <w:shd w:val="clear" w:fill="FFFFFF"/>
          <w:lang w:val="en-US" w:eastAsia="zh-CN"/>
        </w:rPr>
        <w:t>纳入年初预算</w:t>
      </w:r>
      <w:r>
        <w:rPr>
          <w:rFonts w:hint="default" w:ascii="Times New Roman" w:hAnsi="Times New Roman" w:eastAsia="方正仿宋_GBK" w:cs="Times New Roman"/>
          <w:color w:val="auto"/>
          <w:sz w:val="32"/>
          <w:szCs w:val="32"/>
          <w:shd w:val="clear" w:fill="FFFFFF"/>
          <w:lang w:val="en-US" w:eastAsia="zh-CN"/>
        </w:rPr>
        <w:t>。</w:t>
      </w:r>
      <w:r>
        <w:rPr>
          <w:rFonts w:hint="default" w:ascii="Times New Roman" w:hAnsi="Times New Roman" w:eastAsia="方正仿宋_GBK" w:cs="Times New Roman"/>
          <w:color w:val="auto"/>
          <w:sz w:val="32"/>
          <w:szCs w:val="32"/>
          <w:shd w:val="clear" w:color="auto" w:fill="FFFFFF"/>
        </w:rPr>
        <w:t>此外，年初财政拨款结转和结余</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2"/>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2024年度一般公共预算财政拨款支出648.58万元，与2023年度相比，增加49.64万元，增长8.3%。主要原因是</w:t>
      </w:r>
      <w:r>
        <w:rPr>
          <w:rFonts w:hint="default" w:ascii="Times New Roman" w:hAnsi="Times New Roman" w:eastAsia="方正仿宋_GBK" w:cs="Times New Roman"/>
          <w:color w:val="auto"/>
          <w:sz w:val="32"/>
          <w:szCs w:val="32"/>
          <w:shd w:val="clear" w:color="auto" w:fill="FFFFFF"/>
          <w:lang w:eastAsia="zh-CN"/>
        </w:rPr>
        <w:t>在编人员保险增加，基本公共卫生服务经费增加</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较年初预算数增加373.47万元，增长135.8%。主要原因是</w:t>
      </w:r>
      <w:r>
        <w:rPr>
          <w:rFonts w:hint="default" w:ascii="Times New Roman" w:hAnsi="Times New Roman" w:eastAsia="方正仿宋_GBK" w:cs="Times New Roman"/>
          <w:color w:val="auto"/>
          <w:sz w:val="32"/>
          <w:szCs w:val="32"/>
          <w:shd w:val="clear" w:fill="FFFFFF"/>
          <w:lang w:val="en-US" w:eastAsia="zh-CN"/>
        </w:rPr>
        <w:t>年初预算时没有将基本公共卫生服务经费、基本药物制度补助经费、药品零差率经费进行预算。</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就业支出93.21万元，占14.4%，较年初预算数增加24.42万元，增长35.5%，主要原因是</w:t>
      </w:r>
      <w:r>
        <w:rPr>
          <w:rFonts w:hint="default" w:ascii="Times New Roman" w:hAnsi="Times New Roman" w:eastAsia="方正仿宋_GBK" w:cs="Times New Roman"/>
          <w:color w:val="auto"/>
          <w:sz w:val="32"/>
          <w:szCs w:val="32"/>
          <w:shd w:val="clear" w:color="auto" w:fill="FFFFFF"/>
          <w:lang w:eastAsia="zh-CN"/>
        </w:rPr>
        <w:t>人员变动调增工资保险引起的</w:t>
      </w:r>
      <w:r>
        <w:rPr>
          <w:rFonts w:hint="default" w:ascii="Times New Roman" w:hAnsi="Times New Roman" w:eastAsia="方正仿宋_GBK" w:cs="Times New Roman"/>
          <w:color w:val="auto"/>
          <w:sz w:val="32"/>
          <w:szCs w:val="32"/>
          <w:shd w:val="clear" w:color="auto" w:fill="FFFFFF"/>
        </w:rPr>
        <w:t>基本养老保险缴费支出</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、机关事业单位职业年金缴费支出增加。</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）卫生健康支出555.37万元，占85.6%，较年初预算数增加349.05万元，增长169.2%，主要原因是</w:t>
      </w:r>
      <w:r>
        <w:rPr>
          <w:rFonts w:hint="default" w:ascii="Times New Roman" w:hAnsi="Times New Roman" w:eastAsia="方正仿宋_GBK" w:cs="Times New Roman"/>
          <w:color w:val="auto"/>
          <w:sz w:val="32"/>
          <w:szCs w:val="32"/>
          <w:shd w:val="clear" w:fill="FFFFFF"/>
          <w:lang w:val="en-US" w:eastAsia="zh-CN"/>
        </w:rPr>
        <w:t>年初预算时没有将基本公共卫生服务经费、基本药物制度补助经费、药品零差率经费进行预算。</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2"/>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万元，与2023年度相比，无增减，主要原因</w:t>
      </w:r>
      <w:r>
        <w:rPr>
          <w:rFonts w:hint="default" w:ascii="Times New Roman" w:hAnsi="Times New Roman" w:eastAsia="方正仿宋_GBK" w:cs="Times New Roman"/>
          <w:color w:val="auto"/>
          <w:sz w:val="32"/>
          <w:szCs w:val="32"/>
          <w:shd w:val="clear" w:fill="FFFFFF"/>
          <w:lang w:val="en-US" w:eastAsia="zh-CN"/>
        </w:rPr>
        <w:t>是本年度无结转和结余。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color="auto" w:fill="FFFFFF"/>
        </w:rPr>
        <w:t>2024年度一般公共财政拨款基本支出318万元。其中：人员经费318万元，与2023年度相比，增加20.32万元，增长6.8%，主要原因是</w:t>
      </w:r>
      <w:r>
        <w:rPr>
          <w:rFonts w:hint="default" w:ascii="Times New Roman" w:hAnsi="Times New Roman" w:eastAsia="方正仿宋_GBK" w:cs="Times New Roman"/>
          <w:color w:val="auto"/>
          <w:sz w:val="32"/>
          <w:szCs w:val="32"/>
          <w:shd w:val="clear" w:fill="FFFFFF"/>
          <w:lang w:val="en-US" w:eastAsia="zh-CN" w:bidi="ar-SA"/>
        </w:rPr>
        <w:t>人员薪级工资变动，保险增加，财政拨款增加。</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fill="FFFFFF"/>
          <w:lang w:val="en-US" w:eastAsia="zh-CN" w:bidi="ar-SA"/>
        </w:rPr>
        <w:t>保障在职人员工资福利及社会保险缴费。</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fill="FFFFFF"/>
          <w:lang w:val="en-US" w:eastAsia="zh-CN" w:bidi="ar-SA"/>
        </w:rPr>
        <w:t>主要原因是我单位属于差额事业单位，财政未保障我单位“三公”经费。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rPr>
      </w:pPr>
      <w:r>
        <w:rPr>
          <w:rFonts w:hint="default" w:ascii="Times New Roman" w:hAnsi="Times New Roman" w:eastAsia="方正仿宋_GBK" w:cs="Times New Roman"/>
          <w:color w:val="auto"/>
          <w:sz w:val="32"/>
          <w:szCs w:val="32"/>
          <w:shd w:val="clear" w:fill="FFFFFF"/>
          <w:lang w:val="en-US" w:eastAsia="zh-CN"/>
        </w:rPr>
        <w:t>本单位2024年度无政府性基金预算财政拨款收支。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rPr>
      </w:pPr>
      <w:r>
        <w:rPr>
          <w:rFonts w:hint="default" w:ascii="Times New Roman" w:hAnsi="Times New Roman" w:eastAsia="方正仿宋_GBK" w:cs="Times New Roman"/>
          <w:color w:val="auto"/>
          <w:sz w:val="32"/>
          <w:szCs w:val="32"/>
          <w:shd w:val="clear" w:fill="FFFFFF"/>
          <w:lang w:val="en-US" w:eastAsia="zh-CN"/>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方正黑体_GBK" w:hAnsi="方正黑体_GBK" w:eastAsia="方正黑体_GBK" w:cs="方正黑体_GBK"/>
          <w:b w:val="0"/>
          <w:bCs/>
          <w:color w:val="auto"/>
          <w:sz w:val="32"/>
          <w:szCs w:val="32"/>
          <w:shd w:val="clear" w:color="auto" w:fill="FFFFFF"/>
        </w:rPr>
      </w:pPr>
      <w:r>
        <w:rPr>
          <w:rStyle w:val="12"/>
          <w:rFonts w:hint="default" w:ascii="方正黑体_GBK" w:hAnsi="方正黑体_GBK" w:eastAsia="方正黑体_GBK" w:cs="方正黑体_GBK"/>
          <w:b w:val="0"/>
          <w:bCs/>
          <w:color w:val="auto"/>
          <w:sz w:val="32"/>
          <w:szCs w:val="32"/>
          <w:shd w:val="clear" w:color="auto" w:fill="FFFFFF"/>
        </w:rPr>
        <w:t>三、</w:t>
      </w:r>
      <w:r>
        <w:rPr>
          <w:rStyle w:val="12"/>
          <w:rFonts w:hint="default" w:ascii="方正黑体_GBK" w:hAnsi="方正黑体_GBK" w:eastAsia="方正黑体_GBK" w:cs="方正黑体_GBK"/>
          <w:b w:val="0"/>
          <w:bCs/>
          <w:color w:val="auto"/>
          <w:sz w:val="32"/>
          <w:szCs w:val="32"/>
          <w:shd w:val="clear" w:color="auto" w:fill="FFFFFF"/>
          <w:lang w:eastAsia="zh-CN"/>
        </w:rPr>
        <w:t>财政拨款</w:t>
      </w:r>
      <w:r>
        <w:rPr>
          <w:rStyle w:val="12"/>
          <w:rFonts w:hint="default" w:ascii="方正黑体_GBK" w:hAnsi="方正黑体_GBK" w:eastAsia="方正黑体_GBK" w:cs="方正黑体_GBK"/>
          <w:b w:val="0"/>
          <w:bCs/>
          <w:color w:val="auto"/>
          <w:sz w:val="32"/>
          <w:szCs w:val="32"/>
          <w:shd w:val="clear" w:color="auto" w:fill="FFFFFF"/>
        </w:rPr>
        <w:t>“三公”经费情况说明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rPr>
      </w:pPr>
      <w:r>
        <w:rPr>
          <w:rFonts w:hint="default" w:ascii="Times New Roman" w:hAnsi="Times New Roman" w:eastAsia="方正仿宋_GBK" w:cs="Times New Roman"/>
          <w:color w:val="auto"/>
          <w:sz w:val="32"/>
          <w:szCs w:val="32"/>
          <w:shd w:val="clear" w:fill="FFFFFF"/>
          <w:lang w:val="en-US" w:eastAsia="zh-CN"/>
        </w:rPr>
        <w:t>我单位属于差额事业单位，未使用财政资金保障“三公”经费</w:t>
      </w:r>
      <w:r>
        <w:rPr>
          <w:rFonts w:hint="eastAsia" w:ascii="Times New Roman" w:hAnsi="Times New Roman" w:eastAsia="方正仿宋_GBK" w:cs="Times New Roman"/>
          <w:color w:val="auto"/>
          <w:sz w:val="32"/>
          <w:szCs w:val="32"/>
          <w:shd w:val="clear" w:fill="FFFFFF"/>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w:t>
      </w:r>
      <w:r>
        <w:rPr>
          <w:rFonts w:hint="default" w:ascii="Times New Roman" w:hAnsi="Times New Roman" w:eastAsia="方正仿宋_GBK" w:cs="Times New Roman"/>
          <w:color w:val="auto"/>
          <w:sz w:val="32"/>
          <w:szCs w:val="32"/>
          <w:shd w:val="clear" w:fill="FFFFFF"/>
          <w:lang w:val="en-US" w:eastAsia="zh-CN"/>
        </w:rPr>
        <w:t>“三公”经费支出共计</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万元，较年初预算数无增减，较上年无增减。</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rPr>
      </w:pPr>
      <w:r>
        <w:rPr>
          <w:rFonts w:hint="default" w:ascii="Times New Roman" w:hAnsi="Times New Roman" w:eastAsia="方正仿宋_GBK" w:cs="Times New Roman"/>
          <w:color w:val="auto"/>
          <w:sz w:val="32"/>
          <w:szCs w:val="32"/>
          <w:shd w:val="clear" w:color="auto" w:fill="FFFFFF"/>
        </w:rPr>
        <w:t>2024年度</w:t>
      </w:r>
      <w:r>
        <w:rPr>
          <w:rFonts w:hint="default" w:ascii="Times New Roman" w:hAnsi="Times New Roman" w:eastAsia="方正仿宋_GBK" w:cs="Times New Roman"/>
          <w:color w:val="auto"/>
          <w:sz w:val="32"/>
          <w:szCs w:val="32"/>
          <w:shd w:val="clear" w:fill="FFFFFF"/>
          <w:lang w:val="en-US" w:eastAsia="zh-CN"/>
        </w:rPr>
        <w:t>本单位因公出国（境）费用</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万元，费用支出较年初预算数增加</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万元，无变化。较上年支出数增加</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万元，无变化。</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fill="FFFFFF"/>
          <w:lang w:val="en-US" w:eastAsia="zh-CN"/>
        </w:rPr>
        <w:t>公务车购置费</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万元，费用支出较年初预算数增加</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万元，无变化。较上年支出数增加</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万元，无变化。</w:t>
      </w:r>
      <w:r>
        <w:rPr>
          <w:rFonts w:hint="default" w:ascii="Times New Roman" w:hAnsi="Times New Roman" w:eastAsia="方正仿宋_GBK" w:cs="Times New Roman"/>
          <w:color w:val="auto"/>
          <w:sz w:val="32"/>
          <w:szCs w:val="32"/>
          <w:shd w:val="clear" w:fill="FFFFFF"/>
          <w:lang w:val="en-US" w:eastAsia="zh-CN"/>
        </w:rPr>
        <w:br w:type="textWrapping"/>
      </w:r>
      <w:r>
        <w:rPr>
          <w:rFonts w:hint="default" w:ascii="Times New Roman" w:hAnsi="Times New Roman" w:eastAsia="方正仿宋_GBK" w:cs="Times New Roman"/>
          <w:color w:val="auto"/>
          <w:sz w:val="32"/>
          <w:szCs w:val="32"/>
          <w:shd w:val="clear" w:fill="FFFFFF"/>
          <w:lang w:val="en-US" w:eastAsia="zh-CN"/>
        </w:rPr>
        <w:t xml:space="preserve">    公务车运行维护费</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万元，费用支出较年初预算数增加</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万元，无变化。较上年支出数增加</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万元，无变化。</w:t>
      </w:r>
      <w:r>
        <w:rPr>
          <w:rFonts w:hint="default" w:ascii="Times New Roman" w:hAnsi="Times New Roman" w:eastAsia="方正仿宋_GBK" w:cs="Times New Roman"/>
          <w:color w:val="auto"/>
          <w:sz w:val="32"/>
          <w:szCs w:val="32"/>
          <w:shd w:val="clear" w:fill="FFFFFF"/>
          <w:lang w:val="en-US" w:eastAsia="zh-CN"/>
        </w:rPr>
        <w:br w:type="textWrapping"/>
      </w:r>
      <w:r>
        <w:rPr>
          <w:rFonts w:hint="default" w:ascii="Times New Roman" w:hAnsi="Times New Roman" w:eastAsia="方正仿宋_GBK" w:cs="Times New Roman"/>
          <w:color w:val="auto"/>
          <w:sz w:val="32"/>
          <w:szCs w:val="32"/>
          <w:shd w:val="clear" w:fill="FFFFFF"/>
          <w:lang w:val="en-US" w:eastAsia="zh-CN"/>
        </w:rPr>
        <w:t xml:space="preserve">    公务接待费</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万元，费用支出较年初预算数增加</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万元，无变化。较上年支出数增加</w:t>
      </w:r>
      <w:r>
        <w:rPr>
          <w:rFonts w:hint="eastAsia" w:ascii="Times New Roman" w:hAnsi="Times New Roman" w:eastAsia="方正仿宋_GBK" w:cs="Times New Roman"/>
          <w:color w:val="auto"/>
          <w:sz w:val="32"/>
          <w:szCs w:val="32"/>
          <w:shd w:val="clear" w:fill="FFFFFF"/>
          <w:lang w:val="en-US" w:eastAsia="zh-CN"/>
        </w:rPr>
        <w:t>0</w:t>
      </w:r>
      <w:r>
        <w:rPr>
          <w:rFonts w:hint="default" w:ascii="Times New Roman" w:hAnsi="Times New Roman" w:eastAsia="方正仿宋_GBK" w:cs="Times New Roman"/>
          <w:color w:val="auto"/>
          <w:sz w:val="32"/>
          <w:szCs w:val="32"/>
          <w:shd w:val="clear" w:fill="FFFFFF"/>
          <w:lang w:val="en-US" w:eastAsia="zh-CN"/>
        </w:rPr>
        <w:t>万元，无变化。</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方正黑体_GBK" w:hAnsi="方正黑体_GBK" w:eastAsia="方正黑体_GBK" w:cs="方正黑体_GBK"/>
          <w:b w:val="0"/>
          <w:bCs/>
          <w:color w:val="auto"/>
          <w:sz w:val="32"/>
          <w:szCs w:val="32"/>
          <w:shd w:val="clear" w:color="auto" w:fill="FFFFFF"/>
        </w:rPr>
      </w:pPr>
      <w:r>
        <w:rPr>
          <w:rStyle w:val="12"/>
          <w:rFonts w:hint="default" w:ascii="方正黑体_GBK" w:hAnsi="方正黑体_GBK" w:eastAsia="方正黑体_GBK" w:cs="方正黑体_GBK"/>
          <w:b w:val="0"/>
          <w:bCs/>
          <w:color w:val="auto"/>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本年度会议费支出</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万元，与2023年度相比，无变化</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本年度差旅费支出</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rPr>
        <w:t>万元，与2023年度相比，无变化，主要原因是</w:t>
      </w:r>
      <w:r>
        <w:rPr>
          <w:rFonts w:hint="default" w:ascii="Times New Roman" w:hAnsi="Times New Roman" w:eastAsia="方正仿宋_GBK" w:cs="Times New Roman"/>
          <w:color w:val="auto"/>
          <w:sz w:val="32"/>
          <w:szCs w:val="32"/>
          <w:lang w:val="en-US" w:eastAsia="zh-CN"/>
        </w:rPr>
        <w:t>我单位为差额事业单位</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未使用财政资金保障</w:t>
      </w:r>
      <w:r>
        <w:rPr>
          <w:rFonts w:hint="default" w:ascii="Times New Roman" w:hAnsi="Times New Roman" w:eastAsia="方正仿宋_GBK" w:cs="Times New Roman"/>
          <w:color w:val="auto"/>
          <w:sz w:val="32"/>
          <w:szCs w:val="32"/>
        </w:rPr>
        <w:t>会议费、培训费和差旅费。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2024年度本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机关运行经费支出</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万元，机关运行经费较上年支出数无增减，主要原因是</w:t>
      </w:r>
      <w:r>
        <w:rPr>
          <w:rFonts w:hint="default" w:ascii="Times New Roman" w:hAnsi="Times New Roman" w:eastAsia="方正仿宋_GBK" w:cs="Times New Roman"/>
          <w:color w:val="auto"/>
          <w:sz w:val="32"/>
          <w:szCs w:val="32"/>
          <w:shd w:val="clear" w:fill="FFFFFF"/>
          <w:lang w:val="en-US" w:eastAsia="zh-CN"/>
        </w:rPr>
        <w:t>按照部门决算列报口径，我单位不在机关运行经费统计范围之内。</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rPr>
        <w:t>2024年度本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政府采购支出总额26.76万元，其中：政府采购货物支出0.20万元、政府采购工程支出</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万元、政府采购服务支出26.56万元。授予中小企业合同金额26.76</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color w:val="auto"/>
          <w:sz w:val="32"/>
          <w:szCs w:val="32"/>
          <w:shd w:val="clear" w:color="auto" w:fill="FFFFFF"/>
        </w:rPr>
        <w:t>元，占政府采购支出总额的100.0%，其中：授予小微企业合同金额26.76万元，占政府采购支出总额的100.0 %。主要用于采购</w:t>
      </w:r>
      <w:r>
        <w:rPr>
          <w:rFonts w:hint="default" w:ascii="Times New Roman" w:hAnsi="Times New Roman" w:eastAsia="方正仿宋_GBK" w:cs="Times New Roman"/>
          <w:color w:val="auto"/>
          <w:sz w:val="32"/>
          <w:szCs w:val="32"/>
          <w:shd w:val="clear" w:fill="FFFFFF"/>
          <w:lang w:val="en-US" w:eastAsia="zh-CN" w:bidi="ar-SA"/>
        </w:rPr>
        <w:t>设备、保洁服务等。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方正黑体_GBK" w:hAnsi="方正黑体_GBK" w:eastAsia="方正黑体_GBK" w:cs="方正黑体_GBK"/>
          <w:b w:val="0"/>
          <w:bCs/>
          <w:color w:val="auto"/>
          <w:sz w:val="32"/>
          <w:szCs w:val="32"/>
          <w:shd w:val="clear" w:color="auto" w:fill="FFFFFF"/>
          <w:lang w:eastAsia="zh-CN"/>
        </w:rPr>
      </w:pPr>
      <w:r>
        <w:rPr>
          <w:rStyle w:val="12"/>
          <w:rFonts w:hint="default" w:ascii="方正黑体_GBK" w:hAnsi="方正黑体_GBK" w:eastAsia="方正黑体_GBK" w:cs="方正黑体_GBK"/>
          <w:b w:val="0"/>
          <w:bCs/>
          <w:color w:val="auto"/>
          <w:sz w:val="32"/>
          <w:szCs w:val="32"/>
          <w:shd w:val="clear" w:color="auto" w:fill="FFFFFF"/>
          <w:lang w:eastAsia="zh-CN"/>
        </w:rPr>
        <w:t>五、预算绩效管理情况说明</w:t>
      </w:r>
    </w:p>
    <w:p>
      <w:pPr>
        <w:pStyle w:val="15"/>
        <w:keepNext w:val="0"/>
        <w:keepLines w:val="0"/>
        <w:pageBreakBefore w:val="0"/>
        <w:widowControl/>
        <w:tabs>
          <w:tab w:val="center" w:pos="4153"/>
          <w:tab w:val="left" w:pos="7275"/>
        </w:tabs>
        <w:kinsoku/>
        <w:wordWrap/>
        <w:overflowPunct/>
        <w:topLinePunct w:val="0"/>
        <w:autoSpaceDN/>
        <w:bidi w:val="0"/>
        <w:adjustRightInd/>
        <w:spacing w:afterAutospacing="0" w:line="560" w:lineRule="exact"/>
        <w:ind w:firstLine="640" w:firstLineChars="2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（一）预算绩效管理工作开展情况</w:t>
      </w:r>
    </w:p>
    <w:p>
      <w:pPr>
        <w:pStyle w:val="15"/>
        <w:keepNext w:val="0"/>
        <w:keepLines w:val="0"/>
        <w:pageBreakBefore w:val="0"/>
        <w:widowControl/>
        <w:tabs>
          <w:tab w:val="center" w:pos="4153"/>
          <w:tab w:val="left" w:pos="7275"/>
        </w:tabs>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根据预算绩效管理要求，我单位对3个二级项目开展了绩效自评，涉及资金281.12万元；以委托第三方出具报告的方式开展绩效评价0项，涉及资金0万元。</w:t>
      </w:r>
    </w:p>
    <w:p>
      <w:pPr>
        <w:pStyle w:val="15"/>
        <w:keepNext w:val="0"/>
        <w:keepLines w:val="0"/>
        <w:pageBreakBefore w:val="0"/>
        <w:widowControl/>
        <w:tabs>
          <w:tab w:val="center" w:pos="4153"/>
          <w:tab w:val="left" w:pos="7275"/>
        </w:tabs>
        <w:kinsoku/>
        <w:wordWrap/>
        <w:overflowPunct/>
        <w:topLinePunct w:val="0"/>
        <w:autoSpaceDN/>
        <w:bidi w:val="0"/>
        <w:adjustRightInd/>
        <w:spacing w:afterAutospacing="0" w:line="560" w:lineRule="exact"/>
        <w:ind w:firstLine="640" w:firstLineChars="2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（二）绩效自评结果</w:t>
      </w:r>
    </w:p>
    <w:p>
      <w:pPr>
        <w:pStyle w:val="15"/>
        <w:keepNext w:val="0"/>
        <w:keepLines w:val="0"/>
        <w:pageBreakBefore w:val="0"/>
        <w:widowControl/>
        <w:tabs>
          <w:tab w:val="center" w:pos="4153"/>
          <w:tab w:val="left" w:pos="7275"/>
        </w:tabs>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1.绩效目标自评表</w:t>
      </w:r>
    </w:p>
    <w:p>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（1）公开范围</w:t>
      </w:r>
    </w:p>
    <w:p>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firstLine="1280" w:firstLineChars="400"/>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fill="FFFFFF"/>
          <w:lang w:val="en-US" w:eastAsia="zh-CN" w:bidi="ar-SA"/>
        </w:rPr>
        <w:t>我单位对3个项目</w:t>
      </w:r>
      <w:r>
        <w:rPr>
          <w:rFonts w:hint="eastAsia" w:ascii="Times New Roman" w:hAnsi="Times New Roman" w:eastAsia="方正仿宋_GBK" w:cs="Times New Roman"/>
          <w:color w:val="auto"/>
          <w:sz w:val="32"/>
          <w:szCs w:val="32"/>
          <w:shd w:val="clear" w:fill="FFFFFF"/>
          <w:lang w:val="en-US" w:eastAsia="zh-CN" w:bidi="ar-SA"/>
        </w:rPr>
        <w:t>开展了</w:t>
      </w:r>
      <w:r>
        <w:rPr>
          <w:rFonts w:hint="default" w:ascii="Times New Roman" w:hAnsi="Times New Roman" w:eastAsia="方正仿宋_GBK" w:cs="Times New Roman"/>
          <w:color w:val="auto"/>
          <w:kern w:val="0"/>
          <w:sz w:val="32"/>
          <w:szCs w:val="32"/>
        </w:rPr>
        <w:t>绩效自评</w:t>
      </w:r>
      <w:r>
        <w:rPr>
          <w:rFonts w:hint="default" w:ascii="Times New Roman" w:hAnsi="Times New Roman" w:eastAsia="方正仿宋_GBK" w:cs="Times New Roman"/>
          <w:color w:val="auto"/>
          <w:kern w:val="0"/>
          <w:sz w:val="32"/>
          <w:szCs w:val="32"/>
          <w:lang w:eastAsia="zh-CN"/>
        </w:rPr>
        <w:t>。</w:t>
      </w:r>
    </w:p>
    <w:p>
      <w:pPr>
        <w:pStyle w:val="15"/>
        <w:keepNext w:val="0"/>
        <w:keepLines w:val="0"/>
        <w:pageBreakBefore w:val="0"/>
        <w:widowControl/>
        <w:tabs>
          <w:tab w:val="center" w:pos="4153"/>
          <w:tab w:val="left" w:pos="7275"/>
        </w:tabs>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（2）公开内容</w:t>
      </w:r>
    </w:p>
    <w:p>
      <w:pPr>
        <w:pStyle w:val="9"/>
        <w:keepNext w:val="0"/>
        <w:keepLines w:val="0"/>
        <w:pageBreakBefore w:val="0"/>
        <w:widowControl/>
        <w:suppressLineNumbers w:val="0"/>
        <w:kinsoku/>
        <w:wordWrap/>
        <w:overflowPunct/>
        <w:topLinePunct w:val="0"/>
        <w:autoSpaceDN/>
        <w:bidi w:val="0"/>
        <w:adjustRightInd/>
        <w:snapToGrid/>
        <w:spacing w:before="0" w:beforeAutospacing="0" w:afterAutospacing="0" w:line="560" w:lineRule="exact"/>
        <w:ind w:firstLine="1280" w:firstLineChars="4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详见</w:t>
      </w:r>
      <w:r>
        <w:rPr>
          <w:rFonts w:hint="default" w:ascii="Times New Roman" w:hAnsi="Times New Roman" w:eastAsia="方正仿宋_GBK" w:cs="Times New Roman"/>
          <w:color w:val="auto"/>
          <w:kern w:val="0"/>
          <w:sz w:val="32"/>
          <w:szCs w:val="32"/>
          <w:lang w:eastAsia="zh-CN"/>
        </w:rPr>
        <w:t>公开报表</w:t>
      </w:r>
      <w:r>
        <w:rPr>
          <w:rFonts w:hint="default" w:ascii="Times New Roman" w:hAnsi="Times New Roman" w:eastAsia="方正仿宋_GBK" w:cs="Times New Roman"/>
          <w:color w:val="auto"/>
          <w:kern w:val="0"/>
          <w:sz w:val="32"/>
          <w:szCs w:val="32"/>
        </w:rPr>
        <w:t>。</w:t>
      </w:r>
    </w:p>
    <w:p>
      <w:pPr>
        <w:pStyle w:val="15"/>
        <w:keepNext w:val="0"/>
        <w:keepLines w:val="0"/>
        <w:pageBreakBefore w:val="0"/>
        <w:widowControl/>
        <w:tabs>
          <w:tab w:val="center" w:pos="4153"/>
          <w:tab w:val="left" w:pos="7275"/>
        </w:tabs>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2.绩效自评报告或案例</w:t>
      </w:r>
    </w:p>
    <w:p>
      <w:pPr>
        <w:pStyle w:val="15"/>
        <w:keepNext w:val="0"/>
        <w:keepLines w:val="0"/>
        <w:pageBreakBefore w:val="0"/>
        <w:widowControl/>
        <w:tabs>
          <w:tab w:val="center" w:pos="4153"/>
          <w:tab w:val="left" w:pos="7275"/>
        </w:tabs>
        <w:kinsoku/>
        <w:wordWrap/>
        <w:overflowPunct/>
        <w:topLinePunct w:val="0"/>
        <w:autoSpaceDN/>
        <w:bidi w:val="0"/>
        <w:adjustRightInd/>
        <w:spacing w:afterAutospacing="0" w:line="560" w:lineRule="exact"/>
        <w:ind w:firstLine="1280" w:firstLineChars="400"/>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无。</w:t>
      </w:r>
    </w:p>
    <w:p>
      <w:pPr>
        <w:pStyle w:val="15"/>
        <w:keepNext w:val="0"/>
        <w:keepLines w:val="0"/>
        <w:pageBreakBefore w:val="0"/>
        <w:widowControl/>
        <w:tabs>
          <w:tab w:val="center" w:pos="4153"/>
          <w:tab w:val="left" w:pos="7275"/>
        </w:tabs>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3.关于绩效自评结果的说明</w:t>
      </w:r>
    </w:p>
    <w:p>
      <w:pPr>
        <w:pStyle w:val="15"/>
        <w:keepNext w:val="0"/>
        <w:keepLines w:val="0"/>
        <w:pageBreakBefore w:val="0"/>
        <w:widowControl/>
        <w:tabs>
          <w:tab w:val="center" w:pos="4153"/>
          <w:tab w:val="left" w:pos="7275"/>
        </w:tabs>
        <w:kinsoku/>
        <w:wordWrap/>
        <w:overflowPunct/>
        <w:topLinePunct w:val="0"/>
        <w:autoSpaceDN/>
        <w:bidi w:val="0"/>
        <w:adjustRightInd/>
        <w:spacing w:afterAutospacing="0" w:line="560" w:lineRule="exact"/>
        <w:ind w:firstLine="640"/>
        <w:textAlignment w:val="auto"/>
        <w:rPr>
          <w:rStyle w:val="12"/>
          <w:rFonts w:hint="default" w:ascii="Times New Roman" w:hAnsi="Times New Roman" w:eastAsia="仿宋" w:cs="Times New Roman"/>
          <w:color w:val="auto"/>
          <w:sz w:val="32"/>
          <w:szCs w:val="32"/>
          <w:shd w:val="clear" w:fill="FFFFFF"/>
          <w:lang w:val="en-US" w:eastAsia="zh-CN"/>
        </w:rPr>
      </w:pPr>
      <w:r>
        <w:rPr>
          <w:rFonts w:hint="default" w:ascii="Times New Roman" w:hAnsi="Times New Roman" w:eastAsia="方正仿宋_GBK" w:cs="Times New Roman"/>
          <w:color w:val="auto"/>
          <w:sz w:val="32"/>
          <w:szCs w:val="32"/>
          <w:shd w:val="clear" w:fill="FFFFFF"/>
          <w:lang w:val="en-US" w:eastAsia="zh-CN"/>
        </w:rPr>
        <w:t>本年度基本公共卫生、基药补助、街镇卫生院药品零差率补助</w:t>
      </w:r>
      <w:bookmarkStart w:id="0" w:name="_GoBack"/>
      <w:bookmarkEnd w:id="0"/>
      <w:r>
        <w:rPr>
          <w:rFonts w:hint="default" w:ascii="Times New Roman" w:hAnsi="Times New Roman" w:eastAsia="方正仿宋_GBK" w:cs="Times New Roman"/>
          <w:color w:val="auto"/>
          <w:sz w:val="32"/>
          <w:szCs w:val="32"/>
          <w:shd w:val="clear" w:fill="FFFFFF"/>
          <w:lang w:val="en-US" w:eastAsia="zh-CN"/>
        </w:rPr>
        <w:t>等各项工作顺利完成，达到了年初工作计划，自评绩效目标完成度较好。</w:t>
      </w:r>
    </w:p>
    <w:p>
      <w:pPr>
        <w:pStyle w:val="15"/>
        <w:keepNext w:val="0"/>
        <w:keepLines w:val="0"/>
        <w:pageBreakBefore w:val="0"/>
        <w:widowControl/>
        <w:tabs>
          <w:tab w:val="center" w:pos="4153"/>
          <w:tab w:val="left" w:pos="7275"/>
        </w:tabs>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楷体_GBK" w:cs="Times New Roman"/>
          <w:color w:val="auto"/>
          <w:kern w:val="0"/>
          <w:sz w:val="32"/>
          <w:szCs w:val="32"/>
        </w:rPr>
        <w:t>（三）重点绩效评价结果</w:t>
      </w:r>
    </w:p>
    <w:p>
      <w:pPr>
        <w:pStyle w:val="13"/>
        <w:keepNext w:val="0"/>
        <w:keepLines w:val="0"/>
        <w:pageBreakBefore w:val="0"/>
        <w:widowControl/>
        <w:kinsoku/>
        <w:wordWrap/>
        <w:overflowPunct/>
        <w:topLinePunct w:val="0"/>
        <w:autoSpaceDE w:val="0"/>
        <w:autoSpaceDN/>
        <w:bidi w:val="0"/>
        <w:adjustRightInd/>
        <w:spacing w:beforeAutospacing="0" w:afterAutospacing="0" w:line="560" w:lineRule="exact"/>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区财政局未委托第三方对我单位开展绩效评价。</w:t>
      </w:r>
    </w:p>
    <w:p>
      <w:pPr>
        <w:pStyle w:val="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textAlignment w:val="auto"/>
        <w:rPr>
          <w:rFonts w:hint="default" w:ascii="Times New Roman" w:hAnsi="Times New Roman" w:eastAsia="方正仿宋_GBK" w:cs="Times New Roman"/>
          <w:color w:val="auto"/>
          <w:sz w:val="32"/>
          <w:szCs w:val="32"/>
          <w:shd w:val="clear" w:fill="FFFFFF"/>
          <w:lang w:val="en-US" w:eastAsia="zh-CN" w:bidi="ar-SA"/>
        </w:rPr>
      </w:pPr>
      <w:r>
        <w:rPr>
          <w:rFonts w:hint="default" w:ascii="Times New Roman" w:hAnsi="Times New Roman" w:eastAsia="方正仿宋_GBK" w:cs="Times New Roman"/>
          <w:color w:val="auto"/>
          <w:sz w:val="32"/>
          <w:szCs w:val="32"/>
          <w:shd w:val="clear" w:fill="FFFFFF"/>
          <w:lang w:val="en-US" w:eastAsia="zh-CN" w:bidi="ar-SA"/>
        </w:rPr>
        <w:t xml:space="preserve">   </w:t>
      </w:r>
      <w:r>
        <w:rPr>
          <w:rFonts w:hint="default" w:ascii="Times New Roman" w:hAnsi="Times New Roman" w:eastAsia="方正黑体_GBK" w:cs="Times New Roman"/>
          <w:color w:val="auto"/>
          <w:sz w:val="32"/>
          <w:szCs w:val="32"/>
          <w:shd w:val="clear" w:fill="FFFFFF"/>
          <w:lang w:val="en-US" w:eastAsia="zh-CN" w:bidi="ar-SA"/>
        </w:rPr>
        <w:t xml:space="preserve">  </w:t>
      </w:r>
      <w:r>
        <w:rPr>
          <w:rStyle w:val="12"/>
          <w:rFonts w:hint="default" w:ascii="方正黑体_GBK" w:hAnsi="方正黑体_GBK" w:eastAsia="方正黑体_GBK" w:cs="方正黑体_GBK"/>
          <w:b w:val="0"/>
          <w:bCs/>
          <w:color w:val="auto"/>
          <w:sz w:val="32"/>
          <w:szCs w:val="32"/>
          <w:shd w:val="clear" w:color="auto" w:fill="FFFFFF"/>
          <w:lang w:val="en-US" w:eastAsia="zh-CN"/>
        </w:rPr>
        <w:t xml:space="preserve"> 六、专业名词解释</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rPr>
      </w:pPr>
      <w:r>
        <w:rPr>
          <w:rFonts w:hint="default" w:ascii="Times New Roman" w:hAnsi="Times New Roman" w:eastAsia="方正楷体_GBK" w:cs="Times New Roman"/>
          <w:b w:val="0"/>
          <w:bCs w:val="0"/>
          <w:color w:val="auto"/>
          <w:sz w:val="32"/>
          <w:szCs w:val="32"/>
          <w:shd w:val="clear" w:color="auto" w:fill="FFFFFF"/>
          <w:lang w:val="en-US" w:eastAsia="zh-CN" w:bidi="ar-SA"/>
        </w:rPr>
        <w:t>（一）财政拨款收入：</w:t>
      </w:r>
      <w:r>
        <w:rPr>
          <w:rFonts w:hint="default" w:ascii="Times New Roman" w:hAnsi="Times New Roman" w:eastAsia="方正仿宋_GBK" w:cs="Times New Roman"/>
          <w:color w:val="auto"/>
          <w:sz w:val="32"/>
          <w:szCs w:val="32"/>
          <w:shd w:val="clear" w:fill="FFFFFF"/>
          <w:lang w:val="en-US" w:eastAsia="zh-CN"/>
        </w:rPr>
        <w:t>指本年度从本级财政部门取得的财政拨款，包括一般公共预算财政拨款和政府性基金预算财政拨款。</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rPr>
      </w:pPr>
      <w:r>
        <w:rPr>
          <w:rFonts w:hint="default" w:ascii="Times New Roman" w:hAnsi="Times New Roman" w:eastAsia="方正楷体_GBK" w:cs="Times New Roman"/>
          <w:b w:val="0"/>
          <w:bCs w:val="0"/>
          <w:color w:val="auto"/>
          <w:sz w:val="32"/>
          <w:szCs w:val="32"/>
          <w:shd w:val="clear" w:color="auto" w:fill="FFFFFF"/>
          <w:lang w:val="en-US" w:eastAsia="zh-CN" w:bidi="ar-SA"/>
        </w:rPr>
        <w:t>（二）事业收入：</w:t>
      </w:r>
      <w:r>
        <w:rPr>
          <w:rFonts w:hint="default" w:ascii="Times New Roman" w:hAnsi="Times New Roman" w:eastAsia="方正仿宋_GBK" w:cs="Times New Roman"/>
          <w:color w:val="auto"/>
          <w:sz w:val="32"/>
          <w:szCs w:val="32"/>
          <w:shd w:val="clear" w:fill="FFFFFF"/>
          <w:lang w:val="en-US" w:eastAsia="zh-CN"/>
        </w:rPr>
        <w:t>指事业单位开展专业业务活动及其辅助活动取得的现金流入；事业单位收到的财政专户实际核拨的教育收费等资金在此反映。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fill="FFFFFF"/>
          <w:lang w:val="en-US" w:eastAsia="zh-CN"/>
        </w:rPr>
      </w:pPr>
      <w:r>
        <w:rPr>
          <w:rFonts w:hint="default" w:ascii="Times New Roman" w:hAnsi="Times New Roman" w:eastAsia="方正楷体_GBK" w:cs="Times New Roman"/>
          <w:b w:val="0"/>
          <w:bCs w:val="0"/>
          <w:color w:val="auto"/>
          <w:sz w:val="32"/>
          <w:szCs w:val="32"/>
          <w:shd w:val="clear" w:color="auto" w:fill="FFFFFF"/>
          <w:lang w:val="en-US" w:eastAsia="zh-CN" w:bidi="ar-SA"/>
        </w:rPr>
        <w:t>（三）经营收入：</w:t>
      </w:r>
      <w:r>
        <w:rPr>
          <w:rFonts w:hint="default" w:ascii="Times New Roman" w:hAnsi="Times New Roman" w:eastAsia="方正仿宋_GBK" w:cs="Times New Roman"/>
          <w:color w:val="auto"/>
          <w:sz w:val="32"/>
          <w:szCs w:val="32"/>
          <w:shd w:val="clear" w:fill="FFFFFF"/>
          <w:lang w:val="en-US" w:eastAsia="zh-CN"/>
        </w:rPr>
        <w:t>指事业单位在专业业务活动及其辅助活动之外开展非独立核算经营活动取得的现金流入。</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 （七）结余分配：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 （八）年末结转和结余：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lang w:val="en-US" w:eastAsia="zh-CN" w:bidi="ar-SA"/>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 （十）项目支出：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 （十一）经营支出：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 （十二）“三公”经费：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left="638" w:leftChars="266" w:firstLine="0" w:firstLineChars="0"/>
        <w:jc w:val="both"/>
        <w:textAlignment w:val="auto"/>
        <w:rPr>
          <w:rFonts w:hint="eastAsia"/>
          <w:lang w:val="en-US" w:eastAsia="zh-CN"/>
        </w:rPr>
      </w:pPr>
      <w:r>
        <w:rPr>
          <w:rFonts w:hint="default" w:ascii="Times New Roman" w:hAnsi="Times New Roman" w:eastAsia="方正楷体_GBK" w:cs="Times New Roman"/>
          <w:b w:val="0"/>
          <w:bCs w:val="0"/>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w:t>
      </w:r>
      <w:r>
        <w:rPr>
          <w:rFonts w:hint="eastAsia" w:ascii="Times New Roman" w:hAnsi="Times New Roman" w:eastAsia="方正仿宋_GBK" w:cs="Times New Roman"/>
          <w:color w:val="auto"/>
          <w:sz w:val="32"/>
          <w:szCs w:val="32"/>
          <w:shd w:val="clear" w:color="auto" w:fill="FFFFFF"/>
          <w:lang w:val="en-US" w:eastAsia="zh-CN"/>
        </w:rPr>
        <w:t>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textAlignment w:val="auto"/>
        <w:rPr>
          <w:rStyle w:val="12"/>
          <w:rFonts w:hint="default" w:ascii="Times New Roman" w:hAnsi="Times New Roman" w:eastAsia="方正黑体_GBK" w:cs="Times New Roman"/>
          <w:b w:val="0"/>
          <w:bCs/>
          <w:color w:val="auto"/>
          <w:sz w:val="32"/>
          <w:szCs w:val="32"/>
          <w:shd w:val="clear" w:color="auto" w:fill="FFFFFF"/>
        </w:rPr>
      </w:pPr>
      <w:r>
        <w:rPr>
          <w:rStyle w:val="12"/>
          <w:rFonts w:hint="default" w:ascii="Times New Roman" w:hAnsi="Times New Roman" w:eastAsia="方正黑体_GBK" w:cs="Times New Roman"/>
          <w:b w:val="0"/>
          <w:bCs/>
          <w:color w:val="auto"/>
          <w:sz w:val="32"/>
          <w:szCs w:val="32"/>
          <w:shd w:val="clear" w:color="auto" w:fill="FFFFFF"/>
        </w:rPr>
        <w:t> </w:t>
      </w:r>
      <w:r>
        <w:rPr>
          <w:rStyle w:val="12"/>
          <w:rFonts w:hint="default" w:ascii="Times New Roman" w:hAnsi="Times New Roman" w:eastAsia="方正黑体_GBK" w:cs="Times New Roman"/>
          <w:b w:val="0"/>
          <w:bCs/>
          <w:color w:val="auto"/>
          <w:sz w:val="32"/>
          <w:szCs w:val="32"/>
          <w:shd w:val="clear" w:color="auto" w:fill="FFFFFF"/>
          <w:lang w:val="en-US" w:eastAsia="zh-CN"/>
        </w:rPr>
        <w:t xml:space="preserve">    </w:t>
      </w:r>
      <w:r>
        <w:rPr>
          <w:rStyle w:val="12"/>
          <w:rFonts w:hint="default" w:ascii="方正黑体_GBK" w:hAnsi="方正黑体_GBK" w:eastAsia="方正黑体_GBK" w:cs="方正黑体_GBK"/>
          <w:b w:val="0"/>
          <w:bCs/>
          <w:color w:val="auto"/>
          <w:sz w:val="32"/>
          <w:szCs w:val="32"/>
          <w:shd w:val="clear" w:color="auto" w:fill="FFFFFF"/>
        </w:rPr>
        <w:t>七、决算公开联系方式及信息反馈渠道</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rPr>
        <w:t>本单位决算公开信息反馈和联系</w:t>
      </w:r>
      <w:r>
        <w:rPr>
          <w:rFonts w:hint="default" w:ascii="Times New Roman" w:hAnsi="Times New Roman" w:eastAsia="方正仿宋_GBK" w:cs="Times New Roman"/>
          <w:color w:val="auto"/>
          <w:sz w:val="32"/>
          <w:szCs w:val="32"/>
          <w:shd w:val="clear" w:color="auto" w:fill="FFFFFF"/>
          <w:lang w:val="en-US" w:eastAsia="zh-CN" w:bidi="ar-SA"/>
        </w:rPr>
        <w:t>方式：023-48740030</w:t>
      </w:r>
    </w:p>
    <w:sectPr>
      <w:headerReference r:id="rId3" w:type="default"/>
      <w:footerReference r:id="rId4" w:type="default"/>
      <w:pgSz w:w="16838" w:h="23811"/>
      <w:pgMar w:top="2098" w:right="1474" w:bottom="1984" w:left="1587" w:header="850"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DDCA65"/>
    <w:multiLevelType w:val="singleLevel"/>
    <w:tmpl w:val="E8DDCA6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0E351FC"/>
    <w:rsid w:val="11003CB0"/>
    <w:rsid w:val="111445C7"/>
    <w:rsid w:val="1158083A"/>
    <w:rsid w:val="11F03528"/>
    <w:rsid w:val="12C921C4"/>
    <w:rsid w:val="13850DCB"/>
    <w:rsid w:val="13871C70"/>
    <w:rsid w:val="13A71CB4"/>
    <w:rsid w:val="13AF1D43"/>
    <w:rsid w:val="13CE1647"/>
    <w:rsid w:val="141A11EA"/>
    <w:rsid w:val="14200702"/>
    <w:rsid w:val="148E377E"/>
    <w:rsid w:val="1580711B"/>
    <w:rsid w:val="17E7230E"/>
    <w:rsid w:val="189B0D0B"/>
    <w:rsid w:val="19412782"/>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5E6B72"/>
    <w:rsid w:val="29C37A35"/>
    <w:rsid w:val="29C95E09"/>
    <w:rsid w:val="2A076083"/>
    <w:rsid w:val="2A592F9D"/>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47E57B2"/>
    <w:rsid w:val="352930DB"/>
    <w:rsid w:val="35573069"/>
    <w:rsid w:val="358C217E"/>
    <w:rsid w:val="359F188C"/>
    <w:rsid w:val="362D2433"/>
    <w:rsid w:val="36C9128A"/>
    <w:rsid w:val="37841E99"/>
    <w:rsid w:val="37BF1123"/>
    <w:rsid w:val="37F26E25"/>
    <w:rsid w:val="38BE4696"/>
    <w:rsid w:val="39166507"/>
    <w:rsid w:val="39446A22"/>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8E459F"/>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8872749"/>
    <w:rsid w:val="495C4A24"/>
    <w:rsid w:val="4AD70EE7"/>
    <w:rsid w:val="4B7951CB"/>
    <w:rsid w:val="4B7C315C"/>
    <w:rsid w:val="4BAB7F90"/>
    <w:rsid w:val="4D8E0AFB"/>
    <w:rsid w:val="4DAC4ACA"/>
    <w:rsid w:val="4E9664E6"/>
    <w:rsid w:val="4F186D58"/>
    <w:rsid w:val="50EC262C"/>
    <w:rsid w:val="522F6E0C"/>
    <w:rsid w:val="52463BA1"/>
    <w:rsid w:val="53C0244D"/>
    <w:rsid w:val="53DD4D4E"/>
    <w:rsid w:val="53E578CE"/>
    <w:rsid w:val="543B029D"/>
    <w:rsid w:val="545D0246"/>
    <w:rsid w:val="54940E81"/>
    <w:rsid w:val="554E5773"/>
    <w:rsid w:val="555A3CBC"/>
    <w:rsid w:val="56530F5D"/>
    <w:rsid w:val="56DB7F56"/>
    <w:rsid w:val="5842572D"/>
    <w:rsid w:val="58F207C2"/>
    <w:rsid w:val="59C06FDA"/>
    <w:rsid w:val="5AE75037"/>
    <w:rsid w:val="5B58571C"/>
    <w:rsid w:val="5B8376C2"/>
    <w:rsid w:val="5B96133A"/>
    <w:rsid w:val="5C1336B7"/>
    <w:rsid w:val="5C263CE4"/>
    <w:rsid w:val="5C5D2777"/>
    <w:rsid w:val="5C615CFB"/>
    <w:rsid w:val="5C7E50AE"/>
    <w:rsid w:val="5D290C69"/>
    <w:rsid w:val="5D537F41"/>
    <w:rsid w:val="5E4F119F"/>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4C324F"/>
    <w:rsid w:val="796D60A4"/>
    <w:rsid w:val="79A031D5"/>
    <w:rsid w:val="7A1525F7"/>
    <w:rsid w:val="7A3E6CB6"/>
    <w:rsid w:val="7A680D2D"/>
    <w:rsid w:val="7B420052"/>
    <w:rsid w:val="7BD06A28"/>
    <w:rsid w:val="7C1E4CD7"/>
    <w:rsid w:val="7C3A7C0B"/>
    <w:rsid w:val="7C5248E4"/>
    <w:rsid w:val="7C566698"/>
    <w:rsid w:val="7FA960B8"/>
    <w:rsid w:val="7FCE1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4730</Words>
  <Characters>5146</Characters>
  <Lines>161</Lines>
  <Paragraphs>45</Paragraphs>
  <TotalTime>2</TotalTime>
  <ScaleCrop>false</ScaleCrop>
  <LinksUpToDate>false</LinksUpToDate>
  <CharactersWithSpaces>5173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2025-10-20T09:16:12Z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8DB7F1F2FA424D9DAA6969DD75E336EA</vt:lpwstr>
  </property>
  <property fmtid="{D5CDD505-2E9C-101B-9397-08002B2CF9AE}" pid="4" name="KSOTemplateDocerSaveRecord">
    <vt:lpwstr>eyJoZGlkIjoiOTQ1NTA3YzIyYjFiYjkwNjQ4NzdhNDQ4YWU4ODRkNGEiLCJ1c2VySWQiOiI2NTk4MTMzNTAifQ==</vt:lpwstr>
  </property>
</Properties>
</file>