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重庆市綦江区三角镇中心卫生院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三角镇中心卫生院是一所乙级乡镇卫生院，始建于1951年。我院人员编制数为51人，在编职工47人，非在编职工8人，退休人员28人。其中卫生技术45人，高级职称4人、中级职称10人，床位情况：医院编制床位46张，实际开放床46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我院承担着辖区内14个行政村和1个社区共3万多人以及周边比邻镇上群众的公共卫生服务和医疗服务等工作。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开设综合科、中医康复科、医学检验科、医学影像科等临床科室。现拥有DR、彩超、电子胃镜、骨密度检测仪、肺功能检测仪、血气分析仪等医疗设备，各科收入支出由医院统一管理、统一核算。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我院系差额补助事业单位，属于二级预算单位。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2024年度收支总计均为1345.97万元。收支与2023年度相比，增加13.18万元，增长1.0%，主要原因</w:t>
      </w:r>
      <w:r>
        <w:rPr>
          <w:rFonts w:hint="eastAsia" w:ascii="方正仿宋_GBK" w:hAnsi="方正仿宋_GBK" w:eastAsia="方正仿宋_GBK" w:cs="方正仿宋_GBK"/>
          <w:sz w:val="32"/>
          <w:szCs w:val="32"/>
          <w:lang w:eastAsia="zh-CN"/>
        </w:rPr>
        <w:t>是</w:t>
      </w:r>
      <w:r>
        <w:rPr>
          <w:rFonts w:hint="eastAsia" w:ascii="方正仿宋_GBK" w:hAnsi="方正仿宋_GBK" w:eastAsia="方正仿宋_GBK" w:cs="方正仿宋_GBK"/>
          <w:sz w:val="32"/>
          <w:szCs w:val="32"/>
        </w:rPr>
        <w:t>养老保险和职业年金财政拨款收入增加和基本公共卫生服务项目收入增加，同时支出也相应增加。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收入合计1345.97万元，与2023年度相比，增加13.18万元，增长1.0%，主要原因是养老保险和职业年金财政拨款收入增加和基本公共卫生服务项目收入增加。其中：财政拨款收入689.51万元，占51.2%；事业收入656.45万元，占48.8%；经营收入0.00万元，占0.0%；其他收入0.00万元，占0.0%。此外，使用非财政拨款结余（含专用结余）0.00万元，年初结转和结余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支出合计1345.97万元，与2023年度相比，增加13.18万元，增长1.0%，主要原因是养老保险、职业年金费用增加。其中：基本支出1064.74万元，占79.1%；项目支出281.23万元，占20.9%；经营支出0.00万元，占0.0%。此外，结余分配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3.结转结余情况。2024年度年末结转和结余0.00万元，与2023年度相比无增减。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2024年度财政拨款收支总计均为689.51万元。与2023年度相比财政拨款收支总计各增加86.76万元，增长14.4%。主要原因是养老保险、职业年金财政拨款收入增加和基本公共卫生服务项目收入增加。同时相关费用增加。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1.收入情况。2024年度一般公共预算财政拨款收入689.51万元，与2023年度相比，增加86.76万元，增长14.4%。主要</w:t>
      </w:r>
      <w:r>
        <w:rPr>
          <w:rFonts w:hint="eastAsia" w:ascii="方正仿宋_GBK" w:hAnsi="方正仿宋_GBK" w:eastAsia="方正仿宋_GBK" w:cs="方正仿宋_GBK"/>
          <w:sz w:val="32"/>
          <w:szCs w:val="32"/>
          <w:lang w:val="en-US" w:eastAsia="zh-CN"/>
        </w:rPr>
        <w:t>养老保险和职业年金</w:t>
      </w:r>
      <w:r>
        <w:rPr>
          <w:rFonts w:hint="eastAsia" w:ascii="方正仿宋_GBK" w:hAnsi="方正仿宋_GBK" w:eastAsia="方正仿宋_GBK" w:cs="方正仿宋_GBK"/>
          <w:sz w:val="32"/>
          <w:szCs w:val="32"/>
        </w:rPr>
        <w:t>增加。较年初预算数增加326.35万元，增长89.9%。主要原因是增加了基本公卫资金预算。此外，年初财政拨款结转和结余0.00万元。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2.支出情况。2024年度一般公共预算财政拨款支出689.51万元，与2023年度相比，增加86.76万元，增长14.4%。主要因为</w:t>
      </w:r>
      <w:r>
        <w:rPr>
          <w:rFonts w:hint="eastAsia" w:ascii="方正仿宋_GBK" w:hAnsi="方正仿宋_GBK" w:eastAsia="方正仿宋_GBK" w:cs="方正仿宋_GBK"/>
          <w:sz w:val="32"/>
          <w:szCs w:val="32"/>
          <w:lang w:val="en-US" w:eastAsia="zh-CN"/>
        </w:rPr>
        <w:t>养老保险和职业年金增加</w:t>
      </w:r>
      <w:r>
        <w:rPr>
          <w:rFonts w:hint="eastAsia" w:ascii="方正仿宋_GBK" w:hAnsi="方正仿宋_GBK" w:eastAsia="方正仿宋_GBK" w:cs="方正仿宋_GBK"/>
          <w:sz w:val="32"/>
          <w:szCs w:val="32"/>
        </w:rPr>
        <w:t>，财政拨款收入增加。较年初预算数增加326.35万元，增长89.9%。主要原因是增</w:t>
      </w:r>
      <w:r>
        <w:rPr>
          <w:rFonts w:hint="eastAsia" w:ascii="方正仿宋_GBK" w:hAnsi="方正仿宋_GBK" w:eastAsia="方正仿宋_GBK" w:cs="方正仿宋_GBK"/>
          <w:sz w:val="32"/>
          <w:szCs w:val="32"/>
          <w:lang w:val="en-US" w:eastAsia="zh-CN"/>
        </w:rPr>
        <w:t>补养老保险、职业年金和基本公共卫生服项目收入增加。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一般公共预算财政拨款支出主要用途如下：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（1）社会保障和就业支出138.77万元，占20.1%，较年初预算数增加33.70万元，增长32.1%，主要原因是养老保险和职业年金费用增加。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（2）卫生健康支出550.74万元，占79.9%，较年初预算数增加292.65万元，增长113.4%，主要原因是基本公共卫生项目</w:t>
      </w:r>
      <w:r>
        <w:rPr>
          <w:rFonts w:hint="eastAsia" w:ascii="方正仿宋_GBK" w:hAnsi="方正仿宋_GBK" w:eastAsia="方正仿宋_GBK" w:cs="方正仿宋_GBK"/>
          <w:sz w:val="32"/>
          <w:szCs w:val="32"/>
          <w:lang w:val="en-US" w:eastAsia="zh-CN"/>
        </w:rPr>
        <w:t>收入</w:t>
      </w:r>
      <w:r>
        <w:rPr>
          <w:rFonts w:hint="eastAsia" w:ascii="方正仿宋_GBK" w:hAnsi="方正仿宋_GBK" w:eastAsia="方正仿宋_GBK" w:cs="方正仿宋_GBK"/>
          <w:sz w:val="32"/>
          <w:szCs w:val="32"/>
        </w:rPr>
        <w:t>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结转结余情况。2024年度年末一般公共预算财政拨款结转和结余0.00万元，与2023年度相比无增减。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408.28万元。其中：人员经费408.28万元，与2023年度相比，增加38.23万元，增长10.3%，主要原因是本年度补缴社会保险费，养老保险及职业年金。人员经费用途主要包括人员基本工资、绩效工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保险</w:t>
      </w:r>
      <w:r>
        <w:rPr>
          <w:rFonts w:hint="eastAsia" w:ascii="方正仿宋_GBK" w:hAnsi="方正仿宋_GBK" w:eastAsia="方正仿宋_GBK" w:cs="方正仿宋_GBK"/>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本单位2024年度无政府性基金预算财政拨款收支。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2024年度“三公”经费支出共计0.00万元，较年初预算数增加0.00万元，无变化。较上年支出数增加0.00万元，无变化。我单位属于公益二类差额拨款单位，财政未保障我单位“三公”经费。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1.本单位2024年度无因公出国（境）费用0.00万元，费用支出较年初预算数增加0.00万元，无变化。较上年支出数增加0.00万元，无变化。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2.本单位2024年度公务车购置费用0.00万元，费用支出较年初预算数增加0.00万元，无变化。较上年支出数增加0.00万元，无变化。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3.本单位2024年度公务车运行维护费0.00万元，费用支出较年初预算数增加0.00万元，无变化。较上年支出数增加0.00万元，无变化。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4.本单位2024年度公务接待费0.00万元，费用支出较年初预算数增加0.00万元，无变化。较上年支出数增加0.00万元，无变化。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部门因公出国（境）共计0个团组，0人；公务用车购置0辆，公务车保有量为0辆；国内公务接待0批次0人，其中：国内外事接待0批次，0人；国（境）外公务接待0批次，0人。2024年本部门人均接待费0.00元，车均购置费0.00万元，车均维护费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（一）财政拨款会议费、培训费和差旅费情况说明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我单位属于差额补助事业单位，财政未保障我单位会议费和培训费。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部门政府采购支出总额1.31万元，其中：政府采购货物支出1.31万元、政府采购工程支出0.00万元、政府采购服务支出0.00万元。授予中小企业合同金额1.31万元，占政府采购支出总额的100.0%，其中：授予小微企业合同金额1.31万元，占政府采购支出总额的100.0%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lang w:eastAsia="zh-CN"/>
        </w:rPr>
        <w:t>、</w:t>
      </w:r>
      <w:bookmarkStart w:id="0" w:name="_GoBack"/>
      <w:bookmarkEnd w:id="0"/>
      <w:r>
        <w:rPr>
          <w:rFonts w:hint="eastAsia" w:ascii="方正黑体_GBK" w:hAnsi="方正黑体_GBK" w:eastAsia="方正黑体_GBK" w:cs="方正黑体_GBK"/>
          <w:sz w:val="32"/>
          <w:szCs w:val="32"/>
        </w:rPr>
        <w:t>预算绩效管理情况说明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根据预算绩效管理要求，我院对3个项目开展了绩效自评，其中，以填报自评表形式开展自评3项，涉及资金83万元；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1.绩效目标自评表详见公开报表；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2.绩效自评报告或案例，我院无第三方评价；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3.关于绩效自评结果的说明。本年度基本药物、基本公卫等各项工作顺利完成，达到了年初工作计划，自评绩效目标完成良好。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（三）重点绩效评价结果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我单位无重点项目评价。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（五）使用非财政拨款结余（含专用结余）：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本单位决算公开信息反馈和联系方式：李蕾02385880216</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D0F17"/>
    <w:rsid w:val="0BB377CC"/>
    <w:rsid w:val="106843F9"/>
    <w:rsid w:val="1D0935EC"/>
    <w:rsid w:val="20971013"/>
    <w:rsid w:val="361F2280"/>
    <w:rsid w:val="464E3D9E"/>
    <w:rsid w:val="4F4246BC"/>
    <w:rsid w:val="50100316"/>
    <w:rsid w:val="52860D64"/>
    <w:rsid w:val="55A41C2D"/>
    <w:rsid w:val="74C27582"/>
    <w:rsid w:val="77C734F3"/>
    <w:rsid w:val="7DBF477A"/>
    <w:rsid w:val="7E1F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3925</Words>
  <Characters>4363</Characters>
  <Lines>0</Lines>
  <Paragraphs>0</Paragraphs>
  <TotalTime>15</TotalTime>
  <ScaleCrop>false</ScaleCrop>
  <LinksUpToDate>false</LinksUpToDate>
  <CharactersWithSpaces>4364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2025-10-21T01:50:00Z</dcterms:created>
  <dc:creator>Administrator</dc:creator>
  <cp:lastModifiedBy>Administrator</cp:lastModifiedBy>
  <dcterms:modified xsi:type="dcterms:W3CDTF">2025-10-23T09:11:44Z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eyJoZGlkIjoiM2Q4NDY2N2ZlOGVlNTg2MGNhODdmZWY4NjU3YjQxMTgiLCJ1c2VySWQiOiIzOTk2NTkwNzAifQ==</vt:lpwstr>
  </property>
  <property fmtid="{D5CDD505-2E9C-101B-9397-08002B2CF9AE}" pid="4" name="ICV">
    <vt:lpwstr>6C7167B7E2FB42E9B3297F1DDEDCEA59_12</vt:lpwstr>
  </property>
</Properties>
</file>