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882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小标宋_GBK" w:cs="Times New Roman"/>
          <w:color w:val="000000" w:themeColor="text1"/>
          <w:szCs w:val="32"/>
          <w:lang w:eastAsia="zh-CN"/>
          <w14:textFill>
            <w14:solidFill>
              <w14:schemeClr w14:val="tx1"/>
            </w14:solidFill>
          </w14:textFill>
        </w:rPr>
      </w:pPr>
      <mc:AlternateContent>
        <mc:Choice Requires="wpsCustomData">
          <wpsCustomData:docfieldStart id="0" docfieldname="Content" hidden="0" print="1" readonly="0" index="1"/>
        </mc:Choice>
      </mc:AlternateContent>
      <w:r>
        <w:rPr>
          <w:rStyle w:val="28"/>
          <w:rFonts w:hint="eastAsia" w:eastAsia="方正小标宋_GBK" w:cs="Times New Roman"/>
          <w:b w:val="0"/>
          <w:bCs/>
          <w:color w:val="000000" w:themeColor="text1"/>
          <w:sz w:val="44"/>
          <w:szCs w:val="44"/>
          <w:lang w:eastAsia="zh-CN"/>
          <w14:textFill>
            <w14:solidFill>
              <w14:schemeClr w14:val="tx1"/>
            </w14:solidFill>
          </w14:textFill>
        </w:rPr>
        <w:t>重庆市綦江区文化和旅游发展委员会202</w:t>
      </w:r>
      <w:r>
        <w:rPr>
          <w:rStyle w:val="28"/>
          <w:rFonts w:hint="eastAsia" w:eastAsia="方正小标宋_GBK" w:cs="Times New Roman"/>
          <w:b w:val="0"/>
          <w:bCs/>
          <w:color w:val="000000" w:themeColor="text1"/>
          <w:sz w:val="44"/>
          <w:szCs w:val="44"/>
          <w:lang w:val="en-US" w:eastAsia="zh-CN"/>
          <w14:textFill>
            <w14:solidFill>
              <w14:schemeClr w14:val="tx1"/>
            </w14:solidFill>
          </w14:textFill>
        </w:rPr>
        <w:t>5</w:t>
      </w:r>
      <w:r>
        <w:rPr>
          <w:rStyle w:val="28"/>
          <w:rFonts w:hint="eastAsia" w:eastAsia="方正小标宋_GBK" w:cs="Times New Roman"/>
          <w:b w:val="0"/>
          <w:bCs/>
          <w:color w:val="000000" w:themeColor="text1"/>
          <w:sz w:val="44"/>
          <w:szCs w:val="44"/>
          <w:lang w:eastAsia="zh-CN"/>
          <w14:textFill>
            <w14:solidFill>
              <w14:schemeClr w14:val="tx1"/>
            </w14:solidFill>
          </w14:textFill>
        </w:rPr>
        <w:t>年政府信息公开工作年度报告</w:t>
      </w:r>
    </w:p>
    <w:p w14:paraId="3916405C">
      <w:pPr>
        <w:spacing w:line="600" w:lineRule="exact"/>
        <w:ind w:firstLine="632" w:firstLineChars="200"/>
        <w:rPr>
          <w:rFonts w:hint="eastAsia"/>
          <w:color w:val="000000" w:themeColor="text1"/>
          <w:szCs w:val="32"/>
          <w14:textFill>
            <w14:solidFill>
              <w14:schemeClr w14:val="tx1"/>
            </w14:solidFill>
          </w14:textFill>
        </w:rPr>
      </w:pPr>
    </w:p>
    <w:p w14:paraId="76E6EFDE">
      <w:pPr>
        <w:spacing w:line="600" w:lineRule="exact"/>
        <w:ind w:firstLine="632" w:firstLineChars="200"/>
        <w:rPr>
          <w:rFonts w:hint="eastAsia" w:eastAsia="方正仿宋_GBK"/>
          <w:color w:val="000000" w:themeColor="text1"/>
          <w:szCs w:val="32"/>
          <w:lang w:eastAsia="zh-CN"/>
          <w14:textFill>
            <w14:solidFill>
              <w14:schemeClr w14:val="tx1"/>
            </w14:solidFill>
          </w14:textFill>
        </w:rPr>
      </w:pPr>
      <w:r>
        <w:rPr>
          <w:rFonts w:hint="eastAsia"/>
          <w:color w:val="000000" w:themeColor="text1"/>
          <w:szCs w:val="32"/>
          <w14:textFill>
            <w14:solidFill>
              <w14:schemeClr w14:val="tx1"/>
            </w14:solidFill>
          </w14:textFill>
        </w:rPr>
        <w:t>根据《政府信息公开条例》第五十条、《国务院办公厅政府信息与政务公开办公室关于印发中华人民共和国政府信息公开工作年度报告格式的通知》（国办公开办函〔2021〕30号）要求，</w:t>
      </w:r>
      <w:r>
        <w:rPr>
          <w:rFonts w:hint="eastAsia"/>
          <w:color w:val="000000" w:themeColor="text1"/>
          <w:szCs w:val="32"/>
          <w:lang w:eastAsia="zh-CN"/>
          <w14:textFill>
            <w14:solidFill>
              <w14:schemeClr w14:val="tx1"/>
            </w14:solidFill>
          </w14:textFill>
        </w:rPr>
        <w:t>编制本报告。</w:t>
      </w:r>
    </w:p>
    <w:p w14:paraId="2094A5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lang w:eastAsia="zh-CN"/>
          <w14:textFill>
            <w14:solidFill>
              <w14:schemeClr w14:val="tx1"/>
            </w14:solidFill>
          </w14:textFill>
        </w:rPr>
        <w:t>一、</w:t>
      </w:r>
      <w:r>
        <w:rPr>
          <w:rFonts w:hint="eastAsia" w:ascii="方正黑体_GBK" w:hAnsi="方正黑体_GBK" w:eastAsia="方正黑体_GBK" w:cs="方正黑体_GBK"/>
          <w:color w:val="000000" w:themeColor="text1"/>
          <w:szCs w:val="32"/>
          <w14:textFill>
            <w14:solidFill>
              <w14:schemeClr w14:val="tx1"/>
            </w14:solidFill>
          </w14:textFill>
        </w:rPr>
        <w:t>总体情况</w:t>
      </w:r>
    </w:p>
    <w:p w14:paraId="17F08E3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2025年，</w:t>
      </w:r>
      <w:r>
        <w:rPr>
          <w:rFonts w:hint="eastAsia"/>
          <w:color w:val="000000" w:themeColor="text1"/>
          <w:szCs w:val="32"/>
          <w:lang w:eastAsia="zh-CN"/>
          <w14:textFill>
            <w14:solidFill>
              <w14:schemeClr w14:val="tx1"/>
            </w14:solidFill>
          </w14:textFill>
        </w:rPr>
        <w:t>我</w:t>
      </w:r>
      <w:r>
        <w:rPr>
          <w:rFonts w:hint="eastAsia"/>
          <w:color w:val="000000" w:themeColor="text1"/>
          <w:szCs w:val="32"/>
          <w14:textFill>
            <w14:solidFill>
              <w14:schemeClr w14:val="tx1"/>
            </w14:solidFill>
          </w14:textFill>
        </w:rPr>
        <w:t>委坚持以习近平新时代中国特色社会主义思想为指导，深入学习贯彻党的二十大</w:t>
      </w:r>
      <w:r>
        <w:rPr>
          <w:rFonts w:hint="eastAsia"/>
          <w:color w:val="000000" w:themeColor="text1"/>
          <w:szCs w:val="32"/>
          <w:lang w:eastAsia="zh-CN"/>
          <w14:textFill>
            <w14:solidFill>
              <w14:schemeClr w14:val="tx1"/>
            </w14:solidFill>
          </w14:textFill>
        </w:rPr>
        <w:t>和</w:t>
      </w:r>
      <w:bookmarkStart w:id="0" w:name="_GoBack"/>
      <w:bookmarkEnd w:id="0"/>
      <w:r>
        <w:rPr>
          <w:rFonts w:hint="eastAsia"/>
          <w:color w:val="000000" w:themeColor="text1"/>
          <w:szCs w:val="32"/>
          <w14:textFill>
            <w14:solidFill>
              <w14:schemeClr w14:val="tx1"/>
            </w14:solidFill>
          </w14:textFill>
        </w:rPr>
        <w:t>二十届历次全会精神，严格遵循《政府信息公开条例》及市、区关于政务公开工作的系列部署要求，将信息公开与核心业务同推进。健全制度体系、优化公开平台，通过官网、政务新媒体等精准推送政策、文旅动态等关键信息，完善政务公开专区服务，强化监督培训，推动信息公开与文旅发展深度融合，提升政务公开质效，为綦江文旅高质量发展营造透明规范的政务环境。</w:t>
      </w:r>
    </w:p>
    <w:p w14:paraId="484B319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（一）主动公开。</w:t>
      </w:r>
    </w:p>
    <w:p w14:paraId="6B6FD75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szCs w:val="32"/>
          <w14:textFill>
            <w14:solidFill>
              <w14:schemeClr w14:val="tx1"/>
            </w14:solidFill>
          </w14:textFill>
        </w:rPr>
        <w:t>我委精准聚焦文旅领域核心职责，明确公开重点，细化公开清单，全面提升信息公开的针对性和实效性。全年重点公开文旅发展政策文件、重大项目推进情况、公共文化服务供给、文旅市场监管、节假日文旅活动安排及安全提示等群众高度关注的信息，构建线上线下联动的公开格局。线上以区政府门户网站政务公开专区为核心阵地，全年累计主动公开信息204条；同步依托</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綦江文旅体</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微信公众号、微博等政务新媒体矩阵，多形式、多渠道推送信息</w:t>
      </w:r>
      <w:r>
        <w:rPr>
          <w:rFonts w:hint="eastAsia" w:cs="Times New Roman"/>
          <w:color w:val="000000" w:themeColor="text1"/>
          <w:szCs w:val="32"/>
          <w:lang w:val="en-US" w:eastAsia="zh-CN"/>
          <w14:textFill>
            <w14:solidFill>
              <w14:schemeClr w14:val="tx1"/>
            </w14:solidFill>
          </w14:textFill>
        </w:rPr>
        <w:t>800余条</w:t>
      </w:r>
      <w:r>
        <w:rPr>
          <w:rFonts w:hint="default" w:ascii="Times New Roman" w:hAnsi="Times New Roman" w:eastAsia="方正仿宋_GBK" w:cs="Times New Roman"/>
          <w:color w:val="000000" w:themeColor="text1"/>
          <w:szCs w:val="32"/>
          <w14:textFill>
            <w14:solidFill>
              <w14:schemeClr w14:val="tx1"/>
            </w14:solidFill>
          </w14:textFill>
        </w:rPr>
        <w:t>，提升信息传播覆盖面与触达效率；线下依托区图书馆政务公开专区，提供纸质资料查阅、信息咨询等便民服务。通过多维度公开举措，确保政务信息及时、准确、全面传递，有效满足社会公众对文旅政务信息的知晓需求。</w:t>
      </w:r>
    </w:p>
    <w:p w14:paraId="03BCCB9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szCs w:val="32"/>
          <w:lang w:eastAsia="zh-CN"/>
          <w14:textFill>
            <w14:solidFill>
              <w14:schemeClr w14:val="tx1"/>
            </w14:solidFill>
          </w14:textFill>
        </w:rPr>
        <w:t>依申请公开。</w:t>
      </w:r>
    </w:p>
    <w:p w14:paraId="3B06A6D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Cs w:val="32"/>
          <w:lang w:eastAsia="zh-CN"/>
          <w14:textFill>
            <w14:solidFill>
              <w14:schemeClr w14:val="tx1"/>
            </w14:solidFill>
          </w14:textFill>
        </w:rPr>
      </w:pPr>
      <w:r>
        <w:rPr>
          <w:rFonts w:hint="eastAsia" w:ascii="Times New Roman" w:hAnsi="Times New Roman" w:eastAsia="方正仿宋_GBK" w:cs="Times New Roman"/>
          <w:color w:val="000000" w:themeColor="text1"/>
          <w:szCs w:val="32"/>
          <w:lang w:eastAsia="zh-CN"/>
          <w14:textFill>
            <w14:solidFill>
              <w14:schemeClr w14:val="tx1"/>
            </w14:solidFill>
          </w14:textFill>
        </w:rPr>
        <w:t>我委严格遵循“公正、公平、便民”原则，健全完善申请受理、审查、处理、答复全流程工作机制，规范办理程序，确保每一件申请都得到依法依规、严谨细致</w:t>
      </w:r>
      <w:r>
        <w:rPr>
          <w:rFonts w:hint="eastAsia" w:cs="Times New Roman"/>
          <w:color w:val="000000" w:themeColor="text1"/>
          <w:szCs w:val="32"/>
          <w:lang w:eastAsia="zh-CN"/>
          <w14:textFill>
            <w14:solidFill>
              <w14:schemeClr w14:val="tx1"/>
            </w14:solidFill>
          </w14:textFill>
        </w:rPr>
        <w:t>的</w:t>
      </w:r>
      <w:r>
        <w:rPr>
          <w:rFonts w:hint="eastAsia" w:ascii="Times New Roman" w:hAnsi="Times New Roman" w:eastAsia="方正仿宋_GBK" w:cs="Times New Roman"/>
          <w:color w:val="000000" w:themeColor="text1"/>
          <w:szCs w:val="32"/>
          <w:lang w:eastAsia="zh-CN"/>
          <w14:textFill>
            <w14:solidFill>
              <w14:schemeClr w14:val="tx1"/>
            </w14:solidFill>
          </w14:textFill>
        </w:rPr>
        <w:t>处理。通过线上平台、信函、现场提交等多种渠道畅通申请途径，为申请人提供便捷服务；对收到的政府信息公开申请，精准甄别申请内容，明确信息属性，区分不同情形规范作出答复，同时做好与申请人的沟通解释工作，及时回应合理诉求。2025年度，我委共受理政府信息公开申请</w:t>
      </w:r>
      <w:r>
        <w:rPr>
          <w:rFonts w:hint="eastAsia" w:cs="Times New Roman"/>
          <w:color w:val="000000" w:themeColor="text1"/>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Cs w:val="32"/>
          <w:lang w:eastAsia="zh-CN"/>
          <w14:textFill>
            <w14:solidFill>
              <w14:schemeClr w14:val="tx1"/>
            </w14:solidFill>
          </w14:textFill>
        </w:rPr>
        <w:t>件，均在法定时限内办结答复，答复率100%</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有效保障了公民、法人和其他组织依法获取政府信息的权利。</w:t>
      </w:r>
    </w:p>
    <w:p w14:paraId="570D5DA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（三）政府信息管理。</w:t>
      </w:r>
    </w:p>
    <w:p w14:paraId="2E5E396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000000" w:themeColor="text1"/>
          <w:szCs w:val="32"/>
          <w14:textFill>
            <w14:solidFill>
              <w14:schemeClr w14:val="tx1"/>
            </w14:solidFill>
          </w14:textFill>
        </w:rPr>
      </w:pPr>
      <w:r>
        <w:rPr>
          <w:rFonts w:hint="eastAsia" w:cs="Times New Roman"/>
          <w:color w:val="000000" w:themeColor="text1"/>
          <w:szCs w:val="32"/>
          <w:lang w:eastAsia="zh-CN"/>
          <w14:textFill>
            <w14:solidFill>
              <w14:schemeClr w14:val="tx1"/>
            </w14:solidFill>
          </w14:textFill>
        </w:rPr>
        <w:t>我</w:t>
      </w:r>
      <w:r>
        <w:rPr>
          <w:rFonts w:hint="default" w:ascii="Times New Roman" w:hAnsi="Times New Roman" w:eastAsia="方正仿宋_GBK" w:cs="Times New Roman"/>
          <w:color w:val="000000" w:themeColor="text1"/>
          <w:szCs w:val="32"/>
          <w14:textFill>
            <w14:solidFill>
              <w14:schemeClr w14:val="tx1"/>
            </w14:solidFill>
          </w14:textFill>
        </w:rPr>
        <w:t>委始终坚持以《政府信息公开条例》为遵循，紧扣文化</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旅游</w:t>
      </w:r>
      <w:r>
        <w:rPr>
          <w:rFonts w:hint="eastAsia" w:cs="Times New Roman"/>
          <w:color w:val="000000" w:themeColor="text1"/>
          <w:szCs w:val="32"/>
          <w:lang w:eastAsia="zh-CN"/>
          <w14:textFill>
            <w14:solidFill>
              <w14:schemeClr w14:val="tx1"/>
            </w14:solidFill>
          </w14:textFill>
        </w:rPr>
        <w:t>、广电、体育</w:t>
      </w:r>
      <w:r>
        <w:rPr>
          <w:rFonts w:hint="default" w:ascii="Times New Roman" w:hAnsi="Times New Roman" w:eastAsia="方正仿宋_GBK" w:cs="Times New Roman"/>
          <w:color w:val="000000" w:themeColor="text1"/>
          <w:szCs w:val="32"/>
          <w14:textFill>
            <w14:solidFill>
              <w14:schemeClr w14:val="tx1"/>
            </w14:solidFill>
          </w14:textFill>
        </w:rPr>
        <w:t>领域工作重点，持续夯实信息管理基础，提升规范化水平。一是健全源头管理机制，进一步完善政府信息公开属性认定、公开发布审查等制度，将公开审查嵌入信息生成、流转、发布全流程，严格执行</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三审三校</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先审查后公开</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原则，明确各科室</w:t>
      </w:r>
      <w:r>
        <w:rPr>
          <w:rFonts w:hint="eastAsia" w:cs="Times New Roman"/>
          <w:color w:val="000000" w:themeColor="text1"/>
          <w:szCs w:val="32"/>
          <w:lang w:eastAsia="zh-CN"/>
          <w14:textFill>
            <w14:solidFill>
              <w14:schemeClr w14:val="tx1"/>
            </w14:solidFill>
          </w14:textFill>
        </w:rPr>
        <w:t>（单位）</w:t>
      </w:r>
      <w:r>
        <w:rPr>
          <w:rFonts w:hint="default" w:ascii="Times New Roman" w:hAnsi="Times New Roman" w:eastAsia="方正仿宋_GBK" w:cs="Times New Roman"/>
          <w:color w:val="000000" w:themeColor="text1"/>
          <w:szCs w:val="32"/>
          <w14:textFill>
            <w14:solidFill>
              <w14:schemeClr w14:val="tx1"/>
            </w14:solidFill>
          </w14:textFill>
        </w:rPr>
        <w:t>信息管理责任，确保公开信息真实准确、合规合法。</w:t>
      </w:r>
      <w:r>
        <w:rPr>
          <w:rFonts w:hint="eastAsia" w:cs="Times New Roman"/>
          <w:color w:val="000000" w:themeColor="text1"/>
          <w:szCs w:val="32"/>
          <w:lang w:eastAsia="zh-CN"/>
          <w14:textFill>
            <w14:solidFill>
              <w14:schemeClr w14:val="tx1"/>
            </w14:solidFill>
          </w14:textFill>
        </w:rPr>
        <w:t>二</w:t>
      </w:r>
      <w:r>
        <w:rPr>
          <w:rFonts w:hint="default" w:ascii="Times New Roman" w:hAnsi="Times New Roman" w:eastAsia="方正仿宋_GBK" w:cs="Times New Roman"/>
          <w:color w:val="000000" w:themeColor="text1"/>
          <w:szCs w:val="32"/>
          <w14:textFill>
            <w14:solidFill>
              <w14:schemeClr w14:val="tx1"/>
            </w14:solidFill>
          </w14:textFill>
        </w:rPr>
        <w:t>是强化平台日常监测。加强政府网站、政务新媒体日常监测，对发布内容开展错敏信息排查，及时发现并纠正表述偏差、错漏等问题</w:t>
      </w:r>
      <w:r>
        <w:rPr>
          <w:rFonts w:hint="eastAsia" w:cs="Times New Roman"/>
          <w:color w:val="000000" w:themeColor="text1"/>
          <w:szCs w:val="32"/>
          <w:lang w:eastAsia="zh-CN"/>
          <w14:textFill>
            <w14:solidFill>
              <w14:schemeClr w14:val="tx1"/>
            </w14:solidFill>
          </w14:textFill>
        </w:rPr>
        <w:t>，</w:t>
      </w:r>
      <w:r>
        <w:rPr>
          <w:rFonts w:hint="default" w:ascii="Times New Roman" w:hAnsi="Times New Roman" w:eastAsia="方正仿宋_GBK" w:cs="Times New Roman"/>
          <w:color w:val="000000" w:themeColor="text1"/>
          <w:szCs w:val="32"/>
          <w14:textFill>
            <w14:solidFill>
              <w14:schemeClr w14:val="tx1"/>
            </w14:solidFill>
          </w14:textFill>
        </w:rPr>
        <w:t>切实维护政务信息发布权威性。</w:t>
      </w:r>
    </w:p>
    <w:p w14:paraId="40F880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（四）政府信息公开平台建设。</w:t>
      </w:r>
    </w:p>
    <w:p w14:paraId="3BE3868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ascii="Times New Roman" w:hAnsi="Times New Roman" w:eastAsia="方正仿宋_GBK" w:cs="Times New Roman"/>
          <w:color w:val="000000" w:themeColor="text1"/>
          <w:szCs w:val="32"/>
          <w:lang w:eastAsia="zh-CN"/>
          <w14:textFill>
            <w14:solidFill>
              <w14:schemeClr w14:val="tx1"/>
            </w14:solidFill>
          </w14:textFill>
        </w:rPr>
        <w:t>一是优化主平台栏目架构</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完善文旅等重点领域栏目设置，细化分类、强化数据互通，提升检索便捷性。二是拓展多渠道公开矩阵</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依托官网及“到綦江+”APP、文旅官方新媒体等平台同步发布信息，增强传播时效与覆盖面。三是强化平台巡检与安全防护</w:t>
      </w:r>
      <w:r>
        <w:rPr>
          <w:rFonts w:hint="eastAsia" w:cs="Times New Roman"/>
          <w:color w:val="000000" w:themeColor="text1"/>
          <w:szCs w:val="32"/>
          <w:lang w:eastAsia="zh-CN"/>
          <w14:textFill>
            <w14:solidFill>
              <w14:schemeClr w14:val="tx1"/>
            </w14:solidFill>
          </w14:textFill>
        </w:rPr>
        <w:t>。</w:t>
      </w:r>
      <w:r>
        <w:rPr>
          <w:rFonts w:hint="eastAsia" w:ascii="Times New Roman" w:hAnsi="Times New Roman" w:eastAsia="方正仿宋_GBK" w:cs="Times New Roman"/>
          <w:color w:val="000000" w:themeColor="text1"/>
          <w:szCs w:val="32"/>
          <w:lang w:eastAsia="zh-CN"/>
          <w14:textFill>
            <w14:solidFill>
              <w14:schemeClr w14:val="tx1"/>
            </w14:solidFill>
          </w14:textFill>
        </w:rPr>
        <w:t>落实安全保护要求，常态化巡检、规范权限，全年未发生安全事件，保障平台稳定运行。</w:t>
      </w:r>
    </w:p>
    <w:p w14:paraId="0E0ADD4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（五）监督保障。</w:t>
      </w:r>
    </w:p>
    <w:p w14:paraId="48B355C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Cs w:val="32"/>
          <w14:textFill>
            <w14:solidFill>
              <w14:schemeClr w14:val="tx1"/>
            </w14:solidFill>
          </w14:textFill>
        </w:rPr>
      </w:pPr>
      <w:r>
        <w:rPr>
          <w:rFonts w:hint="eastAsia" w:ascii="Times New Roman" w:hAnsi="Times New Roman" w:eastAsia="方正仿宋_GBK" w:cs="Times New Roman"/>
          <w:color w:val="000000" w:themeColor="text1"/>
          <w:szCs w:val="32"/>
          <w14:textFill>
            <w14:solidFill>
              <w14:schemeClr w14:val="tx1"/>
            </w14:solidFill>
          </w14:textFill>
        </w:rPr>
        <w:t>我委强化政务信息公开监督保障。健全组织机制，明确办公室牵头、多</w:t>
      </w:r>
      <w:r>
        <w:rPr>
          <w:rFonts w:hint="eastAsia" w:cs="Times New Roman"/>
          <w:color w:val="000000" w:themeColor="text1"/>
          <w:szCs w:val="32"/>
          <w:lang w:eastAsia="zh-CN"/>
          <w14:textFill>
            <w14:solidFill>
              <w14:schemeClr w14:val="tx1"/>
            </w14:solidFill>
          </w14:textFill>
        </w:rPr>
        <w:t>科室（单位）</w:t>
      </w:r>
      <w:r>
        <w:rPr>
          <w:rFonts w:hint="eastAsia" w:ascii="Times New Roman" w:hAnsi="Times New Roman" w:eastAsia="方正仿宋_GBK" w:cs="Times New Roman"/>
          <w:color w:val="000000" w:themeColor="text1"/>
          <w:szCs w:val="32"/>
          <w14:textFill>
            <w14:solidFill>
              <w14:schemeClr w14:val="tx1"/>
            </w14:solidFill>
          </w14:textFill>
        </w:rPr>
        <w:t>协同格局，配备专职人员，细化责任分工。严格落实“三审三校”及保密审查制度，保障公开信息合法准确。强化业务培训与督导考核，主动接受上级指导和社会监督，将公开成效纳入年度考核，切实保障群众知情权。</w:t>
      </w:r>
    </w:p>
    <w:p w14:paraId="5942FB9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二、主动公开政府信息情况</w:t>
      </w:r>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69E4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28E396EF">
            <w:pPr>
              <w:widowControl/>
              <w:jc w:val="center"/>
            </w:pPr>
            <w:r>
              <w:rPr>
                <w:rFonts w:hint="eastAsia" w:eastAsia="宋体" w:cs="宋体"/>
                <w:kern w:val="0"/>
                <w:sz w:val="20"/>
                <w:lang w:bidi="ar"/>
              </w:rPr>
              <w:t>第二十条第（一）项</w:t>
            </w:r>
          </w:p>
        </w:tc>
      </w:tr>
      <w:tr w14:paraId="070B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3837CFA9">
            <w:pPr>
              <w:widowControl/>
              <w:jc w:val="center"/>
            </w:pPr>
            <w:r>
              <w:rPr>
                <w:rFonts w:hint="eastAsia" w:eastAsia="宋体" w:cs="宋体"/>
                <w:kern w:val="0"/>
                <w:sz w:val="20"/>
                <w:lang w:bidi="ar"/>
              </w:rPr>
              <w:t>信息内容</w:t>
            </w:r>
          </w:p>
        </w:tc>
        <w:tc>
          <w:tcPr>
            <w:tcW w:w="2435" w:type="dxa"/>
            <w:shd w:val="clear" w:color="auto" w:fill="auto"/>
            <w:tcMar>
              <w:left w:w="57" w:type="dxa"/>
              <w:right w:w="57" w:type="dxa"/>
            </w:tcMar>
            <w:vAlign w:val="center"/>
          </w:tcPr>
          <w:p w14:paraId="748EB183">
            <w:pPr>
              <w:widowControl/>
              <w:jc w:val="center"/>
            </w:pPr>
            <w:r>
              <w:rPr>
                <w:rFonts w:hint="eastAsia" w:eastAsia="宋体" w:cs="宋体"/>
                <w:kern w:val="0"/>
                <w:sz w:val="20"/>
                <w:lang w:bidi="ar"/>
              </w:rPr>
              <w:t>本年制发件数</w:t>
            </w:r>
          </w:p>
        </w:tc>
        <w:tc>
          <w:tcPr>
            <w:tcW w:w="2435" w:type="dxa"/>
            <w:shd w:val="clear" w:color="auto" w:fill="auto"/>
            <w:tcMar>
              <w:left w:w="57" w:type="dxa"/>
              <w:right w:w="57" w:type="dxa"/>
            </w:tcMar>
            <w:vAlign w:val="center"/>
          </w:tcPr>
          <w:p w14:paraId="2CF4BEA6">
            <w:pPr>
              <w:widowControl/>
              <w:jc w:val="center"/>
            </w:pPr>
            <w:r>
              <w:rPr>
                <w:rFonts w:hint="eastAsia" w:eastAsia="宋体" w:cs="宋体"/>
                <w:kern w:val="0"/>
                <w:sz w:val="20"/>
                <w:lang w:bidi="ar"/>
              </w:rPr>
              <w:t>本年废止件数</w:t>
            </w:r>
          </w:p>
        </w:tc>
        <w:tc>
          <w:tcPr>
            <w:tcW w:w="2435" w:type="dxa"/>
            <w:shd w:val="clear" w:color="auto" w:fill="auto"/>
            <w:tcMar>
              <w:left w:w="57" w:type="dxa"/>
              <w:right w:w="57" w:type="dxa"/>
            </w:tcMar>
            <w:vAlign w:val="center"/>
          </w:tcPr>
          <w:p w14:paraId="65AA3578">
            <w:pPr>
              <w:widowControl/>
              <w:jc w:val="center"/>
            </w:pPr>
            <w:r>
              <w:rPr>
                <w:rFonts w:hint="eastAsia" w:eastAsia="宋体" w:cs="宋体"/>
                <w:kern w:val="0"/>
                <w:sz w:val="20"/>
                <w:lang w:bidi="ar"/>
              </w:rPr>
              <w:t>现行有效件数</w:t>
            </w:r>
          </w:p>
        </w:tc>
      </w:tr>
      <w:tr w14:paraId="58F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22C657BC">
            <w:pPr>
              <w:widowControl/>
              <w:jc w:val="left"/>
            </w:pPr>
            <w:r>
              <w:rPr>
                <w:rFonts w:hint="eastAsia" w:eastAsia="宋体" w:cs="宋体"/>
                <w:kern w:val="0"/>
                <w:sz w:val="20"/>
                <w:lang w:bidi="ar"/>
              </w:rPr>
              <w:t>规章</w:t>
            </w:r>
          </w:p>
        </w:tc>
        <w:tc>
          <w:tcPr>
            <w:tcW w:w="2435" w:type="dxa"/>
            <w:shd w:val="clear" w:color="auto" w:fill="auto"/>
            <w:tcMar>
              <w:left w:w="57" w:type="dxa"/>
              <w:right w:w="57" w:type="dxa"/>
            </w:tcMar>
            <w:vAlign w:val="center"/>
          </w:tcPr>
          <w:p w14:paraId="6707F55E">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4A4C47F9">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0D63A00E">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14:paraId="58C5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7C31FE1A">
            <w:pPr>
              <w:widowControl/>
              <w:jc w:val="left"/>
            </w:pPr>
            <w:r>
              <w:rPr>
                <w:rFonts w:hint="eastAsia" w:eastAsia="宋体" w:cs="宋体"/>
                <w:kern w:val="0"/>
                <w:sz w:val="20"/>
                <w:lang w:bidi="ar"/>
              </w:rPr>
              <w:t>行政规范性文件</w:t>
            </w:r>
          </w:p>
        </w:tc>
        <w:tc>
          <w:tcPr>
            <w:tcW w:w="2435" w:type="dxa"/>
            <w:shd w:val="clear" w:color="auto" w:fill="auto"/>
            <w:tcMar>
              <w:left w:w="57" w:type="dxa"/>
              <w:right w:w="57" w:type="dxa"/>
            </w:tcMar>
            <w:vAlign w:val="center"/>
          </w:tcPr>
          <w:p w14:paraId="3BCB2E92">
            <w:pPr>
              <w:widowControl/>
              <w:jc w:val="center"/>
              <w:rPr>
                <w:rFonts w:hint="eastAsia" w:eastAsia="宋体"/>
                <w:lang w:val="en-US" w:eastAsia="zh-CN"/>
              </w:rPr>
            </w:pPr>
            <w:r>
              <w:rPr>
                <w:rFonts w:hint="eastAsia" w:eastAsia="宋体" w:cs="宋体"/>
                <w:kern w:val="0"/>
                <w:sz w:val="20"/>
                <w:lang w:val="en-US" w:eastAsia="zh-CN" w:bidi="ar"/>
              </w:rPr>
              <w:t>1</w:t>
            </w:r>
          </w:p>
        </w:tc>
        <w:tc>
          <w:tcPr>
            <w:tcW w:w="2435" w:type="dxa"/>
            <w:shd w:val="clear" w:color="auto" w:fill="auto"/>
            <w:tcMar>
              <w:left w:w="57" w:type="dxa"/>
              <w:right w:w="57" w:type="dxa"/>
            </w:tcMar>
            <w:vAlign w:val="center"/>
          </w:tcPr>
          <w:p w14:paraId="0781FDA1">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338614E4">
            <w:pPr>
              <w:widowControl/>
              <w:jc w:val="center"/>
              <w:rPr>
                <w:rFonts w:hint="eastAsia" w:eastAsiaTheme="minorEastAsia"/>
                <w:lang w:val="en-US" w:eastAsia="zh-CN"/>
              </w:rPr>
            </w:pPr>
            <w:r>
              <w:rPr>
                <w:rFonts w:hint="eastAsia" w:cs="Calibri" w:eastAsiaTheme="minorEastAsia"/>
                <w:kern w:val="0"/>
                <w:sz w:val="21"/>
                <w:szCs w:val="21"/>
                <w:lang w:val="en-US" w:eastAsia="zh-CN" w:bidi="ar"/>
              </w:rPr>
              <w:t>3</w:t>
            </w:r>
          </w:p>
        </w:tc>
      </w:tr>
      <w:tr w14:paraId="36D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71029F9A">
            <w:pPr>
              <w:widowControl/>
              <w:jc w:val="center"/>
            </w:pPr>
            <w:r>
              <w:rPr>
                <w:rFonts w:hint="eastAsia" w:eastAsia="宋体" w:cs="宋体"/>
                <w:kern w:val="0"/>
                <w:sz w:val="20"/>
                <w:lang w:bidi="ar"/>
              </w:rPr>
              <w:t>第二十条第（五）项</w:t>
            </w:r>
          </w:p>
        </w:tc>
      </w:tr>
      <w:tr w14:paraId="0173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B70C093">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76BF85DC">
            <w:pPr>
              <w:widowControl/>
              <w:jc w:val="center"/>
            </w:pPr>
            <w:r>
              <w:rPr>
                <w:rFonts w:hint="eastAsia" w:eastAsia="宋体" w:cs="宋体"/>
                <w:kern w:val="0"/>
                <w:sz w:val="20"/>
                <w:lang w:bidi="ar"/>
              </w:rPr>
              <w:t>本年处理决定数量</w:t>
            </w:r>
          </w:p>
        </w:tc>
      </w:tr>
      <w:tr w14:paraId="2D6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4080FD0">
            <w:pPr>
              <w:widowControl/>
              <w:jc w:val="left"/>
            </w:pPr>
            <w:r>
              <w:rPr>
                <w:rFonts w:hint="eastAsia" w:eastAsia="宋体" w:cs="宋体"/>
                <w:kern w:val="0"/>
                <w:sz w:val="20"/>
                <w:lang w:bidi="ar"/>
              </w:rPr>
              <w:t>行政许可</w:t>
            </w:r>
          </w:p>
        </w:tc>
        <w:tc>
          <w:tcPr>
            <w:tcW w:w="7305" w:type="dxa"/>
            <w:gridSpan w:val="3"/>
            <w:shd w:val="clear" w:color="auto" w:fill="auto"/>
            <w:tcMar>
              <w:left w:w="57" w:type="dxa"/>
              <w:right w:w="57" w:type="dxa"/>
            </w:tcMar>
            <w:vAlign w:val="center"/>
          </w:tcPr>
          <w:p w14:paraId="00CCC56A">
            <w:pPr>
              <w:widowControl/>
              <w:jc w:val="center"/>
              <w:rPr>
                <w:rFonts w:hint="default" w:eastAsiaTheme="minorEastAsia"/>
                <w:lang w:val="en-US" w:eastAsia="zh-CN"/>
              </w:rPr>
            </w:pPr>
            <w:r>
              <w:rPr>
                <w:rFonts w:hint="eastAsia" w:cs="Calibri" w:eastAsiaTheme="minorEastAsia"/>
                <w:kern w:val="0"/>
                <w:sz w:val="21"/>
                <w:szCs w:val="21"/>
                <w:lang w:val="en-US" w:eastAsia="zh-CN" w:bidi="ar"/>
              </w:rPr>
              <w:t>60</w:t>
            </w:r>
          </w:p>
        </w:tc>
      </w:tr>
      <w:tr w14:paraId="1CEB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6A7F3D59">
            <w:pPr>
              <w:widowControl/>
              <w:jc w:val="center"/>
            </w:pPr>
            <w:r>
              <w:rPr>
                <w:rFonts w:hint="eastAsia" w:eastAsia="宋体" w:cs="宋体"/>
                <w:kern w:val="0"/>
                <w:sz w:val="20"/>
                <w:lang w:bidi="ar"/>
              </w:rPr>
              <w:t>第二十条第（六）项</w:t>
            </w:r>
          </w:p>
        </w:tc>
      </w:tr>
      <w:tr w14:paraId="4A72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2F89F3E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44638724">
            <w:pPr>
              <w:widowControl/>
              <w:jc w:val="center"/>
            </w:pPr>
            <w:r>
              <w:rPr>
                <w:rFonts w:hint="eastAsia" w:eastAsia="宋体" w:cs="宋体"/>
                <w:kern w:val="0"/>
                <w:sz w:val="20"/>
                <w:lang w:bidi="ar"/>
              </w:rPr>
              <w:t>本年处理决定数量</w:t>
            </w:r>
          </w:p>
        </w:tc>
      </w:tr>
      <w:tr w14:paraId="1EB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E3E6F70">
            <w:pPr>
              <w:widowControl/>
              <w:jc w:val="left"/>
            </w:pPr>
            <w:r>
              <w:rPr>
                <w:rFonts w:hint="eastAsia" w:eastAsia="宋体" w:cs="宋体"/>
                <w:kern w:val="0"/>
                <w:sz w:val="20"/>
                <w:lang w:bidi="ar"/>
              </w:rPr>
              <w:t>行政处罚</w:t>
            </w:r>
          </w:p>
        </w:tc>
        <w:tc>
          <w:tcPr>
            <w:tcW w:w="7305" w:type="dxa"/>
            <w:gridSpan w:val="3"/>
            <w:shd w:val="clear" w:color="auto" w:fill="auto"/>
            <w:tcMar>
              <w:left w:w="57" w:type="dxa"/>
              <w:right w:w="57" w:type="dxa"/>
            </w:tcMar>
            <w:vAlign w:val="center"/>
          </w:tcPr>
          <w:p w14:paraId="6EB617CC">
            <w:pPr>
              <w:widowControl/>
              <w:jc w:val="center"/>
              <w:rPr>
                <w:rFonts w:hint="default" w:eastAsia="宋体"/>
                <w:lang w:val="en-US" w:eastAsia="zh-CN"/>
              </w:rPr>
            </w:pPr>
            <w:r>
              <w:rPr>
                <w:rFonts w:hint="eastAsia" w:eastAsia="宋体" w:cs="宋体"/>
                <w:kern w:val="0"/>
                <w:sz w:val="20"/>
                <w:lang w:val="en-US" w:eastAsia="zh-CN" w:bidi="ar"/>
              </w:rPr>
              <w:t>18</w:t>
            </w:r>
          </w:p>
        </w:tc>
      </w:tr>
      <w:tr w14:paraId="6C4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392750D">
            <w:pPr>
              <w:widowControl/>
              <w:jc w:val="left"/>
            </w:pPr>
            <w:r>
              <w:rPr>
                <w:rFonts w:hint="eastAsia" w:eastAsia="宋体" w:cs="宋体"/>
                <w:kern w:val="0"/>
                <w:sz w:val="20"/>
                <w:lang w:bidi="ar"/>
              </w:rPr>
              <w:t>行政强制</w:t>
            </w:r>
          </w:p>
        </w:tc>
        <w:tc>
          <w:tcPr>
            <w:tcW w:w="7305" w:type="dxa"/>
            <w:gridSpan w:val="3"/>
            <w:shd w:val="clear" w:color="auto" w:fill="auto"/>
            <w:tcMar>
              <w:left w:w="57" w:type="dxa"/>
              <w:right w:w="57" w:type="dxa"/>
            </w:tcMar>
            <w:vAlign w:val="center"/>
          </w:tcPr>
          <w:p w14:paraId="54E17815">
            <w:pPr>
              <w:widowControl/>
              <w:jc w:val="center"/>
              <w:rPr>
                <w:rFonts w:hint="eastAsia" w:eastAsia="宋体"/>
                <w:lang w:val="en-US" w:eastAsia="zh-CN"/>
              </w:rPr>
            </w:pPr>
            <w:r>
              <w:rPr>
                <w:rFonts w:hint="eastAsia" w:eastAsia="宋体" w:cs="宋体"/>
                <w:kern w:val="0"/>
                <w:sz w:val="20"/>
                <w:lang w:val="en-US" w:eastAsia="zh-CN" w:bidi="ar"/>
              </w:rPr>
              <w:t>0</w:t>
            </w:r>
          </w:p>
        </w:tc>
      </w:tr>
      <w:tr w14:paraId="3D2F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715001DC">
            <w:pPr>
              <w:widowControl/>
              <w:jc w:val="center"/>
            </w:pPr>
            <w:r>
              <w:rPr>
                <w:rFonts w:hint="eastAsia" w:eastAsia="宋体" w:cs="宋体"/>
                <w:kern w:val="0"/>
                <w:sz w:val="20"/>
                <w:lang w:bidi="ar"/>
              </w:rPr>
              <w:t>第二十条第（八）项</w:t>
            </w:r>
          </w:p>
        </w:tc>
      </w:tr>
      <w:tr w14:paraId="00C0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E12D58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6F2DF70B">
            <w:pPr>
              <w:widowControl/>
              <w:jc w:val="center"/>
            </w:pPr>
            <w:r>
              <w:rPr>
                <w:rFonts w:hint="eastAsia" w:eastAsia="宋体" w:cs="宋体"/>
                <w:kern w:val="0"/>
                <w:sz w:val="20"/>
                <w:lang w:bidi="ar"/>
              </w:rPr>
              <w:t>本年收费金额（单位：万元）</w:t>
            </w:r>
          </w:p>
        </w:tc>
      </w:tr>
      <w:tr w14:paraId="6AA7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4B0C006">
            <w:pPr>
              <w:widowControl/>
              <w:jc w:val="left"/>
            </w:pPr>
            <w:r>
              <w:rPr>
                <w:rFonts w:hint="eastAsia" w:eastAsia="宋体" w:cs="宋体"/>
                <w:kern w:val="0"/>
                <w:sz w:val="20"/>
                <w:lang w:bidi="ar"/>
              </w:rPr>
              <w:t>行政事业性收费</w:t>
            </w:r>
          </w:p>
        </w:tc>
        <w:tc>
          <w:tcPr>
            <w:tcW w:w="7305" w:type="dxa"/>
            <w:gridSpan w:val="3"/>
            <w:shd w:val="clear" w:color="auto" w:fill="auto"/>
            <w:tcMar>
              <w:left w:w="57" w:type="dxa"/>
              <w:right w:w="57" w:type="dxa"/>
            </w:tcMar>
            <w:vAlign w:val="center"/>
          </w:tcPr>
          <w:p w14:paraId="5F5A88BB">
            <w:pPr>
              <w:jc w:val="center"/>
              <w:rPr>
                <w:rFonts w:hint="eastAsia" w:eastAsia="方正仿宋_GBK"/>
                <w:sz w:val="24"/>
                <w:szCs w:val="24"/>
                <w:lang w:val="en-US" w:eastAsia="zh-CN"/>
              </w:rPr>
            </w:pPr>
            <w:r>
              <w:rPr>
                <w:rFonts w:hint="eastAsia"/>
                <w:sz w:val="24"/>
                <w:szCs w:val="24"/>
                <w:lang w:val="en-US" w:eastAsia="zh-CN"/>
              </w:rPr>
              <w:t>0</w:t>
            </w:r>
          </w:p>
        </w:tc>
      </w:tr>
    </w:tbl>
    <w:p w14:paraId="23591A1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三、收到和处理政府信息公开申请情况</w:t>
      </w:r>
    </w:p>
    <w:tbl>
      <w:tblPr>
        <w:tblStyle w:val="1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14:paraId="19DC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31" w:type="dxa"/>
            <w:gridSpan w:val="3"/>
            <w:vMerge w:val="restart"/>
            <w:shd w:val="clear" w:color="auto" w:fill="auto"/>
            <w:tcMar>
              <w:left w:w="108" w:type="dxa"/>
              <w:right w:w="108" w:type="dxa"/>
            </w:tcMar>
            <w:vAlign w:val="center"/>
          </w:tcPr>
          <w:p w14:paraId="16E5B5C2">
            <w:pPr>
              <w:widowControl/>
              <w:jc w:val="left"/>
              <w:rPr>
                <w:color w:val="000000" w:themeColor="text1"/>
                <w14:textFill>
                  <w14:solidFill>
                    <w14:schemeClr w14:val="tx1"/>
                  </w14:solidFill>
                </w14:textFill>
              </w:rPr>
            </w:pPr>
            <w:r>
              <w:rPr>
                <w:rFonts w:eastAsia="楷体" w:cs="楷体"/>
                <w:color w:val="000000" w:themeColor="text1"/>
                <w:kern w:val="0"/>
                <w:sz w:val="20"/>
                <w:lang w:bidi="ar"/>
                <w14:textFill>
                  <w14:solidFill>
                    <w14:schemeClr w14:val="tx1"/>
                  </w14:solidFill>
                </w14:textFill>
              </w:rPr>
              <w:t>（本列数据的勾稽关系为：第一项加第二项之和，等于第三项加第四项之和）</w:t>
            </w:r>
          </w:p>
        </w:tc>
        <w:tc>
          <w:tcPr>
            <w:tcW w:w="4817" w:type="dxa"/>
            <w:gridSpan w:val="7"/>
            <w:shd w:val="clear" w:color="auto" w:fill="auto"/>
            <w:tcMar>
              <w:left w:w="57" w:type="dxa"/>
              <w:right w:w="57" w:type="dxa"/>
            </w:tcMar>
            <w:vAlign w:val="center"/>
          </w:tcPr>
          <w:p w14:paraId="590112F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申请人情况</w:t>
            </w:r>
          </w:p>
        </w:tc>
      </w:tr>
      <w:tr w14:paraId="612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14:paraId="3E81E615">
            <w:pPr>
              <w:rPr>
                <w:color w:val="000000" w:themeColor="text1"/>
                <w:sz w:val="24"/>
                <w:szCs w:val="24"/>
                <w14:textFill>
                  <w14:solidFill>
                    <w14:schemeClr w14:val="tx1"/>
                  </w14:solidFill>
                </w14:textFill>
              </w:rPr>
            </w:pPr>
          </w:p>
        </w:tc>
        <w:tc>
          <w:tcPr>
            <w:tcW w:w="688" w:type="dxa"/>
            <w:vMerge w:val="restart"/>
            <w:shd w:val="clear" w:color="auto" w:fill="auto"/>
            <w:tcMar>
              <w:left w:w="57" w:type="dxa"/>
              <w:right w:w="57" w:type="dxa"/>
            </w:tcMar>
            <w:vAlign w:val="center"/>
          </w:tcPr>
          <w:p w14:paraId="5845CD9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自然人</w:t>
            </w:r>
          </w:p>
        </w:tc>
        <w:tc>
          <w:tcPr>
            <w:tcW w:w="3440" w:type="dxa"/>
            <w:gridSpan w:val="5"/>
            <w:shd w:val="clear" w:color="auto" w:fill="auto"/>
            <w:tcMar>
              <w:left w:w="57" w:type="dxa"/>
              <w:right w:w="57" w:type="dxa"/>
            </w:tcMar>
            <w:vAlign w:val="center"/>
          </w:tcPr>
          <w:p w14:paraId="078FDC3E">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法人或其他组织</w:t>
            </w:r>
          </w:p>
        </w:tc>
        <w:tc>
          <w:tcPr>
            <w:tcW w:w="689" w:type="dxa"/>
            <w:vMerge w:val="restart"/>
            <w:shd w:val="clear" w:color="auto" w:fill="auto"/>
            <w:tcMar>
              <w:left w:w="57" w:type="dxa"/>
              <w:right w:w="57" w:type="dxa"/>
            </w:tcMar>
            <w:vAlign w:val="center"/>
          </w:tcPr>
          <w:p w14:paraId="7978F1E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2E15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14:paraId="306E8A56">
            <w:pPr>
              <w:rPr>
                <w:color w:val="000000" w:themeColor="text1"/>
                <w:sz w:val="24"/>
                <w:szCs w:val="24"/>
                <w14:textFill>
                  <w14:solidFill>
                    <w14:schemeClr w14:val="tx1"/>
                  </w14:solidFill>
                </w14:textFill>
              </w:rPr>
            </w:pPr>
          </w:p>
        </w:tc>
        <w:tc>
          <w:tcPr>
            <w:tcW w:w="688" w:type="dxa"/>
            <w:vMerge w:val="continue"/>
            <w:shd w:val="clear" w:color="auto" w:fill="auto"/>
            <w:tcMar>
              <w:left w:w="57" w:type="dxa"/>
              <w:right w:w="57" w:type="dxa"/>
            </w:tcMar>
            <w:vAlign w:val="center"/>
          </w:tcPr>
          <w:p w14:paraId="125B7101">
            <w:pPr>
              <w:rPr>
                <w:color w:val="000000" w:themeColor="text1"/>
                <w:sz w:val="24"/>
                <w:szCs w:val="24"/>
                <w14:textFill>
                  <w14:solidFill>
                    <w14:schemeClr w14:val="tx1"/>
                  </w14:solidFill>
                </w14:textFill>
              </w:rPr>
            </w:pPr>
          </w:p>
        </w:tc>
        <w:tc>
          <w:tcPr>
            <w:tcW w:w="688" w:type="dxa"/>
            <w:shd w:val="clear" w:color="auto" w:fill="auto"/>
            <w:tcMar>
              <w:left w:w="57" w:type="dxa"/>
              <w:right w:w="57" w:type="dxa"/>
            </w:tcMar>
            <w:vAlign w:val="center"/>
          </w:tcPr>
          <w:p w14:paraId="1B555F76">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商业</w:t>
            </w:r>
          </w:p>
          <w:p w14:paraId="1BFF437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企业</w:t>
            </w:r>
          </w:p>
        </w:tc>
        <w:tc>
          <w:tcPr>
            <w:tcW w:w="688" w:type="dxa"/>
            <w:shd w:val="clear" w:color="auto" w:fill="auto"/>
            <w:tcMar>
              <w:left w:w="57" w:type="dxa"/>
              <w:right w:w="57" w:type="dxa"/>
            </w:tcMar>
            <w:vAlign w:val="center"/>
          </w:tcPr>
          <w:p w14:paraId="0A1B964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科研</w:t>
            </w:r>
          </w:p>
          <w:p w14:paraId="135F930B">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机构</w:t>
            </w:r>
          </w:p>
        </w:tc>
        <w:tc>
          <w:tcPr>
            <w:tcW w:w="688" w:type="dxa"/>
            <w:shd w:val="clear" w:color="auto" w:fill="auto"/>
            <w:tcMar>
              <w:left w:w="57" w:type="dxa"/>
              <w:right w:w="57" w:type="dxa"/>
            </w:tcMar>
            <w:vAlign w:val="center"/>
          </w:tcPr>
          <w:p w14:paraId="0BD74A8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社会公益组织</w:t>
            </w:r>
          </w:p>
        </w:tc>
        <w:tc>
          <w:tcPr>
            <w:tcW w:w="688" w:type="dxa"/>
            <w:shd w:val="clear" w:color="auto" w:fill="auto"/>
            <w:tcMar>
              <w:left w:w="57" w:type="dxa"/>
              <w:right w:w="57" w:type="dxa"/>
            </w:tcMar>
            <w:vAlign w:val="center"/>
          </w:tcPr>
          <w:p w14:paraId="058D01D1">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法律服务机构</w:t>
            </w:r>
          </w:p>
        </w:tc>
        <w:tc>
          <w:tcPr>
            <w:tcW w:w="688" w:type="dxa"/>
            <w:shd w:val="clear" w:color="auto" w:fill="auto"/>
            <w:tcMar>
              <w:left w:w="57" w:type="dxa"/>
              <w:right w:w="57" w:type="dxa"/>
            </w:tcMar>
            <w:vAlign w:val="center"/>
          </w:tcPr>
          <w:p w14:paraId="04EFFA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p>
        </w:tc>
        <w:tc>
          <w:tcPr>
            <w:tcW w:w="689" w:type="dxa"/>
            <w:vMerge w:val="continue"/>
            <w:shd w:val="clear" w:color="auto" w:fill="auto"/>
            <w:tcMar>
              <w:left w:w="57" w:type="dxa"/>
              <w:right w:w="57" w:type="dxa"/>
            </w:tcMar>
            <w:vAlign w:val="center"/>
          </w:tcPr>
          <w:p w14:paraId="689FB71F">
            <w:pPr>
              <w:rPr>
                <w:color w:val="000000" w:themeColor="text1"/>
                <w:sz w:val="24"/>
                <w:szCs w:val="24"/>
                <w14:textFill>
                  <w14:solidFill>
                    <w14:schemeClr w14:val="tx1"/>
                  </w14:solidFill>
                </w14:textFill>
              </w:rPr>
            </w:pPr>
          </w:p>
        </w:tc>
      </w:tr>
      <w:tr w14:paraId="453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5F0F3E7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一、本年新收政府信息公开申请数量</w:t>
            </w:r>
          </w:p>
        </w:tc>
        <w:tc>
          <w:tcPr>
            <w:tcW w:w="688" w:type="dxa"/>
            <w:shd w:val="clear" w:color="auto" w:fill="auto"/>
            <w:tcMar>
              <w:left w:w="57" w:type="dxa"/>
              <w:right w:w="57" w:type="dxa"/>
            </w:tcMar>
            <w:vAlign w:val="center"/>
          </w:tcPr>
          <w:p w14:paraId="06EC671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2269B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C787E8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50F845FD">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30C97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4E05557">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6F355228">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015A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67037F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二、上年结转政府信息公开申请数量</w:t>
            </w:r>
          </w:p>
        </w:tc>
        <w:tc>
          <w:tcPr>
            <w:tcW w:w="688" w:type="dxa"/>
            <w:shd w:val="clear" w:color="auto" w:fill="auto"/>
            <w:tcMar>
              <w:left w:w="57" w:type="dxa"/>
              <w:right w:w="57" w:type="dxa"/>
            </w:tcMar>
            <w:vAlign w:val="center"/>
          </w:tcPr>
          <w:p w14:paraId="651EE0B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774BFA3">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B44F914">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98A125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51D0B49">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F6FC436">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656F5F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665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restart"/>
            <w:shd w:val="clear" w:color="auto" w:fill="auto"/>
            <w:tcMar>
              <w:left w:w="57" w:type="dxa"/>
              <w:right w:w="57" w:type="dxa"/>
            </w:tcMar>
            <w:vAlign w:val="center"/>
          </w:tcPr>
          <w:p w14:paraId="7D61C0BF">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三、本年度办理结果</w:t>
            </w:r>
          </w:p>
        </w:tc>
        <w:tc>
          <w:tcPr>
            <w:tcW w:w="4164" w:type="dxa"/>
            <w:gridSpan w:val="2"/>
            <w:shd w:val="clear" w:color="auto" w:fill="auto"/>
            <w:tcMar>
              <w:left w:w="57" w:type="dxa"/>
              <w:right w:w="57" w:type="dxa"/>
            </w:tcMar>
            <w:vAlign w:val="center"/>
          </w:tcPr>
          <w:p w14:paraId="2F653F2D">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（一）予以公开</w:t>
            </w:r>
          </w:p>
        </w:tc>
        <w:tc>
          <w:tcPr>
            <w:tcW w:w="688" w:type="dxa"/>
            <w:shd w:val="clear" w:color="auto" w:fill="auto"/>
            <w:tcMar>
              <w:left w:w="57" w:type="dxa"/>
              <w:right w:w="57" w:type="dxa"/>
            </w:tcMar>
            <w:vAlign w:val="center"/>
          </w:tcPr>
          <w:p w14:paraId="15F11DA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6333CEE">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1</w:t>
            </w:r>
          </w:p>
        </w:tc>
        <w:tc>
          <w:tcPr>
            <w:tcW w:w="688" w:type="dxa"/>
            <w:shd w:val="clear" w:color="auto" w:fill="auto"/>
            <w:tcMar>
              <w:left w:w="57" w:type="dxa"/>
              <w:right w:w="57" w:type="dxa"/>
            </w:tcMar>
            <w:vAlign w:val="center"/>
          </w:tcPr>
          <w:p w14:paraId="1731C806">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00E55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65B9437">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9DC5744">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tcPr>
          <w:p w14:paraId="41DC87E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5AC0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0422BDA">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6BAFD667">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（二）部分公开</w:t>
            </w:r>
            <w:r>
              <w:rPr>
                <w:rFonts w:eastAsia="楷体" w:cs="楷体"/>
                <w:color w:val="000000" w:themeColor="text1"/>
                <w:kern w:val="0"/>
                <w:sz w:val="20"/>
                <w:lang w:bidi="ar"/>
                <w14:textFill>
                  <w14:solidFill>
                    <w14:schemeClr w14:val="tx1"/>
                  </w14:solidFill>
                </w14:textFill>
              </w:rPr>
              <w:t>（区分处理的，只计这一情形，不计其他情形）</w:t>
            </w:r>
          </w:p>
        </w:tc>
        <w:tc>
          <w:tcPr>
            <w:tcW w:w="688" w:type="dxa"/>
            <w:shd w:val="clear" w:color="auto" w:fill="auto"/>
            <w:tcMar>
              <w:left w:w="57" w:type="dxa"/>
              <w:right w:w="57" w:type="dxa"/>
            </w:tcMar>
            <w:vAlign w:val="center"/>
          </w:tcPr>
          <w:p w14:paraId="68F554D5">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6FD94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B75735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EF73D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00B8F9">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23695C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365EFC80">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4A0A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602CB60">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55A5EB9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（三）不予公开</w:t>
            </w:r>
          </w:p>
        </w:tc>
        <w:tc>
          <w:tcPr>
            <w:tcW w:w="3221" w:type="dxa"/>
            <w:shd w:val="clear" w:color="auto" w:fill="auto"/>
            <w:tcMar>
              <w:left w:w="57" w:type="dxa"/>
              <w:right w:w="57" w:type="dxa"/>
            </w:tcMar>
          </w:tcPr>
          <w:p w14:paraId="09D83A65">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.属于国家秘密</w:t>
            </w:r>
          </w:p>
        </w:tc>
        <w:tc>
          <w:tcPr>
            <w:tcW w:w="688" w:type="dxa"/>
            <w:shd w:val="clear" w:color="auto" w:fill="auto"/>
            <w:tcMar>
              <w:left w:w="57" w:type="dxa"/>
              <w:right w:w="57" w:type="dxa"/>
            </w:tcMar>
            <w:vAlign w:val="center"/>
          </w:tcPr>
          <w:p w14:paraId="0877308D">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E35CD1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F7AA9F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AC4C2B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5B7A31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E4D3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655736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7E8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0FE31EDB">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6C0BF10F">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39505DCA">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.其他法律行政法规禁止公开</w:t>
            </w:r>
          </w:p>
        </w:tc>
        <w:tc>
          <w:tcPr>
            <w:tcW w:w="688" w:type="dxa"/>
            <w:shd w:val="clear" w:color="auto" w:fill="auto"/>
            <w:tcMar>
              <w:left w:w="57" w:type="dxa"/>
              <w:right w:w="57" w:type="dxa"/>
            </w:tcMar>
            <w:vAlign w:val="center"/>
          </w:tcPr>
          <w:p w14:paraId="4A44C1BE">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47701F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4F8EF8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0F8CF9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183D56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18FAC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A4DFA0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924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A16B1B5">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2667AB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5A1EEE9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.危及“三安全一稳定”</w:t>
            </w:r>
          </w:p>
        </w:tc>
        <w:tc>
          <w:tcPr>
            <w:tcW w:w="688" w:type="dxa"/>
            <w:shd w:val="clear" w:color="auto" w:fill="auto"/>
            <w:tcMar>
              <w:left w:w="57" w:type="dxa"/>
              <w:right w:w="57" w:type="dxa"/>
            </w:tcMar>
            <w:vAlign w:val="center"/>
          </w:tcPr>
          <w:p w14:paraId="27F4C2F8">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3F6A3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C7EC9D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27BF09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1ECE62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4FBD5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2174CA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C7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55131D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5F3E2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2498982">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.保护第三方合法权益</w:t>
            </w:r>
          </w:p>
        </w:tc>
        <w:tc>
          <w:tcPr>
            <w:tcW w:w="688" w:type="dxa"/>
            <w:shd w:val="clear" w:color="auto" w:fill="auto"/>
            <w:tcMar>
              <w:left w:w="57" w:type="dxa"/>
              <w:right w:w="57" w:type="dxa"/>
            </w:tcMar>
            <w:vAlign w:val="center"/>
          </w:tcPr>
          <w:p w14:paraId="71C48187">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D8A1B6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BD9BAF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56AEC3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CC7309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EBA0EE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7B9A451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1EC0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5A82ED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B864A65">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23484C9">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.属于三类内部事务信息</w:t>
            </w:r>
          </w:p>
        </w:tc>
        <w:tc>
          <w:tcPr>
            <w:tcW w:w="688" w:type="dxa"/>
            <w:shd w:val="clear" w:color="auto" w:fill="auto"/>
            <w:tcMar>
              <w:left w:w="57" w:type="dxa"/>
              <w:right w:w="57" w:type="dxa"/>
            </w:tcMar>
            <w:vAlign w:val="center"/>
          </w:tcPr>
          <w:p w14:paraId="76B28ED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9D1CB5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F6AA44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680F9A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F062A8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3DEFF1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B3A84A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32F5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332816AF">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3D23A9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60B5D1AE">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6</w:t>
            </w:r>
            <w:r>
              <w:rPr>
                <w:rFonts w:hint="eastAsia" w:eastAsia="宋体" w:cs="宋体"/>
                <w:color w:val="000000" w:themeColor="text1"/>
                <w:kern w:val="0"/>
                <w:sz w:val="20"/>
                <w:lang w:bidi="ar"/>
                <w14:textFill>
                  <w14:solidFill>
                    <w14:schemeClr w14:val="tx1"/>
                  </w14:solidFill>
                </w14:textFill>
              </w:rPr>
              <w:t>.属于四类过程性信息</w:t>
            </w:r>
          </w:p>
        </w:tc>
        <w:tc>
          <w:tcPr>
            <w:tcW w:w="688" w:type="dxa"/>
            <w:shd w:val="clear" w:color="auto" w:fill="auto"/>
            <w:tcMar>
              <w:left w:w="57" w:type="dxa"/>
              <w:right w:w="57" w:type="dxa"/>
            </w:tcMar>
            <w:vAlign w:val="center"/>
          </w:tcPr>
          <w:p w14:paraId="558A26E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D3CCC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2ADFB8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350A0D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50214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EE95A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3174E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51A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9B6D8E7">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EB0723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A11AA8">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7</w:t>
            </w:r>
            <w:r>
              <w:rPr>
                <w:rFonts w:hint="eastAsia" w:eastAsia="宋体" w:cs="宋体"/>
                <w:color w:val="000000" w:themeColor="text1"/>
                <w:kern w:val="0"/>
                <w:sz w:val="20"/>
                <w:lang w:bidi="ar"/>
                <w14:textFill>
                  <w14:solidFill>
                    <w14:schemeClr w14:val="tx1"/>
                  </w14:solidFill>
                </w14:textFill>
              </w:rPr>
              <w:t>.属于行政执法案卷</w:t>
            </w:r>
          </w:p>
        </w:tc>
        <w:tc>
          <w:tcPr>
            <w:tcW w:w="688" w:type="dxa"/>
            <w:shd w:val="clear" w:color="auto" w:fill="auto"/>
            <w:tcMar>
              <w:left w:w="57" w:type="dxa"/>
              <w:right w:w="57" w:type="dxa"/>
            </w:tcMar>
            <w:vAlign w:val="center"/>
          </w:tcPr>
          <w:p w14:paraId="3A269374">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5BC74D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140B8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A2FD02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1BD02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43E79C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195F57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556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B765A4C">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4496B5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81923F1">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8</w:t>
            </w:r>
            <w:r>
              <w:rPr>
                <w:rFonts w:hint="eastAsia" w:eastAsia="宋体" w:cs="宋体"/>
                <w:color w:val="000000" w:themeColor="text1"/>
                <w:kern w:val="0"/>
                <w:sz w:val="20"/>
                <w:lang w:bidi="ar"/>
                <w14:textFill>
                  <w14:solidFill>
                    <w14:schemeClr w14:val="tx1"/>
                  </w14:solidFill>
                </w14:textFill>
              </w:rPr>
              <w:t>.属于行政查询事项</w:t>
            </w:r>
          </w:p>
        </w:tc>
        <w:tc>
          <w:tcPr>
            <w:tcW w:w="688" w:type="dxa"/>
            <w:shd w:val="clear" w:color="auto" w:fill="auto"/>
            <w:tcMar>
              <w:left w:w="57" w:type="dxa"/>
              <w:right w:w="57" w:type="dxa"/>
            </w:tcMar>
            <w:vAlign w:val="center"/>
          </w:tcPr>
          <w:p w14:paraId="5B70BBAA">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D8F7D5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2DD16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9FE35E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20DCC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C15AAA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F8867D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67C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303CC9B5">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452313EE">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（四）无法提供</w:t>
            </w:r>
          </w:p>
        </w:tc>
        <w:tc>
          <w:tcPr>
            <w:tcW w:w="3221" w:type="dxa"/>
            <w:shd w:val="clear" w:color="auto" w:fill="auto"/>
            <w:tcMar>
              <w:left w:w="57" w:type="dxa"/>
              <w:right w:w="57" w:type="dxa"/>
            </w:tcMar>
          </w:tcPr>
          <w:p w14:paraId="46736F64">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.本机关不掌握相关政府信息</w:t>
            </w:r>
          </w:p>
        </w:tc>
        <w:tc>
          <w:tcPr>
            <w:tcW w:w="688" w:type="dxa"/>
            <w:shd w:val="clear" w:color="auto" w:fill="auto"/>
            <w:tcMar>
              <w:left w:w="57" w:type="dxa"/>
              <w:right w:w="57" w:type="dxa"/>
            </w:tcMar>
            <w:vAlign w:val="center"/>
          </w:tcPr>
          <w:p w14:paraId="7ADBC1E3">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E7AB8A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5CED81E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5C810B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667B4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B71C58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EEB545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AD0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F042A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8E2DD40">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2CF79DDC">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.没有现成信息需要另行制作</w:t>
            </w:r>
          </w:p>
        </w:tc>
        <w:tc>
          <w:tcPr>
            <w:tcW w:w="688" w:type="dxa"/>
            <w:shd w:val="clear" w:color="auto" w:fill="auto"/>
            <w:tcMar>
              <w:left w:w="57" w:type="dxa"/>
              <w:right w:w="57" w:type="dxa"/>
            </w:tcMar>
            <w:vAlign w:val="center"/>
          </w:tcPr>
          <w:p w14:paraId="5C4442EF">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D94DB4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067E96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A49731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E65F42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C9793C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52F6BF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FB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64B6C11">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22C75A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1B7D1626">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.补正后申请内容仍不明确</w:t>
            </w:r>
          </w:p>
        </w:tc>
        <w:tc>
          <w:tcPr>
            <w:tcW w:w="688" w:type="dxa"/>
            <w:shd w:val="clear" w:color="auto" w:fill="auto"/>
            <w:tcMar>
              <w:left w:w="57" w:type="dxa"/>
              <w:right w:w="57" w:type="dxa"/>
            </w:tcMar>
            <w:vAlign w:val="center"/>
          </w:tcPr>
          <w:p w14:paraId="49582F0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3F724F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E329FA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054266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7C9404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79A14C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824342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10A4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7212D824">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1BCC83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（五）不予处理</w:t>
            </w:r>
          </w:p>
        </w:tc>
        <w:tc>
          <w:tcPr>
            <w:tcW w:w="3221" w:type="dxa"/>
            <w:shd w:val="clear" w:color="auto" w:fill="auto"/>
            <w:tcMar>
              <w:left w:w="57" w:type="dxa"/>
              <w:right w:w="57" w:type="dxa"/>
            </w:tcMar>
          </w:tcPr>
          <w:p w14:paraId="0279DEA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.信访举报投诉类申请</w:t>
            </w:r>
          </w:p>
        </w:tc>
        <w:tc>
          <w:tcPr>
            <w:tcW w:w="688" w:type="dxa"/>
            <w:shd w:val="clear" w:color="auto" w:fill="auto"/>
            <w:tcMar>
              <w:left w:w="57" w:type="dxa"/>
              <w:right w:w="57" w:type="dxa"/>
            </w:tcMar>
            <w:vAlign w:val="center"/>
          </w:tcPr>
          <w:p w14:paraId="69FCFC3D">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F09091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B309AA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C76DAB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24A5C0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801F7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730158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7FEC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178E662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EBA8DF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316A17">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.重复申请</w:t>
            </w:r>
          </w:p>
        </w:tc>
        <w:tc>
          <w:tcPr>
            <w:tcW w:w="688" w:type="dxa"/>
            <w:shd w:val="clear" w:color="auto" w:fill="auto"/>
            <w:tcMar>
              <w:left w:w="57" w:type="dxa"/>
              <w:right w:w="57" w:type="dxa"/>
            </w:tcMar>
            <w:vAlign w:val="center"/>
          </w:tcPr>
          <w:p w14:paraId="2AF7AF4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6A5C56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A4A530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262B7E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86DC31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22A79D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BE4E1E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99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EFEE273">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460CB7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B89A62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.要求提供公开出版物</w:t>
            </w:r>
          </w:p>
        </w:tc>
        <w:tc>
          <w:tcPr>
            <w:tcW w:w="688" w:type="dxa"/>
            <w:shd w:val="clear" w:color="auto" w:fill="auto"/>
            <w:tcMar>
              <w:left w:w="57" w:type="dxa"/>
              <w:right w:w="57" w:type="dxa"/>
            </w:tcMar>
            <w:vAlign w:val="center"/>
          </w:tcPr>
          <w:p w14:paraId="151EB1C2">
            <w:pPr>
              <w:widowControl/>
              <w:jc w:val="center"/>
              <w:rPr>
                <w:rFonts w:hint="default"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91E750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10F59A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E974B5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E7A411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48AB99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11E8464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68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AF236A4">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AEA890B">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0409DC4F">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.无正当理由大量反复申请</w:t>
            </w:r>
          </w:p>
        </w:tc>
        <w:tc>
          <w:tcPr>
            <w:tcW w:w="688" w:type="dxa"/>
            <w:shd w:val="clear" w:color="auto" w:fill="auto"/>
            <w:tcMar>
              <w:left w:w="57" w:type="dxa"/>
              <w:right w:w="57" w:type="dxa"/>
            </w:tcMar>
            <w:vAlign w:val="center"/>
          </w:tcPr>
          <w:p w14:paraId="6B62B15F">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F34004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48464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6EA86D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031AEB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B1D4A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59FB65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65D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7" w:type="dxa"/>
            <w:vMerge w:val="continue"/>
            <w:shd w:val="clear" w:color="auto" w:fill="auto"/>
            <w:tcMar>
              <w:left w:w="57" w:type="dxa"/>
              <w:right w:w="57" w:type="dxa"/>
            </w:tcMar>
            <w:vAlign w:val="center"/>
          </w:tcPr>
          <w:p w14:paraId="082741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4E4175E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7DBEB687">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.要求行政机关确认或重新出具已获取信息</w:t>
            </w:r>
          </w:p>
        </w:tc>
        <w:tc>
          <w:tcPr>
            <w:tcW w:w="688" w:type="dxa"/>
            <w:shd w:val="clear" w:color="auto" w:fill="auto"/>
            <w:tcMar>
              <w:left w:w="57" w:type="dxa"/>
              <w:right w:w="57" w:type="dxa"/>
            </w:tcMar>
            <w:vAlign w:val="center"/>
          </w:tcPr>
          <w:p w14:paraId="678F316C">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163FB7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011BE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DE6CD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A9EF000">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6DFB38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F649D8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3E9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8271288">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027111A8">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（六）其他处理</w:t>
            </w:r>
          </w:p>
        </w:tc>
        <w:tc>
          <w:tcPr>
            <w:tcW w:w="3221" w:type="dxa"/>
            <w:shd w:val="clear" w:color="auto" w:fill="auto"/>
            <w:tcMar>
              <w:left w:w="57" w:type="dxa"/>
              <w:right w:w="57" w:type="dxa"/>
            </w:tcMar>
            <w:vAlign w:val="center"/>
          </w:tcPr>
          <w:p w14:paraId="368FA820">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.申请人无正当理由逾期不补正、行政机关不再处理其政府信息公开申请</w:t>
            </w:r>
          </w:p>
        </w:tc>
        <w:tc>
          <w:tcPr>
            <w:tcW w:w="688" w:type="dxa"/>
            <w:shd w:val="clear" w:color="auto" w:fill="auto"/>
            <w:tcMar>
              <w:left w:w="57" w:type="dxa"/>
              <w:right w:w="57" w:type="dxa"/>
            </w:tcMar>
            <w:vAlign w:val="center"/>
          </w:tcPr>
          <w:p w14:paraId="4166B1BA">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405716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679618">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AA07CA">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76569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A0224D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F3E722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0624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1FC7683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5C6F2332">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49115364">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.申请人逾期未按收费通知要求缴纳费用、行政机关不再处理其政府信息公开申请</w:t>
            </w:r>
          </w:p>
        </w:tc>
        <w:tc>
          <w:tcPr>
            <w:tcW w:w="688" w:type="dxa"/>
            <w:shd w:val="clear" w:color="auto" w:fill="auto"/>
            <w:tcMar>
              <w:left w:w="57" w:type="dxa"/>
              <w:right w:w="57" w:type="dxa"/>
            </w:tcMar>
            <w:vAlign w:val="center"/>
          </w:tcPr>
          <w:p w14:paraId="5E7E3CF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27401A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63DFCC7">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98C7412">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22816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8D7933B">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6E6E804">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208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500BED7A">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67DE4F1">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64E23C8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.其他</w:t>
            </w:r>
          </w:p>
        </w:tc>
        <w:tc>
          <w:tcPr>
            <w:tcW w:w="688" w:type="dxa"/>
            <w:shd w:val="clear" w:color="auto" w:fill="auto"/>
            <w:tcMar>
              <w:left w:w="57" w:type="dxa"/>
              <w:right w:w="57" w:type="dxa"/>
            </w:tcMar>
            <w:vAlign w:val="center"/>
          </w:tcPr>
          <w:p w14:paraId="352DBE8E">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FEEA204">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AEFCF79">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0E1F8F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D822835">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079D033">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05F4EDB9">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14:paraId="2B84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7" w:type="dxa"/>
            <w:vMerge w:val="continue"/>
            <w:shd w:val="clear" w:color="auto" w:fill="auto"/>
            <w:tcMar>
              <w:left w:w="57" w:type="dxa"/>
              <w:right w:w="57" w:type="dxa"/>
            </w:tcMar>
            <w:vAlign w:val="center"/>
          </w:tcPr>
          <w:p w14:paraId="2750E433">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75B3DAF3">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（七）总计</w:t>
            </w:r>
          </w:p>
        </w:tc>
        <w:tc>
          <w:tcPr>
            <w:tcW w:w="688" w:type="dxa"/>
            <w:shd w:val="clear" w:color="auto" w:fill="auto"/>
            <w:tcMar>
              <w:left w:w="57" w:type="dxa"/>
              <w:right w:w="57" w:type="dxa"/>
            </w:tcMar>
            <w:vAlign w:val="center"/>
          </w:tcPr>
          <w:p w14:paraId="2836A567">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BBF2CD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c>
          <w:tcPr>
            <w:tcW w:w="688" w:type="dxa"/>
            <w:shd w:val="clear" w:color="auto" w:fill="auto"/>
            <w:tcMar>
              <w:left w:w="57" w:type="dxa"/>
              <w:right w:w="57" w:type="dxa"/>
            </w:tcMar>
            <w:vAlign w:val="center"/>
          </w:tcPr>
          <w:p w14:paraId="038FD8C1">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E1EEA83">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987066C">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1740EE1">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2AB86006">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1</w:t>
            </w:r>
          </w:p>
        </w:tc>
      </w:tr>
      <w:tr w14:paraId="4A7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7124D3E5">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四、结转下年度继续办理</w:t>
            </w:r>
          </w:p>
        </w:tc>
        <w:tc>
          <w:tcPr>
            <w:tcW w:w="688" w:type="dxa"/>
            <w:shd w:val="clear" w:color="auto" w:fill="auto"/>
            <w:tcMar>
              <w:left w:w="57" w:type="dxa"/>
              <w:right w:w="57" w:type="dxa"/>
            </w:tcMar>
            <w:vAlign w:val="center"/>
          </w:tcPr>
          <w:p w14:paraId="418849C6">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E11992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706604F">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4B213F32">
            <w:pPr>
              <w:widowControl/>
              <w:jc w:val="center"/>
              <w:rPr>
                <w:rFonts w:hint="eastAsia" w:eastAsiaTheme="minorEastAsia"/>
                <w:color w:val="000000" w:themeColor="text1"/>
                <w:lang w:val="en-US" w:eastAsia="zh-CN"/>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9C6D6BD">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C6B8C6E">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625D88B1">
            <w:pPr>
              <w:jc w:val="center"/>
              <w:rPr>
                <w:rFonts w:hint="eastAsia" w:eastAsia="方正仿宋_GBK"/>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w:t>
            </w:r>
          </w:p>
        </w:tc>
      </w:tr>
    </w:tbl>
    <w:p w14:paraId="49372A1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四、政府信息公开行政复议、行政诉讼情况</w:t>
      </w:r>
    </w:p>
    <w:tbl>
      <w:tblPr>
        <w:tblStyle w:val="1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2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shd w:val="clear" w:color="auto" w:fill="auto"/>
            <w:tcMar>
              <w:left w:w="108" w:type="dxa"/>
              <w:right w:w="108" w:type="dxa"/>
            </w:tcMar>
            <w:vAlign w:val="center"/>
          </w:tcPr>
          <w:p w14:paraId="0FE3FF0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行政复议</w:t>
            </w:r>
          </w:p>
        </w:tc>
        <w:tc>
          <w:tcPr>
            <w:tcW w:w="6503" w:type="dxa"/>
            <w:gridSpan w:val="10"/>
            <w:shd w:val="clear" w:color="auto" w:fill="auto"/>
            <w:tcMar>
              <w:left w:w="108" w:type="dxa"/>
              <w:right w:w="108" w:type="dxa"/>
            </w:tcMar>
            <w:vAlign w:val="center"/>
          </w:tcPr>
          <w:p w14:paraId="67CFC5F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行政诉讼</w:t>
            </w:r>
          </w:p>
        </w:tc>
      </w:tr>
      <w:tr w14:paraId="082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shd w:val="clear" w:color="auto" w:fill="auto"/>
            <w:tcMar>
              <w:left w:w="108" w:type="dxa"/>
              <w:right w:w="108" w:type="dxa"/>
            </w:tcMar>
            <w:vAlign w:val="center"/>
          </w:tcPr>
          <w:p w14:paraId="32574A1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结果维持</w:t>
            </w:r>
          </w:p>
        </w:tc>
        <w:tc>
          <w:tcPr>
            <w:tcW w:w="649" w:type="dxa"/>
            <w:vMerge w:val="restart"/>
            <w:shd w:val="clear" w:color="auto" w:fill="auto"/>
            <w:tcMar>
              <w:left w:w="108" w:type="dxa"/>
              <w:right w:w="108" w:type="dxa"/>
            </w:tcMar>
            <w:vAlign w:val="center"/>
          </w:tcPr>
          <w:p w14:paraId="3733DC9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49" w:type="dxa"/>
            <w:vMerge w:val="restart"/>
            <w:shd w:val="clear" w:color="auto" w:fill="auto"/>
            <w:tcMar>
              <w:left w:w="108" w:type="dxa"/>
              <w:right w:w="108" w:type="dxa"/>
            </w:tcMar>
            <w:vAlign w:val="center"/>
          </w:tcPr>
          <w:p w14:paraId="1CBB2CC7">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49" w:type="dxa"/>
            <w:vMerge w:val="restart"/>
            <w:shd w:val="clear" w:color="auto" w:fill="auto"/>
            <w:tcMar>
              <w:left w:w="108" w:type="dxa"/>
              <w:right w:w="108" w:type="dxa"/>
            </w:tcMar>
            <w:vAlign w:val="center"/>
          </w:tcPr>
          <w:p w14:paraId="110DC92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49" w:type="dxa"/>
            <w:vMerge w:val="restart"/>
            <w:shd w:val="clear" w:color="auto" w:fill="auto"/>
            <w:tcMar>
              <w:left w:w="108" w:type="dxa"/>
              <w:right w:w="108" w:type="dxa"/>
            </w:tcMar>
            <w:vAlign w:val="center"/>
          </w:tcPr>
          <w:p w14:paraId="07D38D0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3248" w:type="dxa"/>
            <w:gridSpan w:val="5"/>
            <w:shd w:val="clear" w:color="auto" w:fill="auto"/>
            <w:tcMar>
              <w:left w:w="108" w:type="dxa"/>
              <w:right w:w="108" w:type="dxa"/>
            </w:tcMar>
            <w:vAlign w:val="center"/>
          </w:tcPr>
          <w:p w14:paraId="4A4CD69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未经复议直接起诉</w:t>
            </w:r>
          </w:p>
        </w:tc>
        <w:tc>
          <w:tcPr>
            <w:tcW w:w="3255" w:type="dxa"/>
            <w:gridSpan w:val="5"/>
            <w:shd w:val="clear" w:color="auto" w:fill="auto"/>
            <w:tcMar>
              <w:left w:w="108" w:type="dxa"/>
              <w:right w:w="108" w:type="dxa"/>
            </w:tcMar>
            <w:vAlign w:val="center"/>
          </w:tcPr>
          <w:p w14:paraId="6F23380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复议后起诉</w:t>
            </w:r>
          </w:p>
        </w:tc>
      </w:tr>
      <w:tr w14:paraId="66F8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shd w:val="clear" w:color="auto" w:fill="auto"/>
            <w:tcMar>
              <w:left w:w="108" w:type="dxa"/>
              <w:right w:w="108" w:type="dxa"/>
            </w:tcMar>
            <w:vAlign w:val="center"/>
          </w:tcPr>
          <w:p w14:paraId="0B4E63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2D2E18ED">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54D9F35">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6D314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152872F3">
            <w:pPr>
              <w:rPr>
                <w:color w:val="000000" w:themeColor="text1"/>
                <w:sz w:val="24"/>
                <w:szCs w:val="24"/>
                <w14:textFill>
                  <w14:solidFill>
                    <w14:schemeClr w14:val="tx1"/>
                  </w14:solidFill>
                </w14:textFill>
              </w:rPr>
            </w:pPr>
          </w:p>
        </w:tc>
        <w:tc>
          <w:tcPr>
            <w:tcW w:w="649" w:type="dxa"/>
            <w:shd w:val="clear" w:color="auto" w:fill="auto"/>
            <w:tcMar>
              <w:left w:w="108" w:type="dxa"/>
              <w:right w:w="108" w:type="dxa"/>
            </w:tcMar>
            <w:vAlign w:val="center"/>
          </w:tcPr>
          <w:p w14:paraId="485C619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49" w:type="dxa"/>
            <w:shd w:val="clear" w:color="auto" w:fill="auto"/>
            <w:tcMar>
              <w:left w:w="108" w:type="dxa"/>
              <w:right w:w="108" w:type="dxa"/>
            </w:tcMar>
            <w:vAlign w:val="center"/>
          </w:tcPr>
          <w:p w14:paraId="24489D6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0" w:type="dxa"/>
            <w:shd w:val="clear" w:color="auto" w:fill="auto"/>
            <w:tcMar>
              <w:left w:w="108" w:type="dxa"/>
              <w:right w:w="108" w:type="dxa"/>
            </w:tcMar>
            <w:vAlign w:val="center"/>
          </w:tcPr>
          <w:p w14:paraId="3D632DF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0" w:type="dxa"/>
            <w:shd w:val="clear" w:color="auto" w:fill="auto"/>
            <w:tcMar>
              <w:left w:w="108" w:type="dxa"/>
              <w:right w:w="108" w:type="dxa"/>
            </w:tcMar>
            <w:vAlign w:val="center"/>
          </w:tcPr>
          <w:p w14:paraId="6FCE9F1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0" w:type="dxa"/>
            <w:shd w:val="clear" w:color="auto" w:fill="auto"/>
            <w:tcMar>
              <w:left w:w="108" w:type="dxa"/>
              <w:right w:w="108" w:type="dxa"/>
            </w:tcMar>
            <w:vAlign w:val="center"/>
          </w:tcPr>
          <w:p w14:paraId="3B37000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651" w:type="dxa"/>
            <w:shd w:val="clear" w:color="auto" w:fill="auto"/>
            <w:tcMar>
              <w:left w:w="108" w:type="dxa"/>
              <w:right w:w="108" w:type="dxa"/>
            </w:tcMar>
            <w:vAlign w:val="center"/>
          </w:tcPr>
          <w:p w14:paraId="568639C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51" w:type="dxa"/>
            <w:shd w:val="clear" w:color="auto" w:fill="auto"/>
            <w:tcMar>
              <w:left w:w="108" w:type="dxa"/>
              <w:right w:w="108" w:type="dxa"/>
            </w:tcMar>
            <w:vAlign w:val="center"/>
          </w:tcPr>
          <w:p w14:paraId="687170FD">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1" w:type="dxa"/>
            <w:shd w:val="clear" w:color="auto" w:fill="auto"/>
            <w:tcMar>
              <w:left w:w="108" w:type="dxa"/>
              <w:right w:w="108" w:type="dxa"/>
            </w:tcMar>
            <w:vAlign w:val="center"/>
          </w:tcPr>
          <w:p w14:paraId="0AE3A0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1" w:type="dxa"/>
            <w:shd w:val="clear" w:color="auto" w:fill="auto"/>
            <w:tcMar>
              <w:left w:w="108" w:type="dxa"/>
              <w:right w:w="108" w:type="dxa"/>
            </w:tcMar>
            <w:vAlign w:val="center"/>
          </w:tcPr>
          <w:p w14:paraId="1B1C31C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14:paraId="19AF766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4B3F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shd w:val="clear" w:color="auto" w:fill="auto"/>
            <w:tcMar>
              <w:left w:w="108" w:type="dxa"/>
              <w:right w:w="108" w:type="dxa"/>
            </w:tcMar>
            <w:vAlign w:val="center"/>
          </w:tcPr>
          <w:p w14:paraId="1B31E09B">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9A64898">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49" w:type="dxa"/>
            <w:shd w:val="clear" w:color="auto" w:fill="auto"/>
            <w:tcMar>
              <w:left w:w="108" w:type="dxa"/>
              <w:right w:w="108" w:type="dxa"/>
            </w:tcMar>
            <w:vAlign w:val="center"/>
          </w:tcPr>
          <w:p w14:paraId="77B1E42E">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3</w:t>
            </w:r>
          </w:p>
        </w:tc>
        <w:tc>
          <w:tcPr>
            <w:tcW w:w="649" w:type="dxa"/>
            <w:shd w:val="clear" w:color="auto" w:fill="auto"/>
            <w:tcMar>
              <w:left w:w="108" w:type="dxa"/>
              <w:right w:w="108" w:type="dxa"/>
            </w:tcMar>
            <w:vAlign w:val="center"/>
          </w:tcPr>
          <w:p w14:paraId="29CF545A">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62D4B235">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3</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CB0BC3C">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4867B096">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63963A8C">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2F544A3B">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0" w:type="dxa"/>
            <w:shd w:val="clear" w:color="auto" w:fill="auto"/>
            <w:tcMar>
              <w:left w:w="108" w:type="dxa"/>
              <w:right w:w="108" w:type="dxa"/>
            </w:tcMar>
            <w:vAlign w:val="center"/>
          </w:tcPr>
          <w:p w14:paraId="74468114">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07708161">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06355F21">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11585F52">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6C069311">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282F51B3">
            <w:pPr>
              <w:jc w:val="center"/>
              <w:rPr>
                <w:rFonts w:hint="eastAsia" w:eastAsia="方正仿宋_GBK"/>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w:t>
            </w:r>
          </w:p>
        </w:tc>
      </w:tr>
    </w:tbl>
    <w:p w14:paraId="10BF2B1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五、存在的主要问题及改进情况</w:t>
      </w:r>
    </w:p>
    <w:p w14:paraId="7B0D761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（一）存在问题</w:t>
      </w:r>
    </w:p>
    <w:p w14:paraId="331405D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一是政策解读形式创新性不足，针对文旅领域专业政策的解读多以文字形式为主，图解、视频等通俗化呈现方式较少，群众理解难度较大；二是重点领域信息公开深度不够，公共文化服务、旅游市场监管等领域的过程性信息和成效数据公开不充分；三是政务公开与群众需求匹配度有待提升，主动回应社会关切的精准性和及时性需进一步加强。</w:t>
      </w:r>
    </w:p>
    <w:p w14:paraId="6B9EB48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ascii="方正楷体_GBK" w:hAnsi="方正楷体_GBK" w:eastAsia="方正楷体_GBK" w:cs="方正楷体_GBK"/>
          <w:color w:val="000000" w:themeColor="text1"/>
          <w:szCs w:val="32"/>
          <w:lang w:eastAsia="zh-CN"/>
          <w14:textFill>
            <w14:solidFill>
              <w14:schemeClr w14:val="tx1"/>
            </w14:solidFill>
          </w14:textFill>
        </w:rPr>
      </w:pPr>
      <w:r>
        <w:rPr>
          <w:rFonts w:hint="eastAsia" w:ascii="方正楷体_GBK" w:hAnsi="方正楷体_GBK" w:eastAsia="方正楷体_GBK" w:cs="方正楷体_GBK"/>
          <w:color w:val="000000" w:themeColor="text1"/>
          <w:szCs w:val="32"/>
          <w:lang w:eastAsia="zh-CN"/>
          <w14:textFill>
            <w14:solidFill>
              <w14:schemeClr w14:val="tx1"/>
            </w14:solidFill>
          </w14:textFill>
        </w:rPr>
        <w:t>（二）改进情况</w:t>
      </w:r>
    </w:p>
    <w:p w14:paraId="3E7550B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一是创新解读形式，联合新媒体平台制作政策图解、动漫视频等解读产品，提升政策可读性与传播力；二是深化重点领域公开，对照</w:t>
      </w:r>
      <w:r>
        <w:rPr>
          <w:rFonts w:hint="eastAsia"/>
          <w:color w:val="000000" w:themeColor="text1"/>
          <w:szCs w:val="32"/>
          <w:lang w:eastAsia="zh-CN"/>
          <w14:textFill>
            <w14:solidFill>
              <w14:schemeClr w14:val="tx1"/>
            </w14:solidFill>
          </w14:textFill>
        </w:rPr>
        <w:t>文化、旅游、广电领域政府信息主动公开事项</w:t>
      </w:r>
      <w:r>
        <w:rPr>
          <w:rFonts w:hint="eastAsia"/>
          <w:color w:val="000000" w:themeColor="text1"/>
          <w:szCs w:val="32"/>
          <w14:textFill>
            <w14:solidFill>
              <w14:schemeClr w14:val="tx1"/>
            </w14:solidFill>
          </w14:textFill>
        </w:rPr>
        <w:t>清单，</w:t>
      </w:r>
      <w:r>
        <w:rPr>
          <w:rFonts w:hint="eastAsia"/>
          <w:color w:val="000000" w:themeColor="text1"/>
          <w:szCs w:val="32"/>
          <w:lang w:eastAsia="zh-CN"/>
          <w14:textFill>
            <w14:solidFill>
              <w14:schemeClr w14:val="tx1"/>
            </w14:solidFill>
          </w14:textFill>
        </w:rPr>
        <w:t>进一步</w:t>
      </w:r>
      <w:r>
        <w:rPr>
          <w:rFonts w:hint="eastAsia"/>
          <w:color w:val="000000" w:themeColor="text1"/>
          <w:szCs w:val="32"/>
          <w14:textFill>
            <w14:solidFill>
              <w14:schemeClr w14:val="tx1"/>
            </w14:solidFill>
          </w14:textFill>
        </w:rPr>
        <w:t>完善</w:t>
      </w:r>
      <w:r>
        <w:rPr>
          <w:rFonts w:hint="eastAsia"/>
          <w:color w:val="000000" w:themeColor="text1"/>
          <w:szCs w:val="32"/>
          <w:lang w:eastAsia="zh-CN"/>
          <w14:textFill>
            <w14:solidFill>
              <w14:schemeClr w14:val="tx1"/>
            </w14:solidFill>
          </w14:textFill>
        </w:rPr>
        <w:t>好</w:t>
      </w:r>
      <w:r>
        <w:rPr>
          <w:rFonts w:hint="eastAsia"/>
          <w:color w:val="000000" w:themeColor="text1"/>
          <w:szCs w:val="32"/>
          <w14:textFill>
            <w14:solidFill>
              <w14:schemeClr w14:val="tx1"/>
            </w14:solidFill>
          </w14:textFill>
        </w:rPr>
        <w:t>公共文化服务项目、旅游景区监管等过程性信息，</w:t>
      </w:r>
      <w:r>
        <w:rPr>
          <w:rFonts w:hint="eastAsia"/>
          <w:color w:val="000000" w:themeColor="text1"/>
          <w:szCs w:val="32"/>
          <w:lang w:eastAsia="zh-CN"/>
          <w14:textFill>
            <w14:solidFill>
              <w14:schemeClr w14:val="tx1"/>
            </w14:solidFill>
          </w14:textFill>
        </w:rPr>
        <w:t>及时</w:t>
      </w:r>
      <w:r>
        <w:rPr>
          <w:rFonts w:hint="eastAsia"/>
          <w:color w:val="000000" w:themeColor="text1"/>
          <w:szCs w:val="32"/>
          <w14:textFill>
            <w14:solidFill>
              <w14:schemeClr w14:val="tx1"/>
            </w14:solidFill>
          </w14:textFill>
        </w:rPr>
        <w:t>公开年度文旅惠民成效数据；三是建立需求导向回应机制，通过新媒体留言板、政务服务窗口等渠道收集群众关切问题，形成回应清单并及时公开解答，切实提升政务公开服务实效。</w:t>
      </w:r>
    </w:p>
    <w:p w14:paraId="2829E10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六、其他需要报告的事项</w:t>
      </w:r>
    </w:p>
    <w:p w14:paraId="0A0E6D8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outlineLvl w:val="9"/>
        <w:rPr>
          <w:rFonts w:hint="eastAsia" w:cs="Times New Roman"/>
          <w:color w:val="000000" w:themeColor="text1"/>
          <w:lang w:val="en-US" w:eastAsia="zh-CN"/>
          <w14:textFill>
            <w14:solidFill>
              <w14:schemeClr w14:val="tx1"/>
            </w14:solidFill>
          </w14:textFill>
        </w:rPr>
      </w:pPr>
      <w:r>
        <w:rPr>
          <w:rFonts w:hint="eastAsia"/>
          <w:color w:val="000000" w:themeColor="text1"/>
          <w:szCs w:val="32"/>
          <w14:textFill>
            <w14:solidFill>
              <w14:schemeClr w14:val="tx1"/>
            </w14:solidFill>
          </w14:textFill>
        </w:rPr>
        <w:t>本机关严格落实《政府信息公开条例》要求，完成政务公开各项工作。本机关未收取信息处理费。</w:t>
      </w:r>
    </w:p>
    <mc:AlternateContent>
      <mc:Choice Requires="wpsCustomData">
        <wpsCustomData:docfieldEnd id="0"/>
      </mc:Choice>
    </mc:AlternateContent>
    <w:p w14:paraId="066784EE">
      <w:pPr>
        <w:keepNext w:val="0"/>
        <w:keepLines w:val="0"/>
        <w:pageBreakBefore w:val="0"/>
        <w:widowControl w:val="0"/>
        <w:kinsoku/>
        <w:wordWrap/>
        <w:overflowPunct/>
        <w:topLinePunct w:val="0"/>
        <w:autoSpaceDE/>
        <w:autoSpaceDN/>
        <w:bidi w:val="0"/>
        <w:adjustRightInd/>
        <w:snapToGrid/>
        <w:ind w:firstLine="632"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74"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AB1E8">
    <w:pPr>
      <w:pStyle w:val="11"/>
      <w:framePr w:wrap="around" w:vAnchor="text" w:hAnchor="margin" w:xAlign="outside" w:y="1"/>
      <w:ind w:right="360" w:firstLine="360"/>
      <w:rPr>
        <w:sz w:val="28"/>
      </w:rPr>
    </w:pPr>
    <w:r>
      <w:rPr>
        <w:rStyle w:val="2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22"/>
        <w:rFonts w:hint="eastAsia"/>
        <w:sz w:val="28"/>
      </w:rPr>
      <w:t>―</w:t>
    </w:r>
  </w:p>
  <w:p w14:paraId="2DD49058">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ADAC">
    <w:pPr>
      <w:pStyle w:val="11"/>
      <w:framePr w:wrap="around" w:vAnchor="text" w:hAnchor="margin" w:xAlign="outside" w:y="1"/>
      <w:ind w:right="360" w:firstLine="360"/>
      <w:rPr>
        <w:sz w:val="28"/>
      </w:rPr>
    </w:pPr>
    <w:r>
      <w:rPr>
        <w:rStyle w:val="22"/>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22"/>
        <w:rFonts w:hint="eastAsia"/>
        <w:sz w:val="28"/>
      </w:rPr>
      <w:t>―</w:t>
    </w:r>
  </w:p>
  <w:p w14:paraId="0BEA947D">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7ED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6DA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A027">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9A8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881E"/>
    <w:rsid w:val="0C051F47"/>
    <w:rsid w:val="23F855BB"/>
    <w:rsid w:val="2899001E"/>
    <w:rsid w:val="2CCB1E06"/>
    <w:rsid w:val="3776CBF8"/>
    <w:rsid w:val="3828316D"/>
    <w:rsid w:val="3FF58017"/>
    <w:rsid w:val="469F14A0"/>
    <w:rsid w:val="4FB7C434"/>
    <w:rsid w:val="5AEB6D6A"/>
    <w:rsid w:val="6B994A5D"/>
    <w:rsid w:val="6C3811CB"/>
    <w:rsid w:val="6CB67286"/>
    <w:rsid w:val="6DD707DB"/>
    <w:rsid w:val="6E5B5E40"/>
    <w:rsid w:val="6FFFB11F"/>
    <w:rsid w:val="73DC7171"/>
    <w:rsid w:val="77DA4C07"/>
    <w:rsid w:val="7BDB720F"/>
    <w:rsid w:val="7D826290"/>
    <w:rsid w:val="7FFE881E"/>
    <w:rsid w:val="A77F1147"/>
    <w:rsid w:val="AFBEA2E4"/>
    <w:rsid w:val="BF4FB9A3"/>
    <w:rsid w:val="DDDFA983"/>
    <w:rsid w:val="EFBFE69B"/>
    <w:rsid w:val="EFFEBF00"/>
    <w:rsid w:val="F5DF3F1B"/>
    <w:rsid w:val="FD1F462D"/>
    <w:rsid w:val="FEB75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rPr>
  </w:style>
  <w:style w:type="paragraph" w:styleId="2">
    <w:name w:val="heading 3"/>
    <w:basedOn w:val="1"/>
    <w:next w:val="1"/>
    <w:link w:val="26"/>
    <w:qFormat/>
    <w:uiPriority w:val="0"/>
    <w:pPr>
      <w:keepNext/>
      <w:keepLines/>
      <w:spacing w:before="260" w:after="260" w:line="413" w:lineRule="auto"/>
      <w:outlineLvl w:val="2"/>
    </w:pPr>
    <w:rPr>
      <w:b/>
    </w:rPr>
  </w:style>
  <w:style w:type="paragraph" w:styleId="5">
    <w:name w:val="heading 4"/>
    <w:basedOn w:val="1"/>
    <w:next w:val="1"/>
    <w:link w:val="27"/>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eastAsiaTheme="minorHAnsi"/>
      <w:sz w:val="18"/>
      <w:szCs w:val="18"/>
    </w:rPr>
  </w:style>
  <w:style w:type="paragraph" w:styleId="7">
    <w:name w:val="annotation text"/>
    <w:basedOn w:val="1"/>
    <w:qFormat/>
    <w:uiPriority w:val="0"/>
    <w:pPr>
      <w:jc w:val="left"/>
    </w:pPr>
  </w:style>
  <w:style w:type="paragraph" w:styleId="8">
    <w:name w:val="toc 5"/>
    <w:basedOn w:val="1"/>
    <w:next w:val="1"/>
    <w:qFormat/>
    <w:uiPriority w:val="0"/>
    <w:pPr>
      <w:ind w:left="1280"/>
      <w:jc w:val="left"/>
    </w:pPr>
    <w:rPr>
      <w:rFonts w:asciiTheme="minorHAnsi" w:eastAsiaTheme="minorHAnsi"/>
      <w:sz w:val="18"/>
      <w:szCs w:val="18"/>
    </w:rPr>
  </w:style>
  <w:style w:type="paragraph" w:styleId="9">
    <w:name w:val="toc 3"/>
    <w:basedOn w:val="1"/>
    <w:next w:val="1"/>
    <w:qFormat/>
    <w:uiPriority w:val="39"/>
    <w:pPr>
      <w:ind w:left="640"/>
      <w:jc w:val="left"/>
    </w:pPr>
    <w:rPr>
      <w:rFonts w:asciiTheme="minorHAnsi" w:eastAsiaTheme="minorHAnsi"/>
      <w:i/>
      <w:iCs/>
      <w:sz w:val="20"/>
    </w:rPr>
  </w:style>
  <w:style w:type="paragraph" w:styleId="10">
    <w:name w:val="toc 8"/>
    <w:basedOn w:val="1"/>
    <w:next w:val="1"/>
    <w:qFormat/>
    <w:uiPriority w:val="0"/>
    <w:pPr>
      <w:ind w:left="2240"/>
      <w:jc w:val="left"/>
    </w:pPr>
    <w:rPr>
      <w:rFonts w:asciiTheme="minorHAnsi" w:eastAsiaTheme="minorHAnsi"/>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jc w:val="left"/>
    </w:pPr>
    <w:rPr>
      <w:rFonts w:asciiTheme="minorHAnsi" w:eastAsiaTheme="minorHAnsi"/>
      <w:b/>
      <w:bCs/>
      <w:caps/>
      <w:sz w:val="20"/>
    </w:rPr>
  </w:style>
  <w:style w:type="paragraph" w:styleId="14">
    <w:name w:val="toc 4"/>
    <w:basedOn w:val="1"/>
    <w:next w:val="1"/>
    <w:qFormat/>
    <w:uiPriority w:val="0"/>
    <w:pPr>
      <w:ind w:left="960"/>
      <w:jc w:val="left"/>
    </w:pPr>
    <w:rPr>
      <w:rFonts w:asciiTheme="minorHAnsi" w:eastAsiaTheme="minorHAnsi"/>
      <w:sz w:val="18"/>
      <w:szCs w:val="18"/>
    </w:rPr>
  </w:style>
  <w:style w:type="paragraph" w:styleId="15">
    <w:name w:val="toc 6"/>
    <w:basedOn w:val="1"/>
    <w:next w:val="1"/>
    <w:qFormat/>
    <w:uiPriority w:val="0"/>
    <w:pPr>
      <w:ind w:left="1600"/>
      <w:jc w:val="left"/>
    </w:pPr>
    <w:rPr>
      <w:rFonts w:asciiTheme="minorHAnsi" w:eastAsiaTheme="minorHAnsi"/>
      <w:sz w:val="18"/>
      <w:szCs w:val="18"/>
    </w:rPr>
  </w:style>
  <w:style w:type="paragraph" w:styleId="16">
    <w:name w:val="toc 2"/>
    <w:basedOn w:val="1"/>
    <w:next w:val="1"/>
    <w:qFormat/>
    <w:uiPriority w:val="39"/>
    <w:pPr>
      <w:ind w:left="320"/>
      <w:jc w:val="left"/>
    </w:pPr>
    <w:rPr>
      <w:rFonts w:asciiTheme="minorHAnsi" w:eastAsiaTheme="minorHAnsi"/>
      <w:smallCaps/>
      <w:sz w:val="20"/>
    </w:rPr>
  </w:style>
  <w:style w:type="paragraph" w:styleId="17">
    <w:name w:val="toc 9"/>
    <w:basedOn w:val="1"/>
    <w:next w:val="1"/>
    <w:qFormat/>
    <w:uiPriority w:val="0"/>
    <w:pPr>
      <w:ind w:left="2560"/>
      <w:jc w:val="left"/>
    </w:pPr>
    <w:rPr>
      <w:rFonts w:asciiTheme="minorHAnsi" w:eastAsiaTheme="minorHAnsi"/>
      <w:sz w:val="18"/>
      <w:szCs w:val="18"/>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rFonts w:ascii="Times New Roman" w:hAnsi="Times New Roman" w:eastAsia="宋体" w:cs="Times New Roman"/>
      <w:b/>
    </w:rPr>
  </w:style>
  <w:style w:type="character" w:styleId="22">
    <w:name w:val="page number"/>
    <w:basedOn w:val="20"/>
    <w:qFormat/>
    <w:uiPriority w:val="0"/>
  </w:style>
  <w:style w:type="character" w:styleId="23">
    <w:name w:val="Hyperlink"/>
    <w:basedOn w:val="20"/>
    <w:qFormat/>
    <w:uiPriority w:val="99"/>
    <w:rPr>
      <w:rFonts w:ascii="Times New Roman" w:hAnsi="Times New Roman" w:eastAsia="宋体" w:cs="Times New Roman"/>
      <w:color w:val="0000FF" w:themeColor="hyperlink"/>
      <w:u w:val="single"/>
      <w14:textFill>
        <w14:solidFill>
          <w14:schemeClr w14:val="hlink"/>
        </w14:solidFill>
      </w14:textFill>
    </w:rPr>
  </w:style>
  <w:style w:type="paragraph" w:customStyle="1" w:styleId="24">
    <w:name w:val="_Style 6"/>
    <w:basedOn w:val="1"/>
    <w:qFormat/>
    <w:uiPriority w:val="0"/>
  </w:style>
  <w:style w:type="character" w:customStyle="1" w:styleId="25">
    <w:name w:val="标题 1 字符1"/>
    <w:qFormat/>
    <w:uiPriority w:val="0"/>
    <w:rPr>
      <w:rFonts w:ascii="Times New Roman" w:hAnsi="Times New Roman" w:eastAsia="宋体" w:cs="Times New Roman"/>
      <w:b/>
      <w:kern w:val="44"/>
      <w:sz w:val="44"/>
    </w:rPr>
  </w:style>
  <w:style w:type="character" w:customStyle="1" w:styleId="26">
    <w:name w:val="标题 3 字符"/>
    <w:link w:val="2"/>
    <w:qFormat/>
    <w:uiPriority w:val="0"/>
    <w:rPr>
      <w:rFonts w:ascii="Times New Roman" w:hAnsi="Times New Roman" w:eastAsia="宋体" w:cs="Times New Roman"/>
      <w:b/>
    </w:rPr>
  </w:style>
  <w:style w:type="character" w:customStyle="1" w:styleId="27">
    <w:name w:val="标题 4 字符"/>
    <w:link w:val="5"/>
    <w:qFormat/>
    <w:uiPriority w:val="0"/>
    <w:rPr>
      <w:rFonts w:ascii="Arial" w:hAnsi="Arial" w:eastAsia="黑体" w:cs="Times New Roman"/>
      <w:b/>
      <w:sz w:val="28"/>
    </w:rPr>
  </w:style>
  <w:style w:type="character" w:customStyle="1" w:styleId="28">
    <w:name w:val="标题 1 字符"/>
    <w:link w:val="3"/>
    <w:qFormat/>
    <w:uiPriority w:val="0"/>
    <w:rPr>
      <w:rFonts w:ascii="Times New Roman" w:hAnsi="Times New Roman" w:eastAsia="宋体" w:cs="Times New Roman"/>
      <w:b/>
      <w:kern w:val="44"/>
      <w:sz w:val="44"/>
    </w:rPr>
  </w:style>
  <w:style w:type="character" w:customStyle="1" w:styleId="29">
    <w:name w:val="未处理的提及1"/>
    <w:basedOn w:val="20"/>
    <w:semiHidden/>
    <w:unhideWhenUsed/>
    <w:qFormat/>
    <w:uiPriority w:val="99"/>
    <w:rPr>
      <w:rFonts w:ascii="Times New Roman" w:hAnsi="Times New Roman" w:eastAsia="宋体" w:cs="Times New Roman"/>
      <w:color w:val="605E5C"/>
      <w:shd w:val="clear" w:color="auto" w:fill="E1DFDD"/>
    </w:rPr>
  </w:style>
  <w:style w:type="paragraph" w:customStyle="1" w:styleId="30">
    <w:name w:val="Revision"/>
    <w:hidden/>
    <w:semiHidden/>
    <w:qFormat/>
    <w:uiPriority w:val="99"/>
    <w:rPr>
      <w:rFonts w:ascii="Times New Roman" w:hAnsi="Times New Roman" w:eastAsia="方正仿宋_GBK" w:cs="Times New Roman"/>
      <w:kern w:val="2"/>
      <w:sz w:val="32"/>
      <w:lang w:val="en-US" w:eastAsia="zh-CN" w:bidi="ar-SA"/>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2761</Words>
  <Characters>2804</Characters>
  <Lines>0</Lines>
  <Paragraphs>0</Paragraphs>
  <TotalTime>10</TotalTime>
  <ScaleCrop>false</ScaleCrop>
  <LinksUpToDate>false</LinksUpToDate>
  <CharactersWithSpaces>2836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2021-06-22T09:22:00Z</dcterms:created>
  <dc:creator>guest</dc:creator>
  <cp:lastModifiedBy>user</cp:lastModifiedBy>
  <cp:lastPrinted>2026-01-14T11:38:00Z</cp:lastPrinted>
  <dcterms:modified xsi:type="dcterms:W3CDTF">2026-01-27T14:35:30Z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2306CE9A918F4B9B920B4A8D7D35DB13_13</vt:lpwstr>
  </property>
  <property fmtid="{D5CDD505-2E9C-101B-9397-08002B2CF9AE}" pid="4" name="KSOTemplateDocerSaveRecord">
    <vt:lpwstr>eyJoZGlkIjoiMmI0YzIzNTJhN2ZiZGZjMzkzZDIwNGY2N2NjOWQ5ZWMiLCJ1c2VySWQiOiI1NjMyODAzNDgifQ==</vt:lpwstr>
  </property>
</Properties>
</file>