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880" w:firstLineChars="200"/>
        <w:jc w:val="center"/>
        <w:textAlignment w:val="auto"/>
        <w:rPr>
          <w:rFonts w:hint="eastAsia" w:ascii="方正仿宋_GBK" w:hAnsi="方正仿宋_GBK" w:eastAsia="方正仿宋_GBK" w:cs="方正仿宋_GBK"/>
          <w:b w:val="0"/>
          <w:bCs w:val="0"/>
          <w:color w:val="auto"/>
          <w:sz w:val="32"/>
          <w:szCs w:val="32"/>
          <w:shd w:val="clear" w:fill="FFFFFF"/>
        </w:rPr>
      </w:pPr>
      <w:r>
        <w:rPr>
          <w:rFonts w:hint="default" w:ascii="方正小标宋_GBK" w:hAnsi="方正小标宋_GBK" w:eastAsia="方正小标宋_GBK" w:cs="方正小标宋_GBK"/>
          <w:b w:val="0"/>
          <w:bCs w:val="0"/>
          <w:color w:val="auto"/>
          <w:kern w:val="2"/>
          <w:sz w:val="44"/>
          <w:szCs w:val="44"/>
        </w:rPr>
        <w:t>重庆市綦江区烈士纪念设施保护中心</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880" w:firstLineChars="200"/>
        <w:jc w:val="center"/>
        <w:textAlignment w:val="auto"/>
        <w:rPr>
          <w:rFonts w:hint="default" w:ascii="方正小标宋_GBK" w:hAnsi="方正小标宋_GBK" w:eastAsia="方正小标宋_GBK" w:cs="方正小标宋_GBK"/>
          <w:b w:val="0"/>
          <w:bCs w:val="0"/>
          <w:color w:val="auto"/>
          <w:kern w:val="2"/>
          <w:sz w:val="44"/>
          <w:szCs w:val="44"/>
        </w:rPr>
      </w:pPr>
      <w:r>
        <w:rPr>
          <w:rFonts w:hint="default" w:ascii="Times New Roman" w:hAnsi="Times New Roman" w:eastAsia="方正小标宋_GBK" w:cs="Times New Roman"/>
          <w:b w:val="0"/>
          <w:bCs w:val="0"/>
          <w:color w:val="auto"/>
          <w:kern w:val="2"/>
          <w:sz w:val="44"/>
          <w:szCs w:val="44"/>
        </w:rPr>
        <w:t>2022</w:t>
      </w:r>
      <w:r>
        <w:rPr>
          <w:rFonts w:hint="default" w:ascii="方正小标宋_GBK" w:hAnsi="方正小标宋_GBK" w:eastAsia="方正小标宋_GBK" w:cs="方正小标宋_GBK"/>
          <w:b w:val="0"/>
          <w:bCs w:val="0"/>
          <w:color w:val="auto"/>
          <w:kern w:val="2"/>
          <w:sz w:val="44"/>
          <w:szCs w:val="44"/>
        </w:rPr>
        <w:t>年度部门决算情况说明</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880" w:firstLineChars="200"/>
        <w:jc w:val="center"/>
        <w:textAlignment w:val="auto"/>
        <w:rPr>
          <w:rFonts w:hint="default" w:ascii="方正小标宋_GBK" w:hAnsi="方正小标宋_GBK" w:eastAsia="方正小标宋_GBK" w:cs="方正小标宋_GBK"/>
          <w:b w:val="0"/>
          <w:bCs w:val="0"/>
          <w:color w:val="auto"/>
          <w:kern w:val="2"/>
          <w:sz w:val="44"/>
          <w:szCs w:val="44"/>
        </w:rPr>
      </w:pPr>
      <w:r>
        <w:rPr>
          <w:rFonts w:hint="default" w:ascii="方正小标宋_GBK" w:hAnsi="方正小标宋_GBK" w:eastAsia="方正小标宋_GBK" w:cs="方正小标宋_GBK"/>
          <w:b w:val="0"/>
          <w:bCs w:val="0"/>
          <w:color w:val="auto"/>
          <w:kern w:val="2"/>
          <w:sz w:val="44"/>
          <w:szCs w:val="44"/>
        </w:rPr>
        <w:t xml:space="preserve"> </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leftChars="0" w:firstLine="640" w:firstLineChars="200"/>
        <w:jc w:val="left"/>
        <w:textAlignment w:val="auto"/>
        <w:rPr>
          <w:rFonts w:hint="default" w:ascii="方正小标宋_GBK" w:hAnsi="方正小标宋_GBK" w:eastAsia="方正小标宋_GBK" w:cs="方正小标宋_GBK"/>
          <w:b w:val="0"/>
          <w:bCs w:val="0"/>
          <w:color w:val="auto"/>
          <w:kern w:val="2"/>
          <w:sz w:val="44"/>
          <w:szCs w:val="44"/>
        </w:rPr>
      </w:pPr>
      <w:r>
        <w:rPr>
          <w:rFonts w:hint="eastAsia" w:ascii="方正黑体_GBK" w:hAnsi="方正黑体_GBK" w:eastAsia="方正黑体_GBK" w:cs="方正黑体_GBK"/>
          <w:b w:val="0"/>
          <w:bCs w:val="0"/>
          <w:color w:val="auto"/>
          <w:kern w:val="0"/>
          <w:sz w:val="32"/>
          <w:szCs w:val="32"/>
        </w:rPr>
        <w:t>一、部门基本情况</w:t>
      </w:r>
      <w:r>
        <w:rPr>
          <w:rFonts w:hint="default" w:ascii="方正小标宋_GBK" w:hAnsi="方正小标宋_GBK" w:eastAsia="方正小标宋_GBK" w:cs="方正小标宋_GBK"/>
          <w:b w:val="0"/>
          <w:bCs w:val="0"/>
          <w:color w:val="auto"/>
          <w:kern w:val="2"/>
          <w:sz w:val="44"/>
          <w:szCs w:val="44"/>
        </w:rPr>
        <w:t xml:space="preserve"> </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（一）职能职责</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leftChars="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rPr>
        <w:t>重庆市綦江区烈士纪念设施保护中心主要承担全区烈士褒扬纪念领域的烈士纪念设施保护管理等相关辅助性、事务性、技术性等具体工作。（一）贯彻执行国家和市有关烈士褒扬纪念相关政策、法律、法规。（二）承担辖区内烈士纪念设施规划、修缮、建设、维护、管理等事务性工作。（三）负责收集整理烈士英名录以及烈士遗物、事迹并进行陈列展示。（四）负责本行政区域内烈士精神、革命文化研究和宣传，弘扬烈士精神。（五）为开展褒扬纪念活动、祭扫接待工作提供支持和服务。（六）协助上级开展本辖区内失踪烈士遗骸搜寻工作。（七）完成主管部门交办的其他工作。</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（二）机构设置</w:t>
      </w:r>
    </w:p>
    <w:p>
      <w:pPr>
        <w:pStyle w:val="19"/>
        <w:keepNext w:val="0"/>
        <w:keepLines w:val="0"/>
        <w:pageBreakBefore w:val="0"/>
        <w:widowControl/>
        <w:kinsoku/>
        <w:wordWrap/>
        <w:overflowPunct/>
        <w:topLinePunct w:val="0"/>
        <w:autoSpaceDE w:val="0"/>
        <w:autoSpaceDN/>
        <w:bidi w:val="0"/>
        <w:adjustRightInd w:val="0"/>
        <w:snapToGrid/>
        <w:spacing w:before="0" w:beforeAutospacing="0" w:after="0" w:afterAutospacing="0" w:line="600" w:lineRule="exact"/>
        <w:ind w:firstLine="640" w:firstLineChars="200"/>
        <w:textAlignment w:val="auto"/>
        <w:rPr>
          <w:rFonts w:hint="eastAsia" w:eastAsia="方正仿宋_GBK"/>
          <w:color w:val="auto"/>
          <w:sz w:val="32"/>
          <w:szCs w:val="32"/>
        </w:rPr>
      </w:pPr>
      <w:r>
        <w:rPr>
          <w:rFonts w:hint="eastAsia" w:eastAsia="方正仿宋_GBK"/>
          <w:color w:val="auto"/>
          <w:sz w:val="32"/>
          <w:szCs w:val="32"/>
        </w:rPr>
        <w:t>重庆市綦江区烈士纪念设施保护中心事业编制5，设主任1名、副主任1名。</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b w:val="0"/>
          <w:bCs w:val="0"/>
          <w:color w:val="auto"/>
          <w:kern w:val="0"/>
          <w:sz w:val="32"/>
          <w:szCs w:val="32"/>
        </w:rPr>
      </w:pPr>
      <w:r>
        <w:rPr>
          <w:rStyle w:val="17"/>
          <w:rFonts w:hint="eastAsia" w:ascii="方正黑体_GBK" w:hAnsi="方正黑体_GBK" w:eastAsia="方正黑体_GBK" w:cs="方正黑体_GBK"/>
          <w:b w:val="0"/>
          <w:bCs w:val="0"/>
          <w:color w:val="auto"/>
          <w:sz w:val="32"/>
          <w:szCs w:val="32"/>
          <w:shd w:val="clear" w:fill="FFFFFF"/>
        </w:rPr>
        <w:t>二、部门决算情况说明</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（一）收入支出决算总体情况说明</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lang w:eastAsia="zh-CN"/>
        </w:rPr>
      </w:pPr>
      <w:r>
        <w:rPr>
          <w:rStyle w:val="17"/>
          <w:rFonts w:hint="eastAsia" w:ascii="方正仿宋_GBK" w:hAnsi="方正仿宋_GBK" w:eastAsia="方正仿宋_GBK" w:cs="方正仿宋_GBK"/>
          <w:b w:val="0"/>
          <w:bCs w:val="0"/>
          <w:color w:val="auto"/>
          <w:sz w:val="32"/>
          <w:szCs w:val="32"/>
          <w:shd w:val="clear" w:fill="FFFFFF"/>
        </w:rPr>
        <w:t>1.总体情况。</w:t>
      </w:r>
      <w:r>
        <w:rPr>
          <w:rFonts w:hint="eastAsia" w:ascii="方正仿宋_GBK" w:hAnsi="方正仿宋_GBK" w:eastAsia="方正仿宋_GBK" w:cs="方正仿宋_GBK"/>
          <w:b w:val="0"/>
          <w:bCs w:val="0"/>
          <w:color w:val="auto"/>
          <w:kern w:val="0"/>
          <w:sz w:val="32"/>
          <w:szCs w:val="32"/>
          <w:shd w:val="clear" w:fill="FFFFFF"/>
        </w:rPr>
        <w:t>2022年度收入总计230.56万元，支出总计230.56万元。收支较上年决算数减少24.18万元,下降9.5%，主要原因是</w:t>
      </w:r>
      <w:r>
        <w:rPr>
          <w:rFonts w:hint="eastAsia" w:ascii="方正仿宋_GBK" w:hAnsi="方正仿宋_GBK" w:eastAsia="方正仿宋_GBK" w:cs="方正仿宋_GBK"/>
          <w:b w:val="0"/>
          <w:bCs w:val="0"/>
          <w:color w:val="auto"/>
          <w:kern w:val="0"/>
          <w:sz w:val="32"/>
          <w:szCs w:val="32"/>
          <w:shd w:val="clear" w:fill="FFFFFF"/>
          <w:lang w:eastAsia="zh-CN"/>
        </w:rPr>
        <w:t>优抚事业单位支出减少。</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shd w:val="clear" w:fill="FFFFFF"/>
        </w:rPr>
      </w:pPr>
      <w:r>
        <w:rPr>
          <w:rStyle w:val="17"/>
          <w:rFonts w:hint="eastAsia" w:ascii="方正仿宋_GBK" w:hAnsi="方正仿宋_GBK" w:eastAsia="方正仿宋_GBK" w:cs="方正仿宋_GBK"/>
          <w:b w:val="0"/>
          <w:bCs w:val="0"/>
          <w:color w:val="auto"/>
          <w:sz w:val="32"/>
          <w:szCs w:val="32"/>
          <w:shd w:val="clear" w:fill="FFFFFF"/>
        </w:rPr>
        <w:t>2.收入情况。</w:t>
      </w:r>
      <w:r>
        <w:rPr>
          <w:rFonts w:hint="eastAsia" w:ascii="方正仿宋_GBK" w:hAnsi="方正仿宋_GBK" w:eastAsia="方正仿宋_GBK" w:cs="方正仿宋_GBK"/>
          <w:b w:val="0"/>
          <w:bCs w:val="0"/>
          <w:color w:val="auto"/>
          <w:kern w:val="0"/>
          <w:sz w:val="32"/>
          <w:szCs w:val="32"/>
          <w:shd w:val="clear" w:fill="FFFFFF"/>
        </w:rPr>
        <w:t>2022年度收入合计223.09万元，较上年决算数增加12.76万元，增长6.1%，主要原因是本单位系上年年中新成立单位，上年决算数据非全年数据。其中：财政拨款收入223.09万元，占100%。此外，使用非财政拨款结余0.00万元，年初结转和结余7.46万元。</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仿宋_GBK" w:hAnsi="方正仿宋_GBK" w:eastAsia="方正仿宋_GBK" w:cs="方正仿宋_GBK"/>
          <w:b w:val="0"/>
          <w:bCs w:val="0"/>
          <w:color w:val="auto"/>
          <w:sz w:val="32"/>
          <w:szCs w:val="32"/>
          <w:shd w:val="clear" w:fill="FFFFFF"/>
        </w:rPr>
        <w:t>3.支出情况。</w:t>
      </w:r>
      <w:r>
        <w:rPr>
          <w:rFonts w:hint="eastAsia" w:ascii="方正仿宋_GBK" w:hAnsi="方正仿宋_GBK" w:eastAsia="方正仿宋_GBK" w:cs="方正仿宋_GBK"/>
          <w:b w:val="0"/>
          <w:bCs w:val="0"/>
          <w:color w:val="auto"/>
          <w:kern w:val="0"/>
          <w:sz w:val="32"/>
          <w:szCs w:val="32"/>
          <w:shd w:val="clear" w:fill="FFFFFF"/>
        </w:rPr>
        <w:t>2022年度支出合计230.56万元，较上年决算减少24.18万元，下降9.5%，主要原因是</w:t>
      </w:r>
      <w:r>
        <w:rPr>
          <w:rFonts w:hint="eastAsia" w:ascii="方正仿宋_GBK" w:hAnsi="方正仿宋_GBK" w:eastAsia="方正仿宋_GBK" w:cs="方正仿宋_GBK"/>
          <w:b w:val="0"/>
          <w:bCs w:val="0"/>
          <w:color w:val="auto"/>
          <w:kern w:val="0"/>
          <w:sz w:val="32"/>
          <w:szCs w:val="32"/>
          <w:shd w:val="clear" w:fill="FFFFFF"/>
          <w:lang w:eastAsia="zh-CN"/>
        </w:rPr>
        <w:t>优抚事业单位支出减少。</w:t>
      </w:r>
      <w:r>
        <w:rPr>
          <w:rFonts w:hint="eastAsia" w:ascii="方正仿宋_GBK" w:hAnsi="方正仿宋_GBK" w:eastAsia="方正仿宋_GBK" w:cs="方正仿宋_GBK"/>
          <w:b w:val="0"/>
          <w:bCs w:val="0"/>
          <w:color w:val="auto"/>
          <w:kern w:val="0"/>
          <w:sz w:val="32"/>
          <w:szCs w:val="32"/>
          <w:shd w:val="clear" w:fill="FFFFFF"/>
        </w:rPr>
        <w:t>其中：基本支出84.24万元，占36.5%；项目支出146.32万元，占63.5%。此外，结余分配0.00万元。</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仿宋_GBK" w:hAnsi="方正仿宋_GBK" w:eastAsia="方正仿宋_GBK" w:cs="方正仿宋_GBK"/>
          <w:b w:val="0"/>
          <w:bCs w:val="0"/>
          <w:color w:val="auto"/>
          <w:sz w:val="32"/>
          <w:szCs w:val="32"/>
          <w:shd w:val="clear" w:fill="FFFFFF"/>
        </w:rPr>
        <w:t>4.结转结余情况。</w:t>
      </w:r>
      <w:r>
        <w:rPr>
          <w:rFonts w:hint="eastAsia" w:ascii="方正仿宋_GBK" w:hAnsi="方正仿宋_GBK" w:eastAsia="方正仿宋_GBK" w:cs="方正仿宋_GBK"/>
          <w:b w:val="0"/>
          <w:bCs w:val="0"/>
          <w:color w:val="auto"/>
          <w:kern w:val="0"/>
          <w:sz w:val="32"/>
          <w:szCs w:val="32"/>
          <w:shd w:val="clear" w:fill="FFFFFF"/>
        </w:rPr>
        <w:t>2022年度年末结转和结余0.00万元，较上年决算数增加0.00万元，增长0%，主要原因是科学预测、提前部署，精准编制预算。</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（二）财政拨款收入支出决算总体情况说明</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shd w:val="clear" w:fill="FFFFFF"/>
        </w:rPr>
        <w:t>2022年度财政拨款收、支总计230.56万元。与2021年相比，财政拨款收、支总计各减少24.18万元，下降9.5%。主要原因是</w:t>
      </w:r>
      <w:r>
        <w:rPr>
          <w:rFonts w:hint="eastAsia" w:ascii="方正仿宋_GBK" w:hAnsi="方正仿宋_GBK" w:eastAsia="方正仿宋_GBK" w:cs="方正仿宋_GBK"/>
          <w:b w:val="0"/>
          <w:bCs w:val="0"/>
          <w:color w:val="auto"/>
          <w:kern w:val="0"/>
          <w:sz w:val="32"/>
          <w:szCs w:val="32"/>
          <w:shd w:val="clear" w:fill="FFFFFF"/>
          <w:lang w:eastAsia="zh-CN"/>
        </w:rPr>
        <w:t>优抚事业单位支出减少。</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（三）一般公共预算财政拨款收入支出决算情况说明</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仿宋_GBK" w:hAnsi="方正仿宋_GBK" w:eastAsia="方正仿宋_GBK" w:cs="方正仿宋_GBK"/>
          <w:b w:val="0"/>
          <w:bCs w:val="0"/>
          <w:color w:val="auto"/>
          <w:sz w:val="32"/>
          <w:szCs w:val="32"/>
          <w:shd w:val="clear" w:fill="FFFFFF"/>
        </w:rPr>
        <w:t>1.收入情况。</w:t>
      </w:r>
      <w:r>
        <w:rPr>
          <w:rFonts w:hint="eastAsia" w:ascii="方正仿宋_GBK" w:hAnsi="方正仿宋_GBK" w:eastAsia="方正仿宋_GBK" w:cs="方正仿宋_GBK"/>
          <w:b w:val="0"/>
          <w:bCs w:val="0"/>
          <w:color w:val="auto"/>
          <w:kern w:val="0"/>
          <w:sz w:val="32"/>
          <w:szCs w:val="32"/>
          <w:shd w:val="clear" w:fill="FFFFFF"/>
        </w:rPr>
        <w:t>2022年度一般公共预算财政拨款收入223.09万元，较上年决算数增加12.76万元，增长6.1%。主要原因是本单位系上年年中新成立单位，上年决算数据非全年数据。较年初预算数减少19.99万元，下降8.2%。主要原因是</w:t>
      </w:r>
      <w:r>
        <w:rPr>
          <w:rFonts w:hint="eastAsia" w:ascii="方正仿宋_GBK" w:hAnsi="方正仿宋_GBK" w:eastAsia="方正仿宋_GBK" w:cs="方正仿宋_GBK"/>
          <w:b w:val="0"/>
          <w:bCs w:val="0"/>
          <w:color w:val="auto"/>
          <w:kern w:val="0"/>
          <w:sz w:val="32"/>
          <w:szCs w:val="32"/>
          <w:shd w:val="clear" w:fill="FFFFFF"/>
          <w:lang w:eastAsia="zh-CN"/>
        </w:rPr>
        <w:t>厉行节约，压缩开支。</w:t>
      </w:r>
      <w:r>
        <w:rPr>
          <w:rFonts w:hint="eastAsia" w:ascii="方正仿宋_GBK" w:hAnsi="方正仿宋_GBK" w:eastAsia="方正仿宋_GBK" w:cs="方正仿宋_GBK"/>
          <w:b w:val="0"/>
          <w:bCs w:val="0"/>
          <w:color w:val="auto"/>
          <w:kern w:val="0"/>
          <w:sz w:val="32"/>
          <w:szCs w:val="32"/>
          <w:shd w:val="clear" w:fill="FFFFFF"/>
        </w:rPr>
        <w:t>此外，年初财政拨款结转和结余7.46万元。</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lang w:eastAsia="zh-CN"/>
        </w:rPr>
      </w:pPr>
      <w:r>
        <w:rPr>
          <w:rStyle w:val="17"/>
          <w:rFonts w:hint="eastAsia" w:ascii="方正仿宋_GBK" w:hAnsi="方正仿宋_GBK" w:eastAsia="方正仿宋_GBK" w:cs="方正仿宋_GBK"/>
          <w:b w:val="0"/>
          <w:bCs w:val="0"/>
          <w:color w:val="auto"/>
          <w:sz w:val="32"/>
          <w:szCs w:val="32"/>
          <w:shd w:val="clear" w:fill="FFFFFF"/>
        </w:rPr>
        <w:t>2.支出情况。</w:t>
      </w:r>
      <w:r>
        <w:rPr>
          <w:rFonts w:hint="eastAsia" w:ascii="方正仿宋_GBK" w:hAnsi="方正仿宋_GBK" w:eastAsia="方正仿宋_GBK" w:cs="方正仿宋_GBK"/>
          <w:b w:val="0"/>
          <w:bCs w:val="0"/>
          <w:color w:val="auto"/>
          <w:kern w:val="0"/>
          <w:sz w:val="32"/>
          <w:szCs w:val="32"/>
          <w:shd w:val="clear" w:fill="FFFFFF"/>
        </w:rPr>
        <w:t>2022年度一般公共预算财政拨款支出230.56万元，较上年决算数减少24.18万元，下降9.5%。主要原因是</w:t>
      </w:r>
      <w:r>
        <w:rPr>
          <w:rFonts w:hint="eastAsia" w:ascii="方正仿宋_GBK" w:hAnsi="方正仿宋_GBK" w:eastAsia="方正仿宋_GBK" w:cs="方正仿宋_GBK"/>
          <w:b w:val="0"/>
          <w:bCs w:val="0"/>
          <w:color w:val="auto"/>
          <w:kern w:val="0"/>
          <w:sz w:val="32"/>
          <w:szCs w:val="32"/>
          <w:shd w:val="clear" w:fill="FFFFFF"/>
          <w:lang w:eastAsia="zh-CN"/>
        </w:rPr>
        <w:t>优抚事业单位支出减少。</w:t>
      </w:r>
      <w:r>
        <w:rPr>
          <w:rFonts w:hint="eastAsia" w:ascii="方正仿宋_GBK" w:hAnsi="方正仿宋_GBK" w:eastAsia="方正仿宋_GBK" w:cs="方正仿宋_GBK"/>
          <w:b w:val="0"/>
          <w:bCs w:val="0"/>
          <w:color w:val="auto"/>
          <w:kern w:val="0"/>
          <w:sz w:val="32"/>
          <w:szCs w:val="32"/>
          <w:shd w:val="clear" w:fill="FFFFFF"/>
        </w:rPr>
        <w:t>较年初预算数减少12.52万元，下降5.2%。主要原因是</w:t>
      </w:r>
      <w:r>
        <w:rPr>
          <w:rFonts w:hint="eastAsia" w:ascii="方正仿宋_GBK" w:hAnsi="方正仿宋_GBK" w:eastAsia="方正仿宋_GBK" w:cs="方正仿宋_GBK"/>
          <w:b w:val="0"/>
          <w:bCs w:val="0"/>
          <w:color w:val="auto"/>
          <w:kern w:val="0"/>
          <w:sz w:val="32"/>
          <w:szCs w:val="32"/>
          <w:shd w:val="clear" w:fill="FFFFFF"/>
          <w:lang w:eastAsia="zh-CN"/>
        </w:rPr>
        <w:t>厉行节约，压缩开支。</w:t>
      </w:r>
    </w:p>
    <w:p>
      <w:pPr>
        <w:pStyle w:val="18"/>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leftChars="0" w:firstLine="640" w:firstLineChars="200"/>
        <w:textAlignment w:val="auto"/>
        <w:rPr>
          <w:rFonts w:hint="eastAsia" w:ascii="方正仿宋_GBK" w:hAnsi="方正仿宋_GBK" w:eastAsia="方正仿宋_GBK" w:cs="方正仿宋_GBK"/>
          <w:b w:val="0"/>
          <w:bCs w:val="0"/>
          <w:color w:val="auto"/>
          <w:kern w:val="0"/>
          <w:sz w:val="32"/>
          <w:szCs w:val="32"/>
          <w:shd w:val="clear" w:fill="FFFFFF"/>
        </w:rPr>
      </w:pPr>
      <w:r>
        <w:rPr>
          <w:rStyle w:val="17"/>
          <w:rFonts w:hint="eastAsia" w:ascii="方正仿宋_GBK" w:hAnsi="方正仿宋_GBK" w:eastAsia="方正仿宋_GBK" w:cs="方正仿宋_GBK"/>
          <w:b w:val="0"/>
          <w:bCs w:val="0"/>
          <w:color w:val="auto"/>
          <w:sz w:val="32"/>
          <w:szCs w:val="32"/>
          <w:shd w:val="clear" w:fill="FFFFFF"/>
        </w:rPr>
        <w:t>3.结转结余情况。</w:t>
      </w:r>
      <w:r>
        <w:rPr>
          <w:rFonts w:hint="eastAsia" w:ascii="方正仿宋_GBK" w:hAnsi="方正仿宋_GBK" w:eastAsia="方正仿宋_GBK" w:cs="方正仿宋_GBK"/>
          <w:b w:val="0"/>
          <w:bCs w:val="0"/>
          <w:color w:val="auto"/>
          <w:kern w:val="0"/>
          <w:sz w:val="32"/>
          <w:szCs w:val="32"/>
          <w:shd w:val="clear" w:fill="FFFFFF"/>
        </w:rPr>
        <w:t>2022年度年末一般公共预算财政拨款结转和结余0.00万元，较上年决算数增加0.00万元，增长0%，主要原因是科学预测、提前部署，精准编制预算。</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仿宋_GBK" w:hAnsi="方正仿宋_GBK" w:eastAsia="方正仿宋_GBK" w:cs="方正仿宋_GBK"/>
          <w:b w:val="0"/>
          <w:bCs w:val="0"/>
          <w:color w:val="auto"/>
          <w:sz w:val="32"/>
          <w:szCs w:val="32"/>
          <w:shd w:val="clear" w:fill="FFFFFF"/>
        </w:rPr>
        <w:t>4.比较情况。</w:t>
      </w:r>
      <w:r>
        <w:rPr>
          <w:rFonts w:hint="eastAsia" w:ascii="方正仿宋_GBK" w:hAnsi="方正仿宋_GBK" w:eastAsia="方正仿宋_GBK" w:cs="方正仿宋_GBK"/>
          <w:b w:val="0"/>
          <w:bCs w:val="0"/>
          <w:color w:val="auto"/>
          <w:kern w:val="0"/>
          <w:sz w:val="32"/>
          <w:szCs w:val="32"/>
          <w:shd w:val="clear" w:fill="FFFFFF"/>
        </w:rPr>
        <w:t>本部门2022年度一般公共预算财政拨款支出主要用于以下几个方面：</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shd w:val="clear" w:fill="FFFFFF"/>
          <w:lang w:eastAsia="zh-CN"/>
        </w:rPr>
      </w:pPr>
      <w:r>
        <w:rPr>
          <w:rFonts w:hint="eastAsia" w:ascii="方正仿宋_GBK" w:hAnsi="方正仿宋_GBK" w:eastAsia="方正仿宋_GBK" w:cs="方正仿宋_GBK"/>
          <w:b w:val="0"/>
          <w:bCs w:val="0"/>
          <w:color w:val="auto"/>
          <w:kern w:val="0"/>
          <w:sz w:val="32"/>
          <w:szCs w:val="32"/>
          <w:shd w:val="clear" w:fill="FFFFFF"/>
        </w:rPr>
        <w:t>（1）社会保障与就业支出222.57万元，占96.5%，较年初预算数减少12.23万元，下降5.2%，主要原因是</w:t>
      </w:r>
      <w:r>
        <w:rPr>
          <w:rFonts w:hint="eastAsia" w:ascii="方正仿宋_GBK" w:hAnsi="方正仿宋_GBK" w:eastAsia="方正仿宋_GBK" w:cs="方正仿宋_GBK"/>
          <w:b w:val="0"/>
          <w:bCs w:val="0"/>
          <w:color w:val="auto"/>
          <w:kern w:val="0"/>
          <w:sz w:val="32"/>
          <w:szCs w:val="32"/>
          <w:shd w:val="clear" w:fill="FFFFFF"/>
          <w:lang w:eastAsia="zh-CN"/>
        </w:rPr>
        <w:t>人员中途调</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jc w:val="left"/>
        <w:textAlignment w:val="auto"/>
        <w:rPr>
          <w:rFonts w:hint="eastAsia" w:ascii="方正仿宋_GBK" w:hAnsi="方正仿宋_GBK" w:eastAsia="方正仿宋_GBK" w:cs="方正仿宋_GBK"/>
          <w:b w:val="0"/>
          <w:bCs w:val="0"/>
          <w:color w:val="auto"/>
          <w:kern w:val="0"/>
          <w:sz w:val="32"/>
          <w:szCs w:val="32"/>
          <w:shd w:val="clear" w:fill="FFFFFF"/>
          <w:lang w:eastAsia="zh-CN"/>
        </w:rPr>
      </w:pPr>
      <w:r>
        <w:rPr>
          <w:rFonts w:hint="eastAsia" w:ascii="方正仿宋_GBK" w:hAnsi="方正仿宋_GBK" w:eastAsia="方正仿宋_GBK" w:cs="方正仿宋_GBK"/>
          <w:b w:val="0"/>
          <w:bCs w:val="0"/>
          <w:color w:val="auto"/>
          <w:kern w:val="0"/>
          <w:sz w:val="32"/>
          <w:szCs w:val="32"/>
          <w:shd w:val="clear" w:fill="FFFFFF"/>
          <w:lang w:eastAsia="zh-CN"/>
        </w:rPr>
        <w:t>出。</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shd w:val="clear" w:fill="FFFFFF"/>
          <w:lang w:eastAsia="zh-CN"/>
        </w:rPr>
      </w:pPr>
      <w:r>
        <w:rPr>
          <w:rFonts w:hint="eastAsia" w:ascii="方正仿宋_GBK" w:hAnsi="方正仿宋_GBK" w:eastAsia="方正仿宋_GBK" w:cs="方正仿宋_GBK"/>
          <w:b w:val="0"/>
          <w:bCs w:val="0"/>
          <w:color w:val="auto"/>
          <w:kern w:val="0"/>
          <w:sz w:val="32"/>
          <w:szCs w:val="32"/>
          <w:shd w:val="clear" w:fill="FFFFFF"/>
        </w:rPr>
        <w:t>（2）卫生健康支出3.65万元，占1.6%，较年初预算数减少0.46万元，下降11.2%，主要原因是</w:t>
      </w:r>
      <w:r>
        <w:rPr>
          <w:rFonts w:hint="eastAsia" w:ascii="方正仿宋_GBK" w:hAnsi="方正仿宋_GBK" w:eastAsia="方正仿宋_GBK" w:cs="方正仿宋_GBK"/>
          <w:b w:val="0"/>
          <w:bCs w:val="0"/>
          <w:color w:val="auto"/>
          <w:kern w:val="0"/>
          <w:sz w:val="32"/>
          <w:szCs w:val="32"/>
          <w:shd w:val="clear" w:fill="FFFFFF"/>
          <w:lang w:eastAsia="zh-CN"/>
        </w:rPr>
        <w:t>人员中途调出。</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shd w:val="clear" w:fill="FFFFFF"/>
          <w:lang w:eastAsia="zh-CN"/>
        </w:rPr>
      </w:pPr>
      <w:r>
        <w:rPr>
          <w:rFonts w:hint="eastAsia" w:ascii="方正仿宋_GBK" w:hAnsi="方正仿宋_GBK" w:eastAsia="方正仿宋_GBK" w:cs="方正仿宋_GBK"/>
          <w:b w:val="0"/>
          <w:bCs w:val="0"/>
          <w:color w:val="auto"/>
          <w:kern w:val="0"/>
          <w:sz w:val="32"/>
          <w:szCs w:val="32"/>
          <w:shd w:val="clear" w:fill="FFFFFF"/>
        </w:rPr>
        <w:t>（3）住房保障支出4.33万元，占1.9%，较年初预算数增加0.15万元，增长3.6%，主要原因是</w:t>
      </w:r>
      <w:r>
        <w:rPr>
          <w:rFonts w:hint="eastAsia" w:ascii="方正仿宋_GBK" w:hAnsi="方正仿宋_GBK" w:eastAsia="方正仿宋_GBK" w:cs="方正仿宋_GBK"/>
          <w:b w:val="0"/>
          <w:bCs w:val="0"/>
          <w:color w:val="auto"/>
          <w:kern w:val="0"/>
          <w:sz w:val="32"/>
          <w:szCs w:val="32"/>
          <w:shd w:val="clear" w:fill="FFFFFF"/>
          <w:lang w:eastAsia="zh-CN"/>
        </w:rPr>
        <w:t>工资基数调整。</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（四）一般公共预算财政拨款基本支出决算情况说明</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shd w:val="clear" w:fill="FFFFFF"/>
        </w:rPr>
        <w:t>2022年度一般公共预算财政拨款基本支出84.24万元。其中：人员经费75.93万元，较上年决算数增加34.85万元，增长84.8%，主要原因是本单位系上年年中新成立单位，上年决算数据非全年数据。人员经费用途主要包括</w:t>
      </w:r>
      <w:r>
        <w:rPr>
          <w:rFonts w:hint="eastAsia" w:ascii="方正仿宋_GBK" w:hAnsi="方正仿宋_GBK" w:eastAsia="方正仿宋_GBK" w:cs="方正仿宋_GBK"/>
          <w:b w:val="0"/>
          <w:bCs w:val="0"/>
          <w:color w:val="auto"/>
          <w:kern w:val="0"/>
          <w:sz w:val="32"/>
          <w:szCs w:val="32"/>
        </w:rPr>
        <w:t>基本工资、津贴补贴、奖金、社会保障缴费等。</w:t>
      </w:r>
      <w:r>
        <w:rPr>
          <w:rFonts w:hint="eastAsia" w:ascii="方正仿宋_GBK" w:hAnsi="方正仿宋_GBK" w:eastAsia="方正仿宋_GBK" w:cs="方正仿宋_GBK"/>
          <w:b w:val="0"/>
          <w:bCs w:val="0"/>
          <w:color w:val="auto"/>
          <w:kern w:val="0"/>
          <w:sz w:val="32"/>
          <w:szCs w:val="32"/>
          <w:shd w:val="clear" w:fill="FFFFFF"/>
        </w:rPr>
        <w:t>公用经费8.32万元，较上年决算数减少3.90万元，下降31.9%，主要原因是</w:t>
      </w:r>
      <w:r>
        <w:rPr>
          <w:rFonts w:hint="eastAsia" w:ascii="方正仿宋_GBK" w:hAnsi="方正仿宋_GBK" w:eastAsia="方正仿宋_GBK" w:cs="方正仿宋_GBK"/>
          <w:b w:val="0"/>
          <w:bCs w:val="0"/>
          <w:color w:val="auto"/>
          <w:kern w:val="0"/>
          <w:sz w:val="32"/>
          <w:szCs w:val="32"/>
        </w:rPr>
        <w:t>运转性项目由公用经费调整到项目支出决算。</w:t>
      </w:r>
      <w:r>
        <w:rPr>
          <w:rFonts w:hint="eastAsia" w:ascii="方正仿宋_GBK" w:hAnsi="方正仿宋_GBK" w:eastAsia="方正仿宋_GBK" w:cs="方正仿宋_GBK"/>
          <w:b w:val="0"/>
          <w:bCs w:val="0"/>
          <w:color w:val="auto"/>
          <w:kern w:val="0"/>
          <w:sz w:val="32"/>
          <w:szCs w:val="32"/>
          <w:shd w:val="clear" w:fill="FFFFFF"/>
        </w:rPr>
        <w:t>公用经费用途主要包括</w:t>
      </w:r>
      <w:r>
        <w:rPr>
          <w:rFonts w:hint="eastAsia" w:ascii="方正仿宋_GBK" w:hAnsi="方正仿宋_GBK" w:eastAsia="方正仿宋_GBK" w:cs="方正仿宋_GBK"/>
          <w:b w:val="0"/>
          <w:bCs w:val="0"/>
          <w:color w:val="auto"/>
          <w:kern w:val="0"/>
          <w:sz w:val="32"/>
          <w:szCs w:val="32"/>
        </w:rPr>
        <w:t>办公费、印刷费、咨询费、手续费等。</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（五）政府性基金预算收支决算情况说明。</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2022年度政府性基金预算财政拨款年初结转结余0.00万元，年末结转结余0.00万元。本年收入0.00万元，较上年决算数增加0.00万元，增长0%，主要原因是本部门2022年度无政府性基金预算财政拨款收支。</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（六）国有资本经营预算财政拨款支出决算情况说明。</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2022年度国有资本经营预算财政拨本年支出0.00万元，本部门2022年度无国有资本经营预算财政拨款支出。</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b w:val="0"/>
          <w:bCs w:val="0"/>
          <w:color w:val="auto"/>
          <w:kern w:val="0"/>
          <w:sz w:val="32"/>
          <w:szCs w:val="32"/>
        </w:rPr>
      </w:pPr>
      <w:r>
        <w:rPr>
          <w:rStyle w:val="17"/>
          <w:rFonts w:hint="eastAsia" w:ascii="方正黑体_GBK" w:hAnsi="方正黑体_GBK" w:eastAsia="方正黑体_GBK" w:cs="方正黑体_GBK"/>
          <w:b w:val="0"/>
          <w:bCs w:val="0"/>
          <w:color w:val="auto"/>
          <w:sz w:val="32"/>
          <w:szCs w:val="32"/>
          <w:shd w:val="clear" w:fill="FFFFFF"/>
        </w:rPr>
        <w:t>三、“三公”经费情况说明</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（一）“三公”经费支出总体情况说明</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shd w:val="clear" w:fill="FFFFFF"/>
        </w:rPr>
        <w:t>2022年度“三公”经费支出共计0.00万元，较年初预算数减少0.10万元，下降100%，主要原因是厉行节约，压缩开支。较上年支出数减少0.25万元，下降100%，主要原因是厉行节约，压缩开支。</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（二）“三公”经费分项支出情况</w:t>
      </w:r>
    </w:p>
    <w:p>
      <w:pPr>
        <w:pStyle w:val="12"/>
        <w:keepNext w:val="0"/>
        <w:keepLines w:val="0"/>
        <w:pageBreakBefore w:val="0"/>
        <w:widowControl/>
        <w:suppressLineNumbers w:val="0"/>
        <w:kinsoku/>
        <w:wordWrap/>
        <w:overflowPunct/>
        <w:topLinePunct w:val="0"/>
        <w:autoSpaceDN/>
        <w:bidi w:val="0"/>
        <w:adjustRightInd/>
        <w:snapToGrid/>
        <w:spacing w:before="0" w:beforeAutospacing="0" w:afterAutospacing="0" w:line="600" w:lineRule="exact"/>
        <w:ind w:left="0" w:firstLine="640" w:firstLineChars="200"/>
        <w:jc w:val="left"/>
        <w:textAlignment w:val="auto"/>
        <w:rPr>
          <w:rFonts w:hint="eastAsia" w:ascii="方正仿宋_GBK" w:hAnsi="方正仿宋_GBK" w:eastAsia="方正仿宋_GBK" w:cs="方正仿宋_GBK"/>
          <w:color w:val="auto"/>
          <w:kern w:val="0"/>
          <w:sz w:val="32"/>
          <w:szCs w:val="32"/>
          <w:shd w:val="clear" w:fill="FFFFFF"/>
        </w:rPr>
      </w:pPr>
      <w:r>
        <w:rPr>
          <w:rFonts w:hint="eastAsia" w:ascii="方正仿宋_GBK" w:hAnsi="方正仿宋_GBK" w:eastAsia="方正仿宋_GBK" w:cs="方正仿宋_GBK"/>
          <w:color w:val="auto"/>
          <w:kern w:val="0"/>
          <w:sz w:val="32"/>
          <w:szCs w:val="32"/>
          <w:shd w:val="clear" w:fill="FFFFFF"/>
        </w:rPr>
        <w:t>本单位2022年度无因公出国（境）费用0.00万元，费用支出较年初预算数增加0.00万元，无变化。较上年支出数增加0.00万元，无变化。</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leftChars="0" w:right="0" w:firstLine="640" w:firstLineChars="200"/>
        <w:jc w:val="both"/>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color w:val="auto"/>
          <w:kern w:val="0"/>
          <w:sz w:val="32"/>
          <w:szCs w:val="32"/>
          <w:shd w:val="clear" w:fill="FFFFFF"/>
        </w:rPr>
        <w:t>公务车购置费用0.00万元，费用支出较年初预算数增加0.00万元，无变化。较上年支出数增加0.00万元，无变化。</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本单位2022年度公务车运行维护费0.00万元，费用支出较年初预算数增加0.00万元，无变化。较上年支出数增加0.00万元，无变化。</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shd w:val="clear" w:fill="FFFFFF"/>
        </w:rPr>
        <w:t>公务接待费0.00万元。费用支出较年初预算数减少0.10万元，下降100%，主要原因是节约开支，严格控制公务接待。较上年支出数减少0.25万元，下降100%，主要原因是节约开支，严格控制公务接待。</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（三）“三公”经费实物量情况</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shd w:val="clear" w:fill="FFFFFF"/>
        </w:rPr>
        <w:t>2022年度本部门因公出国（境）共计0个团组，0人；公务用车购置0辆，公务车保有量为0辆；国内公务接待0批次0人，其中：国内外事接待0批次，0人；国（境）外公务接待0批次，0人。2022年本部门人均接待费0.00元，车均购置费0.00万元，车均维护费0.00万元。</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仿宋_GBK" w:hAnsi="方正仿宋_GBK" w:eastAsia="方正仿宋_GBK" w:cs="方正仿宋_GBK"/>
          <w:b w:val="0"/>
          <w:bCs w:val="0"/>
          <w:color w:val="auto"/>
          <w:sz w:val="32"/>
          <w:szCs w:val="32"/>
          <w:shd w:val="clear" w:fill="FFFFFF"/>
        </w:rPr>
        <w:t>四、其他需要说明的事项</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（一）财政拨款会议费和培训费情况说明</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shd w:val="clear" w:fill="FFFFFF"/>
        </w:rPr>
        <w:t>本年度会议费支出0.00万元，较上年决算数增加0.00万元，增长0%，主要原因是厉行节约，压缩开支。本年度培训费支出0.00万元，较上年决算数减少0.04万元，下降100%，主要原因是厉行节约，压缩开支。</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（二）机关运行经费支出情况说明</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2022年度本部门机关运行经费支出0.00万元。按照部门决算列报口径，我单位不在机关运行经费统计范围之内。</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（三）国有资产占用情况说明</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shd w:val="clear" w:fill="FFFFFF"/>
        </w:rPr>
        <w:t>截至2022年12月31日，本部门共有车辆0辆，其中，副部（省）级及以上领导用车0辆、主要领导干部用车0辆、机要通信用车0辆、应急保障用车0辆、执法执勤用车0辆，特种专业技术用车0辆，离退休干部用车0辆，其他用车0辆。单价100万元（含）以上设备（不含车辆）0台（套）。</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（四）政府采购支出说明</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shd w:val="clear" w:fill="FFFFFF"/>
        </w:rPr>
      </w:pPr>
      <w:r>
        <w:rPr>
          <w:rFonts w:hint="eastAsia" w:ascii="方正仿宋_GBK" w:hAnsi="方正仿宋_GBK" w:eastAsia="方正仿宋_GBK" w:cs="方正仿宋_GBK"/>
          <w:b w:val="0"/>
          <w:bCs w:val="0"/>
          <w:color w:val="auto"/>
          <w:kern w:val="0"/>
          <w:sz w:val="32"/>
          <w:szCs w:val="32"/>
          <w:shd w:val="clear" w:fill="FFFFFF"/>
        </w:rPr>
        <w:t>2022年度我单位未发生政府采购事项，无相关经费支出。</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b w:val="0"/>
          <w:bCs w:val="0"/>
          <w:color w:val="auto"/>
          <w:kern w:val="0"/>
          <w:sz w:val="32"/>
          <w:szCs w:val="32"/>
        </w:rPr>
      </w:pPr>
      <w:r>
        <w:rPr>
          <w:rStyle w:val="17"/>
          <w:rFonts w:hint="eastAsia" w:ascii="方正黑体_GBK" w:hAnsi="方正黑体_GBK" w:eastAsia="方正黑体_GBK" w:cs="方正黑体_GBK"/>
          <w:b w:val="0"/>
          <w:bCs w:val="0"/>
          <w:color w:val="auto"/>
          <w:sz w:val="32"/>
          <w:szCs w:val="32"/>
          <w:shd w:val="clear" w:fill="FFFFFF"/>
        </w:rPr>
        <w:t>五、预算绩效管理情况说明</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lang w:eastAsia="zh-CN"/>
        </w:rPr>
      </w:pPr>
      <w:r>
        <w:rPr>
          <w:rStyle w:val="17"/>
          <w:rFonts w:hint="eastAsia" w:ascii="方正楷体_GBK" w:hAnsi="方正楷体_GBK" w:eastAsia="方正楷体_GBK" w:cs="方正楷体_GBK"/>
          <w:b w:val="0"/>
          <w:bCs w:val="0"/>
          <w:color w:val="auto"/>
          <w:sz w:val="32"/>
          <w:szCs w:val="32"/>
          <w:shd w:val="clear" w:fill="FFFFFF"/>
        </w:rPr>
        <w:t>（一）预算绩效管理工作开展情况</w:t>
      </w:r>
      <w:r>
        <w:rPr>
          <w:rStyle w:val="17"/>
          <w:rFonts w:hint="eastAsia" w:ascii="方正楷体_GBK" w:hAnsi="方正楷体_GBK" w:eastAsia="方正楷体_GBK" w:cs="方正楷体_GBK"/>
          <w:b w:val="0"/>
          <w:bCs w:val="0"/>
          <w:color w:val="auto"/>
          <w:sz w:val="32"/>
          <w:szCs w:val="32"/>
          <w:shd w:val="clear" w:fill="FFFFFF"/>
          <w:lang w:eastAsia="zh-CN"/>
        </w:rPr>
        <w:t>。</w:t>
      </w:r>
    </w:p>
    <w:p>
      <w:pPr>
        <w:pStyle w:val="9"/>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leftChars="0"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shd w:val="clear" w:color="auto" w:fill="FFFFFF"/>
        </w:rPr>
        <w:t>根据预算绩效管理要求，我</w:t>
      </w:r>
      <w:r>
        <w:rPr>
          <w:rFonts w:hint="eastAsia" w:ascii="方正仿宋简体" w:hAnsi="方正仿宋简体" w:eastAsia="方正仿宋简体" w:cs="方正仿宋简体"/>
          <w:color w:val="auto"/>
          <w:sz w:val="32"/>
          <w:szCs w:val="32"/>
          <w:shd w:val="clear" w:color="auto" w:fill="FFFFFF"/>
          <w:lang w:eastAsia="zh-CN"/>
        </w:rPr>
        <w:t>中心</w:t>
      </w:r>
      <w:r>
        <w:rPr>
          <w:rFonts w:hint="eastAsia" w:ascii="方正仿宋简体" w:hAnsi="方正仿宋简体" w:eastAsia="方正仿宋简体" w:cs="方正仿宋简体"/>
          <w:color w:val="auto"/>
          <w:sz w:val="32"/>
          <w:szCs w:val="32"/>
          <w:shd w:val="clear" w:color="auto" w:fill="FFFFFF"/>
        </w:rPr>
        <w:t>对</w:t>
      </w:r>
      <w:r>
        <w:rPr>
          <w:rFonts w:hint="eastAsia" w:ascii="方正仿宋简体" w:hAnsi="方正仿宋简体" w:eastAsia="方正仿宋简体" w:cs="方正仿宋简体"/>
          <w:color w:val="auto"/>
          <w:sz w:val="32"/>
          <w:szCs w:val="32"/>
          <w:shd w:val="clear" w:color="auto" w:fill="FFFFFF"/>
          <w:lang w:val="en-US" w:eastAsia="zh-CN"/>
        </w:rPr>
        <w:t>7</w:t>
      </w:r>
      <w:r>
        <w:rPr>
          <w:rFonts w:hint="eastAsia" w:ascii="方正仿宋简体" w:hAnsi="方正仿宋简体" w:eastAsia="方正仿宋简体" w:cs="方正仿宋简体"/>
          <w:color w:val="auto"/>
          <w:sz w:val="32"/>
          <w:szCs w:val="32"/>
          <w:shd w:val="clear" w:color="auto" w:fill="FFFFFF"/>
        </w:rPr>
        <w:t>个项目开展了绩效自评，其中，以填报自评表形式开展自评</w:t>
      </w:r>
      <w:r>
        <w:rPr>
          <w:rFonts w:hint="eastAsia" w:ascii="方正仿宋简体" w:hAnsi="方正仿宋简体" w:eastAsia="方正仿宋简体" w:cs="方正仿宋简体"/>
          <w:color w:val="auto"/>
          <w:sz w:val="32"/>
          <w:szCs w:val="32"/>
          <w:shd w:val="clear" w:color="auto" w:fill="FFFFFF"/>
          <w:lang w:val="en-US" w:eastAsia="zh-CN"/>
        </w:rPr>
        <w:t>7</w:t>
      </w:r>
      <w:r>
        <w:rPr>
          <w:rFonts w:hint="eastAsia" w:ascii="方正仿宋简体" w:hAnsi="方正仿宋简体" w:eastAsia="方正仿宋简体" w:cs="方正仿宋简体"/>
          <w:color w:val="auto"/>
          <w:sz w:val="32"/>
          <w:szCs w:val="32"/>
          <w:shd w:val="clear" w:color="auto" w:fill="FFFFFF"/>
        </w:rPr>
        <w:t>项，涉及</w:t>
      </w:r>
      <w:bookmarkStart w:id="0" w:name="_GoBack"/>
      <w:bookmarkEnd w:id="0"/>
      <w:r>
        <w:rPr>
          <w:rFonts w:hint="eastAsia" w:ascii="方正仿宋简体" w:hAnsi="方正仿宋简体" w:eastAsia="方正仿宋简体" w:cs="方正仿宋简体"/>
          <w:color w:val="auto"/>
          <w:sz w:val="32"/>
          <w:szCs w:val="32"/>
          <w:shd w:val="clear" w:color="auto" w:fill="FFFFFF"/>
        </w:rPr>
        <w:t>资金</w:t>
      </w:r>
      <w:r>
        <w:rPr>
          <w:rFonts w:hint="eastAsia" w:ascii="方正仿宋简体" w:hAnsi="方正仿宋简体" w:eastAsia="方正仿宋简体" w:cs="方正仿宋简体"/>
          <w:color w:val="auto"/>
          <w:sz w:val="32"/>
          <w:szCs w:val="32"/>
          <w:shd w:val="clear" w:color="auto" w:fill="FFFFFF"/>
          <w:lang w:val="en-US" w:eastAsia="zh-CN"/>
        </w:rPr>
        <w:t>***</w:t>
      </w:r>
      <w:r>
        <w:rPr>
          <w:rFonts w:hint="eastAsia" w:ascii="方正仿宋简体" w:hAnsi="方正仿宋简体" w:eastAsia="方正仿宋简体" w:cs="方正仿宋简体"/>
          <w:color w:val="auto"/>
          <w:sz w:val="32"/>
          <w:szCs w:val="32"/>
          <w:shd w:val="clear" w:color="auto" w:fill="FFFFFF"/>
        </w:rPr>
        <w:t>万元</w:t>
      </w:r>
      <w:r>
        <w:rPr>
          <w:rFonts w:hint="eastAsia" w:ascii="方正仿宋简体" w:hAnsi="方正仿宋简体" w:eastAsia="方正仿宋简体" w:cs="方正仿宋简体"/>
          <w:color w:val="auto"/>
          <w:sz w:val="32"/>
          <w:szCs w:val="32"/>
          <w:shd w:val="clear" w:color="auto" w:fill="FFFFFF"/>
          <w:lang w:eastAsia="zh-CN"/>
        </w:rPr>
        <w:t>（涉密项目）</w:t>
      </w:r>
      <w:r>
        <w:rPr>
          <w:rFonts w:hint="eastAsia" w:ascii="方正仿宋简体" w:hAnsi="方正仿宋简体" w:eastAsia="方正仿宋简体" w:cs="方正仿宋简体"/>
          <w:color w:val="auto"/>
          <w:sz w:val="32"/>
          <w:szCs w:val="32"/>
          <w:shd w:val="clear" w:color="auto" w:fill="FFFFFF"/>
        </w:rPr>
        <w:t>；</w:t>
      </w:r>
      <w:r>
        <w:rPr>
          <w:rFonts w:hint="eastAsia" w:ascii="方正仿宋简体" w:hAnsi="方正仿宋简体" w:eastAsia="方正仿宋简体" w:cs="方正仿宋简体"/>
          <w:color w:val="auto"/>
          <w:sz w:val="32"/>
          <w:szCs w:val="32"/>
          <w:shd w:val="clear" w:color="auto" w:fill="FFFFFF"/>
          <w:lang w:eastAsia="zh-CN"/>
        </w:rPr>
        <w:t>没有</w:t>
      </w:r>
      <w:r>
        <w:rPr>
          <w:rFonts w:hint="eastAsia" w:ascii="方正仿宋简体" w:hAnsi="方正仿宋简体" w:eastAsia="方正仿宋简体" w:cs="方正仿宋简体"/>
          <w:color w:val="auto"/>
          <w:sz w:val="32"/>
          <w:szCs w:val="32"/>
          <w:shd w:val="clear" w:color="auto" w:fill="FFFFFF"/>
        </w:rPr>
        <w:t>以委托第三方出具报告的方式开展绩效评价。</w:t>
      </w:r>
      <w:r>
        <w:rPr>
          <w:rFonts w:hint="eastAsia" w:ascii="方正仿宋简体" w:hAnsi="方正仿宋简体" w:eastAsia="方正仿宋简体" w:cs="方正仿宋简体"/>
          <w:color w:val="auto"/>
          <w:sz w:val="32"/>
          <w:szCs w:val="32"/>
          <w:shd w:val="clear" w:color="auto" w:fill="FFFFFF"/>
          <w:lang w:val="en-US" w:eastAsia="zh-CN"/>
        </w:rPr>
        <w:t>从评价情况来看，数量指标全部完</w:t>
      </w:r>
      <w:r>
        <w:rPr>
          <w:rFonts w:hint="eastAsia" w:ascii="Times New Roman" w:hAnsi="Times New Roman" w:eastAsia="方正仿宋_GBK" w:cs="Times New Roman"/>
          <w:color w:val="auto"/>
          <w:kern w:val="2"/>
          <w:sz w:val="32"/>
          <w:szCs w:val="20"/>
          <w:lang w:val="en-US" w:eastAsia="zh-CN" w:bidi="ar-SA"/>
        </w:rPr>
        <w:t>成，质量效益指标方面成效明显，群众满意度达到95%以上，资金管理和内控指标执行偏差率低于2%，较好地保障了烈士纪念设施保护各项政策的顺利落实。</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（二）绩效自评结果。</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仿宋_GBK" w:hAnsi="方正仿宋_GBK" w:eastAsia="方正仿宋_GBK" w:cs="方正仿宋_GBK"/>
          <w:b w:val="0"/>
          <w:bCs w:val="0"/>
          <w:color w:val="auto"/>
          <w:sz w:val="32"/>
          <w:szCs w:val="32"/>
          <w:shd w:val="clear" w:fill="FFFFFF"/>
        </w:rPr>
        <w:t>1.绩效目标自评表。</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leftChars="0" w:right="0" w:firstLine="640" w:firstLineChars="200"/>
        <w:jc w:val="both"/>
        <w:textAlignment w:val="auto"/>
        <w:rPr>
          <w:rFonts w:hint="eastAsia" w:ascii="方正仿宋_GBK" w:hAnsi="方正仿宋_GBK" w:eastAsia="方正仿宋_GBK" w:cs="方正仿宋_GBK"/>
          <w:b w:val="0"/>
          <w:bCs w:val="0"/>
          <w:color w:val="auto"/>
          <w:kern w:val="0"/>
          <w:sz w:val="32"/>
          <w:szCs w:val="32"/>
          <w:lang w:eastAsia="zh-CN"/>
        </w:rPr>
      </w:pPr>
      <w:r>
        <w:rPr>
          <w:rFonts w:hint="eastAsia" w:ascii="方正仿宋_GBK" w:hAnsi="方正仿宋_GBK" w:eastAsia="方正仿宋_GBK" w:cs="方正仿宋_GBK"/>
          <w:b w:val="0"/>
          <w:bCs w:val="0"/>
          <w:color w:val="auto"/>
          <w:kern w:val="0"/>
          <w:sz w:val="32"/>
          <w:szCs w:val="32"/>
        </w:rPr>
        <w:t>详见公开表</w:t>
      </w:r>
      <w:r>
        <w:rPr>
          <w:rFonts w:hint="eastAsia" w:ascii="方正仿宋_GBK" w:hAnsi="方正仿宋_GBK" w:eastAsia="方正仿宋_GBK" w:cs="方正仿宋_GBK"/>
          <w:b w:val="0"/>
          <w:bCs w:val="0"/>
          <w:color w:val="auto"/>
          <w:kern w:val="0"/>
          <w:sz w:val="32"/>
          <w:szCs w:val="32"/>
          <w:lang w:eastAsia="zh-CN"/>
        </w:rPr>
        <w:t>。</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仿宋_GBK" w:hAnsi="方正仿宋_GBK" w:eastAsia="方正仿宋_GBK" w:cs="方正仿宋_GBK"/>
          <w:b w:val="0"/>
          <w:bCs w:val="0"/>
          <w:color w:val="auto"/>
          <w:sz w:val="32"/>
          <w:szCs w:val="32"/>
          <w:shd w:val="clear" w:fill="FFFFFF"/>
        </w:rPr>
        <w:t>2.绩效自评报告或案例。</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2"/>
          <w:sz w:val="32"/>
          <w:szCs w:val="32"/>
          <w:lang w:eastAsia="zh-CN"/>
        </w:rPr>
      </w:pPr>
      <w:r>
        <w:rPr>
          <w:rFonts w:hint="eastAsia" w:ascii="方正仿宋_GBK" w:hAnsi="方正仿宋_GBK" w:eastAsia="方正仿宋_GBK" w:cs="方正仿宋_GBK"/>
          <w:b w:val="0"/>
          <w:bCs w:val="0"/>
          <w:color w:val="auto"/>
          <w:kern w:val="2"/>
          <w:sz w:val="32"/>
          <w:szCs w:val="32"/>
        </w:rPr>
        <w:t>无</w:t>
      </w:r>
      <w:r>
        <w:rPr>
          <w:rFonts w:hint="eastAsia" w:ascii="方正仿宋_GBK" w:hAnsi="方正仿宋_GBK" w:eastAsia="方正仿宋_GBK" w:cs="方正仿宋_GBK"/>
          <w:b w:val="0"/>
          <w:bCs w:val="0"/>
          <w:color w:val="auto"/>
          <w:kern w:val="2"/>
          <w:sz w:val="32"/>
          <w:szCs w:val="32"/>
          <w:lang w:eastAsia="zh-CN"/>
        </w:rPr>
        <w:t>。</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仿宋_GBK" w:hAnsi="方正仿宋_GBK" w:eastAsia="方正仿宋_GBK" w:cs="方正仿宋_GBK"/>
          <w:b w:val="0"/>
          <w:bCs w:val="0"/>
          <w:color w:val="auto"/>
          <w:sz w:val="32"/>
          <w:szCs w:val="32"/>
          <w:shd w:val="clear" w:fill="FFFFFF"/>
        </w:rPr>
        <w:t>3.关于绩效自评结果的说明。</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2"/>
          <w:sz w:val="32"/>
          <w:szCs w:val="32"/>
        </w:rPr>
      </w:pPr>
      <w:r>
        <w:rPr>
          <w:rFonts w:hint="eastAsia" w:ascii="方正仿宋_GBK" w:hAnsi="方正仿宋_GBK" w:eastAsia="方正仿宋_GBK" w:cs="方正仿宋_GBK"/>
          <w:b w:val="0"/>
          <w:bCs w:val="0"/>
          <w:color w:val="auto"/>
          <w:kern w:val="2"/>
          <w:sz w:val="32"/>
          <w:szCs w:val="32"/>
        </w:rPr>
        <w:t>本年度各项工作目标顺利完成，在思想宣传、社会服务等方面都完成了年初工作计划，自评绩效目标完成度较好。</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（三）重点绩效评价结果。</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2"/>
          <w:sz w:val="32"/>
          <w:szCs w:val="32"/>
          <w:lang w:eastAsia="zh-CN"/>
        </w:rPr>
      </w:pPr>
      <w:r>
        <w:rPr>
          <w:rFonts w:hint="eastAsia" w:ascii="方正仿宋_GBK" w:hAnsi="方正仿宋_GBK" w:eastAsia="方正仿宋_GBK" w:cs="方正仿宋_GBK"/>
          <w:b w:val="0"/>
          <w:bCs w:val="0"/>
          <w:color w:val="auto"/>
          <w:kern w:val="2"/>
          <w:sz w:val="32"/>
          <w:szCs w:val="32"/>
        </w:rPr>
        <w:t>无</w:t>
      </w:r>
      <w:r>
        <w:rPr>
          <w:rFonts w:hint="eastAsia" w:ascii="方正仿宋_GBK" w:hAnsi="方正仿宋_GBK" w:eastAsia="方正仿宋_GBK" w:cs="方正仿宋_GBK"/>
          <w:b w:val="0"/>
          <w:bCs w:val="0"/>
          <w:color w:val="auto"/>
          <w:kern w:val="2"/>
          <w:sz w:val="32"/>
          <w:szCs w:val="32"/>
          <w:lang w:eastAsia="zh-CN"/>
        </w:rPr>
        <w:t>。</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仿宋_GBK" w:hAnsi="方正仿宋_GBK" w:eastAsia="方正仿宋_GBK" w:cs="方正仿宋_GBK"/>
          <w:b w:val="0"/>
          <w:bCs w:val="0"/>
          <w:color w:val="auto"/>
          <w:sz w:val="32"/>
          <w:szCs w:val="32"/>
          <w:shd w:val="clear" w:fill="FFFFFF"/>
        </w:rPr>
        <w:t>六、专业名词解释</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（一）财政拨款收入</w:t>
      </w:r>
      <w:r>
        <w:rPr>
          <w:rFonts w:hint="eastAsia" w:ascii="方正楷体_GBK" w:hAnsi="方正楷体_GBK" w:eastAsia="方正楷体_GBK" w:cs="方正楷体_GBK"/>
          <w:b w:val="0"/>
          <w:bCs w:val="0"/>
          <w:color w:val="auto"/>
          <w:kern w:val="0"/>
          <w:sz w:val="32"/>
          <w:szCs w:val="32"/>
          <w:shd w:val="clear" w:fill="FFFFFF"/>
        </w:rPr>
        <w:t>：</w:t>
      </w:r>
      <w:r>
        <w:rPr>
          <w:rFonts w:hint="eastAsia" w:ascii="方正仿宋_GBK" w:hAnsi="方正仿宋_GBK" w:eastAsia="方正仿宋_GBK" w:cs="方正仿宋_GBK"/>
          <w:b w:val="0"/>
          <w:bCs w:val="0"/>
          <w:color w:val="auto"/>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（二）事业收入</w:t>
      </w:r>
      <w:r>
        <w:rPr>
          <w:rFonts w:hint="eastAsia" w:ascii="方正楷体_GBK" w:hAnsi="方正楷体_GBK" w:eastAsia="方正楷体_GBK" w:cs="方正楷体_GBK"/>
          <w:b w:val="0"/>
          <w:bCs w:val="0"/>
          <w:color w:val="auto"/>
          <w:kern w:val="0"/>
          <w:sz w:val="32"/>
          <w:szCs w:val="32"/>
          <w:shd w:val="clear" w:fill="FFFFFF"/>
        </w:rPr>
        <w:t>：</w:t>
      </w:r>
      <w:r>
        <w:rPr>
          <w:rFonts w:hint="eastAsia" w:ascii="方正仿宋_GBK" w:hAnsi="方正仿宋_GBK" w:eastAsia="方正仿宋_GBK" w:cs="方正仿宋_GBK"/>
          <w:b w:val="0"/>
          <w:bCs w:val="0"/>
          <w:color w:val="auto"/>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（三）经营收入</w:t>
      </w:r>
      <w:r>
        <w:rPr>
          <w:rFonts w:hint="eastAsia" w:ascii="方正楷体_GBK" w:hAnsi="方正楷体_GBK" w:eastAsia="方正楷体_GBK" w:cs="方正楷体_GBK"/>
          <w:b w:val="0"/>
          <w:bCs w:val="0"/>
          <w:color w:val="auto"/>
          <w:kern w:val="0"/>
          <w:sz w:val="32"/>
          <w:szCs w:val="32"/>
          <w:shd w:val="clear" w:fill="FFFFFF"/>
        </w:rPr>
        <w:t>：</w:t>
      </w:r>
      <w:r>
        <w:rPr>
          <w:rFonts w:hint="eastAsia" w:ascii="方正仿宋_GBK" w:hAnsi="方正仿宋_GBK" w:eastAsia="方正仿宋_GBK" w:cs="方正仿宋_GBK"/>
          <w:b w:val="0"/>
          <w:bCs w:val="0"/>
          <w:color w:val="auto"/>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（四）其他收入</w:t>
      </w:r>
      <w:r>
        <w:rPr>
          <w:rFonts w:hint="eastAsia" w:ascii="方正楷体_GBK" w:hAnsi="方正楷体_GBK" w:eastAsia="方正楷体_GBK" w:cs="方正楷体_GBK"/>
          <w:b w:val="0"/>
          <w:bCs w:val="0"/>
          <w:color w:val="auto"/>
          <w:kern w:val="0"/>
          <w:sz w:val="32"/>
          <w:szCs w:val="32"/>
          <w:shd w:val="clear" w:fill="FFFFFF"/>
        </w:rPr>
        <w:t>：</w:t>
      </w:r>
      <w:r>
        <w:rPr>
          <w:rFonts w:hint="eastAsia" w:ascii="方正仿宋_GBK" w:hAnsi="方正仿宋_GBK" w:eastAsia="方正仿宋_GBK" w:cs="方正仿宋_GBK"/>
          <w:b w:val="0"/>
          <w:bCs w:val="0"/>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（五）使用非财政拨款结余</w:t>
      </w:r>
      <w:r>
        <w:rPr>
          <w:rFonts w:hint="eastAsia" w:ascii="方正楷体_GBK" w:hAnsi="方正楷体_GBK" w:eastAsia="方正楷体_GBK" w:cs="方正楷体_GBK"/>
          <w:b w:val="0"/>
          <w:bCs w:val="0"/>
          <w:color w:val="auto"/>
          <w:kern w:val="0"/>
          <w:sz w:val="32"/>
          <w:szCs w:val="32"/>
          <w:shd w:val="clear" w:fill="FFFFFF"/>
        </w:rPr>
        <w:t>：</w:t>
      </w:r>
      <w:r>
        <w:rPr>
          <w:rFonts w:hint="eastAsia" w:ascii="方正仿宋_GBK" w:hAnsi="方正仿宋_GBK" w:eastAsia="方正仿宋_GBK" w:cs="方正仿宋_GBK"/>
          <w:b w:val="0"/>
          <w:bCs w:val="0"/>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（六）年初结转和结余</w:t>
      </w:r>
      <w:r>
        <w:rPr>
          <w:rFonts w:hint="eastAsia" w:ascii="方正楷体_GBK" w:hAnsi="方正楷体_GBK" w:eastAsia="方正楷体_GBK" w:cs="方正楷体_GBK"/>
          <w:b w:val="0"/>
          <w:bCs w:val="0"/>
          <w:color w:val="auto"/>
          <w:kern w:val="0"/>
          <w:sz w:val="32"/>
          <w:szCs w:val="32"/>
          <w:shd w:val="clear" w:fill="FFFFFF"/>
        </w:rPr>
        <w:t>：</w:t>
      </w:r>
      <w:r>
        <w:rPr>
          <w:rFonts w:hint="eastAsia" w:ascii="方正仿宋_GBK" w:hAnsi="方正仿宋_GBK" w:eastAsia="方正仿宋_GBK" w:cs="方正仿宋_GBK"/>
          <w:b w:val="0"/>
          <w:bCs w:val="0"/>
          <w:color w:val="auto"/>
          <w:kern w:val="0"/>
          <w:sz w:val="32"/>
          <w:szCs w:val="32"/>
          <w:shd w:val="clear" w:fill="FFFFFF"/>
        </w:rPr>
        <w:t>指单位上年结转本年使用的基本支出结转、项目支出结转和结余、经营结余。</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（七）结余分配</w:t>
      </w:r>
      <w:r>
        <w:rPr>
          <w:rFonts w:hint="eastAsia" w:ascii="方正楷体_GBK" w:hAnsi="方正楷体_GBK" w:eastAsia="方正楷体_GBK" w:cs="方正楷体_GBK"/>
          <w:b w:val="0"/>
          <w:bCs w:val="0"/>
          <w:color w:val="auto"/>
          <w:kern w:val="0"/>
          <w:sz w:val="32"/>
          <w:szCs w:val="32"/>
          <w:shd w:val="clear" w:fill="FFFFFF"/>
        </w:rPr>
        <w:t>：</w:t>
      </w:r>
      <w:r>
        <w:rPr>
          <w:rFonts w:hint="eastAsia" w:ascii="方正仿宋_GBK" w:hAnsi="方正仿宋_GBK" w:eastAsia="方正仿宋_GBK" w:cs="方正仿宋_GBK"/>
          <w:b w:val="0"/>
          <w:bCs w:val="0"/>
          <w:color w:val="auto"/>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（八）年末结转和结余</w:t>
      </w:r>
      <w:r>
        <w:rPr>
          <w:rFonts w:hint="eastAsia" w:ascii="方正楷体_GBK" w:hAnsi="方正楷体_GBK" w:eastAsia="方正楷体_GBK" w:cs="方正楷体_GBK"/>
          <w:b w:val="0"/>
          <w:bCs w:val="0"/>
          <w:color w:val="auto"/>
          <w:kern w:val="0"/>
          <w:sz w:val="32"/>
          <w:szCs w:val="32"/>
          <w:shd w:val="clear" w:fill="FFFFFF"/>
        </w:rPr>
        <w:t>：</w:t>
      </w:r>
      <w:r>
        <w:rPr>
          <w:rFonts w:hint="eastAsia" w:ascii="方正仿宋_GBK" w:hAnsi="方正仿宋_GBK" w:eastAsia="方正仿宋_GBK" w:cs="方正仿宋_GBK"/>
          <w:b w:val="0"/>
          <w:bCs w:val="0"/>
          <w:color w:val="auto"/>
          <w:kern w:val="0"/>
          <w:sz w:val="32"/>
          <w:szCs w:val="32"/>
          <w:shd w:val="clear" w:fill="FFFFFF"/>
        </w:rPr>
        <w:t>指单位结转下年的基本支出结转、项目支出结转和结余、经营结余。</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（九）基本支出</w:t>
      </w:r>
      <w:r>
        <w:rPr>
          <w:rFonts w:hint="eastAsia" w:ascii="方正楷体_GBK" w:hAnsi="方正楷体_GBK" w:eastAsia="方正楷体_GBK" w:cs="方正楷体_GBK"/>
          <w:b w:val="0"/>
          <w:bCs w:val="0"/>
          <w:color w:val="auto"/>
          <w:kern w:val="0"/>
          <w:sz w:val="32"/>
          <w:szCs w:val="32"/>
          <w:shd w:val="clear" w:fill="FFFFFF"/>
        </w:rPr>
        <w:t>：</w:t>
      </w:r>
      <w:r>
        <w:rPr>
          <w:rFonts w:hint="eastAsia" w:ascii="方正仿宋_GBK" w:hAnsi="方正仿宋_GBK" w:eastAsia="方正仿宋_GBK" w:cs="方正仿宋_GBK"/>
          <w:b w:val="0"/>
          <w:bCs w:val="0"/>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（十）项目支出</w:t>
      </w:r>
      <w:r>
        <w:rPr>
          <w:rFonts w:hint="eastAsia" w:ascii="方正楷体_GBK" w:hAnsi="方正楷体_GBK" w:eastAsia="方正楷体_GBK" w:cs="方正楷体_GBK"/>
          <w:b w:val="0"/>
          <w:bCs w:val="0"/>
          <w:color w:val="auto"/>
          <w:kern w:val="0"/>
          <w:sz w:val="32"/>
          <w:szCs w:val="32"/>
          <w:shd w:val="clear" w:fill="FFFFFF"/>
        </w:rPr>
        <w:t>：</w:t>
      </w:r>
      <w:r>
        <w:rPr>
          <w:rFonts w:hint="eastAsia" w:ascii="方正仿宋_GBK" w:hAnsi="方正仿宋_GBK" w:eastAsia="方正仿宋_GBK" w:cs="方正仿宋_GBK"/>
          <w:b w:val="0"/>
          <w:bCs w:val="0"/>
          <w:color w:val="auto"/>
          <w:kern w:val="0"/>
          <w:sz w:val="32"/>
          <w:szCs w:val="32"/>
          <w:shd w:val="clear" w:fill="FFFFFF"/>
        </w:rPr>
        <w:t>指在基本支出之外为完成特定行政任务和事业发展目标所发生的支出。</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（十一）经营支出</w:t>
      </w:r>
      <w:r>
        <w:rPr>
          <w:rFonts w:hint="eastAsia" w:ascii="方正楷体_GBK" w:hAnsi="方正楷体_GBK" w:eastAsia="方正楷体_GBK" w:cs="方正楷体_GBK"/>
          <w:b w:val="0"/>
          <w:bCs w:val="0"/>
          <w:color w:val="auto"/>
          <w:kern w:val="0"/>
          <w:sz w:val="32"/>
          <w:szCs w:val="32"/>
          <w:shd w:val="clear" w:fill="FFFFFF"/>
        </w:rPr>
        <w:t>：</w:t>
      </w:r>
      <w:r>
        <w:rPr>
          <w:rFonts w:hint="eastAsia" w:ascii="方正仿宋_GBK" w:hAnsi="方正仿宋_GBK" w:eastAsia="方正仿宋_GBK" w:cs="方正仿宋_GBK"/>
          <w:b w:val="0"/>
          <w:bCs w:val="0"/>
          <w:color w:val="auto"/>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（十二）“三公”经费</w:t>
      </w:r>
      <w:r>
        <w:rPr>
          <w:rFonts w:hint="eastAsia" w:ascii="方正楷体_GBK" w:hAnsi="方正楷体_GBK" w:eastAsia="方正楷体_GBK" w:cs="方正楷体_GBK"/>
          <w:b w:val="0"/>
          <w:bCs w:val="0"/>
          <w:color w:val="auto"/>
          <w:kern w:val="0"/>
          <w:sz w:val="32"/>
          <w:szCs w:val="32"/>
          <w:shd w:val="clear" w:fill="FFFFFF"/>
        </w:rPr>
        <w:t>：</w:t>
      </w:r>
      <w:r>
        <w:rPr>
          <w:rFonts w:hint="eastAsia" w:ascii="方正仿宋_GBK" w:hAnsi="方正仿宋_GBK" w:eastAsia="方正仿宋_GBK" w:cs="方正仿宋_GBK"/>
          <w:b w:val="0"/>
          <w:bCs w:val="0"/>
          <w:color w:val="auto"/>
          <w:kern w:val="0"/>
          <w:sz w:val="32"/>
          <w:szCs w:val="32"/>
          <w:shd w:val="clear"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（十三）机关运行经费</w:t>
      </w:r>
      <w:r>
        <w:rPr>
          <w:rFonts w:hint="eastAsia" w:ascii="方正楷体_GBK" w:hAnsi="方正楷体_GBK" w:eastAsia="方正楷体_GBK" w:cs="方正楷体_GBK"/>
          <w:b w:val="0"/>
          <w:bCs w:val="0"/>
          <w:color w:val="auto"/>
          <w:kern w:val="0"/>
          <w:sz w:val="32"/>
          <w:szCs w:val="32"/>
          <w:shd w:val="clear" w:fill="FFFFFF"/>
        </w:rPr>
        <w:t>：</w:t>
      </w:r>
      <w:r>
        <w:rPr>
          <w:rFonts w:hint="eastAsia" w:ascii="方正仿宋_GBK" w:hAnsi="方正仿宋_GBK" w:eastAsia="方正仿宋_GBK" w:cs="方正仿宋_GBK"/>
          <w:b w:val="0"/>
          <w:bCs w:val="0"/>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（十四）工资福利支出（支出经济分类科目类级）</w:t>
      </w:r>
      <w:r>
        <w:rPr>
          <w:rFonts w:hint="eastAsia" w:ascii="方正楷体_GBK" w:hAnsi="方正楷体_GBK" w:eastAsia="方正楷体_GBK" w:cs="方正楷体_GBK"/>
          <w:b w:val="0"/>
          <w:bCs w:val="0"/>
          <w:color w:val="auto"/>
          <w:kern w:val="0"/>
          <w:sz w:val="32"/>
          <w:szCs w:val="32"/>
          <w:shd w:val="clear" w:fill="FFFFFF"/>
        </w:rPr>
        <w:t>：</w:t>
      </w:r>
      <w:r>
        <w:rPr>
          <w:rFonts w:hint="eastAsia" w:ascii="方正仿宋_GBK" w:hAnsi="方正仿宋_GBK" w:eastAsia="方正仿宋_GBK" w:cs="方正仿宋_GBK"/>
          <w:b w:val="0"/>
          <w:bCs w:val="0"/>
          <w:color w:val="auto"/>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（十五）商品和服务支出（支出经济分类科目类级）</w:t>
      </w:r>
      <w:r>
        <w:rPr>
          <w:rFonts w:hint="eastAsia" w:ascii="方正楷体_GBK" w:hAnsi="方正楷体_GBK" w:eastAsia="方正楷体_GBK" w:cs="方正楷体_GBK"/>
          <w:b w:val="0"/>
          <w:bCs w:val="0"/>
          <w:color w:val="auto"/>
          <w:kern w:val="0"/>
          <w:sz w:val="32"/>
          <w:szCs w:val="32"/>
          <w:shd w:val="clear" w:fill="FFFFFF"/>
        </w:rPr>
        <w:t>：</w:t>
      </w:r>
      <w:r>
        <w:rPr>
          <w:rFonts w:hint="eastAsia" w:ascii="方正仿宋_GBK" w:hAnsi="方正仿宋_GBK" w:eastAsia="方正仿宋_GBK" w:cs="方正仿宋_GBK"/>
          <w:b w:val="0"/>
          <w:bCs w:val="0"/>
          <w:color w:val="auto"/>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（十六）对个人和家庭的补助（支出经济分类科目类级）</w:t>
      </w:r>
      <w:r>
        <w:rPr>
          <w:rFonts w:hint="eastAsia" w:ascii="方正楷体_GBK" w:hAnsi="方正楷体_GBK" w:eastAsia="方正楷体_GBK" w:cs="方正楷体_GBK"/>
          <w:b w:val="0"/>
          <w:bCs w:val="0"/>
          <w:color w:val="auto"/>
          <w:kern w:val="0"/>
          <w:sz w:val="32"/>
          <w:szCs w:val="32"/>
          <w:shd w:val="clear" w:fill="FFFFFF"/>
        </w:rPr>
        <w:t>：</w:t>
      </w:r>
      <w:r>
        <w:rPr>
          <w:rFonts w:hint="eastAsia" w:ascii="方正仿宋_GBK" w:hAnsi="方正仿宋_GBK" w:eastAsia="方正仿宋_GBK" w:cs="方正仿宋_GBK"/>
          <w:b w:val="0"/>
          <w:bCs w:val="0"/>
          <w:color w:val="auto"/>
          <w:kern w:val="0"/>
          <w:sz w:val="32"/>
          <w:szCs w:val="32"/>
          <w:shd w:val="clear" w:fill="FFFFFF"/>
        </w:rPr>
        <w:t>反映用于对个人和家庭的补助支出。</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Style w:val="17"/>
          <w:rFonts w:hint="eastAsia" w:ascii="方正楷体_GBK" w:hAnsi="方正楷体_GBK" w:eastAsia="方正楷体_GBK" w:cs="方正楷体_GBK"/>
          <w:b w:val="0"/>
          <w:bCs w:val="0"/>
          <w:color w:val="auto"/>
          <w:sz w:val="32"/>
          <w:szCs w:val="32"/>
          <w:shd w:val="clear" w:fill="FFFFFF"/>
        </w:rPr>
        <w:t>（十七）其他资本性支出（支出经济分类科目类级）</w:t>
      </w:r>
      <w:r>
        <w:rPr>
          <w:rFonts w:hint="eastAsia" w:ascii="方正楷体_GBK" w:hAnsi="方正楷体_GBK" w:eastAsia="方正楷体_GBK" w:cs="方正楷体_GBK"/>
          <w:b w:val="0"/>
          <w:bCs w:val="0"/>
          <w:color w:val="auto"/>
          <w:kern w:val="0"/>
          <w:sz w:val="32"/>
          <w:szCs w:val="32"/>
          <w:shd w:val="clear" w:fill="FFFFFF"/>
        </w:rPr>
        <w:t>：</w:t>
      </w:r>
      <w:r>
        <w:rPr>
          <w:rFonts w:hint="eastAsia" w:ascii="方正仿宋_GBK" w:hAnsi="方正仿宋_GBK" w:eastAsia="方正仿宋_GBK" w:cs="方正仿宋_GBK"/>
          <w:b w:val="0"/>
          <w:bCs w:val="0"/>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黑体_GBK" w:hAnsi="方正黑体_GBK" w:eastAsia="方正黑体_GBK" w:cs="方正黑体_GBK"/>
          <w:b w:val="0"/>
          <w:bCs w:val="0"/>
          <w:color w:val="auto"/>
          <w:kern w:val="0"/>
          <w:sz w:val="32"/>
          <w:szCs w:val="32"/>
        </w:rPr>
      </w:pPr>
      <w:r>
        <w:rPr>
          <w:rStyle w:val="17"/>
          <w:rFonts w:hint="eastAsia" w:ascii="方正黑体_GBK" w:hAnsi="方正黑体_GBK" w:eastAsia="方正黑体_GBK" w:cs="方正黑体_GBK"/>
          <w:b w:val="0"/>
          <w:bCs w:val="0"/>
          <w:color w:val="auto"/>
          <w:sz w:val="32"/>
          <w:szCs w:val="32"/>
          <w:shd w:val="clear" w:fill="FFFFFF"/>
        </w:rPr>
        <w:t>七、决算公开联系方式及信息反馈渠道</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shd w:val="clear" w:fill="FFFFFF"/>
        </w:rPr>
        <w:t>本单位决算公开信息反馈和联系方式：</w:t>
      </w:r>
    </w:p>
    <w:p>
      <w:pPr>
        <w:pStyle w:val="12"/>
        <w:keepNext w:val="0"/>
        <w:keepLines w:val="0"/>
        <w:pageBreakBefore w:val="0"/>
        <w:widowControl/>
        <w:suppressLineNumbers w:val="0"/>
        <w:kinsoku/>
        <w:wordWrap/>
        <w:overflowPunct/>
        <w:topLinePunct w:val="0"/>
        <w:autoSpaceDE w:val="0"/>
        <w:autoSpaceDN/>
        <w:bidi w:val="0"/>
        <w:adjustRightInd w:val="0"/>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color w:val="auto"/>
          <w:kern w:val="0"/>
          <w:sz w:val="32"/>
          <w:szCs w:val="32"/>
        </w:rPr>
      </w:pPr>
      <w:r>
        <w:rPr>
          <w:rFonts w:hint="eastAsia" w:ascii="方正仿宋_GBK" w:hAnsi="方正仿宋_GBK" w:eastAsia="方正仿宋_GBK" w:cs="方正仿宋_GBK"/>
          <w:b w:val="0"/>
          <w:bCs w:val="0"/>
          <w:color w:val="auto"/>
          <w:kern w:val="0"/>
          <w:sz w:val="32"/>
          <w:szCs w:val="32"/>
          <w:shd w:val="clear" w:fill="FFFFFF"/>
        </w:rPr>
        <w:t>023-61260152</w:t>
      </w:r>
    </w:p>
    <w:sectPr>
      <w:pgSz w:w="11915" w:h="16851"/>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7223A"/>
    <w:rsid w:val="15B150D9"/>
    <w:rsid w:val="24C22813"/>
    <w:rsid w:val="261279C1"/>
    <w:rsid w:val="2F0958EE"/>
    <w:rsid w:val="3B310A4D"/>
    <w:rsid w:val="43A01379"/>
    <w:rsid w:val="4670329A"/>
    <w:rsid w:val="49FA1929"/>
    <w:rsid w:val="4B04342E"/>
    <w:rsid w:val="4CD15CF9"/>
    <w:rsid w:val="5CCD05C8"/>
    <w:rsid w:val="60017D91"/>
    <w:rsid w:val="60286A6B"/>
    <w:rsid w:val="6A111AE3"/>
    <w:rsid w:val="6DBD4ACB"/>
    <w:rsid w:val="6E8550F9"/>
    <w:rsid w:val="6FEE6C79"/>
    <w:rsid w:val="72DB66DA"/>
    <w:rsid w:val="75D47FF0"/>
    <w:rsid w:val="764A4087"/>
    <w:rsid w:val="791A64D3"/>
    <w:rsid w:val="7BAE02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99"/>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2">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3">
    <w:name w:val="pre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4">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customStyle="1" w:styleId="15">
    <w:name w:val="10"/>
    <w:basedOn w:val="11"/>
    <w:qFormat/>
    <w:uiPriority w:val="0"/>
    <w:rPr>
      <w:rFonts w:hint="default" w:ascii="Times New Roman" w:hAnsi="Times New Roman" w:cs="Times New Roman"/>
    </w:rPr>
  </w:style>
  <w:style w:type="character" w:customStyle="1" w:styleId="16">
    <w:name w:val="16"/>
    <w:basedOn w:val="11"/>
    <w:qFormat/>
    <w:uiPriority w:val="0"/>
    <w:rPr>
      <w:rFonts w:hint="default" w:ascii="Times New Roman" w:hAnsi="Times New Roman" w:cs="Times New Roman"/>
    </w:rPr>
  </w:style>
  <w:style w:type="character" w:customStyle="1" w:styleId="17">
    <w:name w:val="15"/>
    <w:basedOn w:val="11"/>
    <w:qFormat/>
    <w:uiPriority w:val="0"/>
    <w:rPr>
      <w:rFonts w:hint="default" w:ascii="Times New Roman" w:hAnsi="Times New Roman" w:cs="Times New Roman"/>
      <w:b/>
    </w:rPr>
  </w:style>
  <w:style w:type="paragraph" w:customStyle="1" w:styleId="18">
    <w:name w:val="普通(网站) Char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19">
    <w:name w:val="p0"/>
    <w:basedOn w:val="1"/>
    <w:qFormat/>
    <w:uiPriority w:val="0"/>
    <w:pPr>
      <w:widowControl/>
    </w:pPr>
    <w:rPr>
      <w:rFonts w:eastAsia="宋体"/>
      <w:kern w:val="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Lines>1</Lines>
  <Paragraphs>1</Paragraphs>
  <TotalTime>4</TotalTime>
  <ScaleCrop>false</ScaleCrop>
  <LinksUpToDate>false</LinksUpToDate>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2023-10-18T06:58:00Z</dcterms:created>
  <dc:creator>Administrator</dc:creator>
  <cp:lastModifiedBy>Administrator</cp:lastModifiedBy>
  <dcterms:modified xsi:type="dcterms:W3CDTF">2023-10-23T07:50:04Z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792979BF75434202B47C795E22B303AF</vt:lpwstr>
  </property>
</Properties>
</file>