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2022年綦江区经济运行简况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022年，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shd w:val="clear" w:color="auto" w:fill="FFFFFF"/>
        </w:rPr>
        <w:t>全区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坚持以习近平新时代中国特色社会主义思想为指导，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shd w:val="clear" w:color="auto" w:fill="FFFFFF"/>
        </w:rPr>
        <w:t>认真贯彻落实党中央、国务院各项决策部署，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在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shd w:val="clear" w:color="auto" w:fill="FFFFFF"/>
        </w:rPr>
        <w:t>市委市政府科学指挥和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区委区政府坚强领导下，</w:t>
      </w:r>
      <w:r>
        <w:rPr>
          <w:rFonts w:hint="eastAsia" w:ascii="Times New Roman" w:hAnsi="Times New Roman" w:eastAsia="方正仿宋_GBK" w:cs="方正仿宋_GBK"/>
          <w:color w:val="191919"/>
          <w:sz w:val="32"/>
          <w:szCs w:val="32"/>
          <w:shd w:val="clear" w:color="auto" w:fill="FFFFFF"/>
        </w:rPr>
        <w:t>坚持稳中求进工作总基调，高效统筹疫情防控和经济社会发展，积极应对超预期因素挑战，经济实现稳步恢复，物价总体稳定，民生保障持续改善，经济社会大局保持稳定，高质量发展取得新成效。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初步核算，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全年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我区（不含万盛经开区）地区生产总值531.31亿元，同比增长3.0%。分产业看，其中第一产业增加值70.14亿元，同比增长3.2%；第二产业增加值233.33亿元，同比增长4.9%；工业增加值171.59亿元，同比增长4.3%；建筑业增加值61.74亿元，同比增长6.3%；第三产业增加值227.84亿元，同比增长1.2%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方正黑体_GBK" w:hAnsi="Times New Roman" w:eastAsia="方正黑体_GBK" w:cs="Times New Roman"/>
          <w:bCs/>
          <w:sz w:val="32"/>
          <w:szCs w:val="32"/>
          <w:shd w:val="clear" w:color="auto" w:fill="FFFFFF"/>
        </w:rPr>
      </w:pPr>
      <w:r>
        <w:rPr>
          <w:rFonts w:hint="eastAsia" w:ascii="方正黑体_GBK" w:hAnsi="Times New Roman" w:eastAsia="方正黑体_GBK" w:cs="Times New Roman"/>
          <w:bCs/>
          <w:sz w:val="32"/>
          <w:szCs w:val="32"/>
          <w:shd w:val="clear" w:color="auto" w:fill="FFFFFF"/>
        </w:rPr>
        <w:t>一、农业生产稳中有升，稳产保供成效明显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全年农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"/>
        </w:rPr>
        <w:t>林牧渔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业总产值实现108.53亿元，同比增长3.3%。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蔬菜产量6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18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万吨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，同比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增长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4.1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%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；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生猪出栏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55.98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万头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，同比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增长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0.1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%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；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家禽出栏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456.82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万只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，同比下降4.3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%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；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牛出栏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8553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，同比下降7.9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%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；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羊出栏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11.35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万只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，同比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下降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4.3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方正黑体_GBK" w:hAnsi="Times New Roman" w:eastAsia="方正黑体_GBK" w:cs="Times New Roman"/>
          <w:bCs/>
          <w:sz w:val="32"/>
          <w:szCs w:val="32"/>
          <w:shd w:val="clear" w:color="auto" w:fill="FFFFFF"/>
        </w:rPr>
      </w:pPr>
      <w:r>
        <w:rPr>
          <w:rFonts w:hint="eastAsia" w:ascii="方正黑体_GBK" w:hAnsi="Times New Roman" w:eastAsia="方正黑体_GBK" w:cs="Times New Roman"/>
          <w:bCs/>
          <w:sz w:val="32"/>
          <w:szCs w:val="32"/>
          <w:shd w:val="clear" w:color="auto" w:fill="FFFFFF"/>
        </w:rPr>
        <w:t>二、工业生产持续回升，制造业增势强劲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全年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工业增加值同比增长4.3%，其中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规上工业增加值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同比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增长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4.9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%。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分三大门类看，采矿业增加值同比增长1.4%，制造业同比增长3.9%，电力、热力、燃气及水生产和供应业同比增长12.3%，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方正黑体_GBK" w:hAnsi="Times New Roman" w:eastAsia="方正黑体_GBK" w:cs="Times New Roman"/>
          <w:bCs/>
          <w:sz w:val="32"/>
          <w:szCs w:val="32"/>
          <w:shd w:val="clear" w:color="auto" w:fill="FFFFFF"/>
        </w:rPr>
      </w:pPr>
      <w:r>
        <w:rPr>
          <w:rFonts w:hint="eastAsia" w:ascii="方正黑体_GBK" w:hAnsi="Times New Roman" w:eastAsia="方正黑体_GBK" w:cs="Times New Roman"/>
          <w:bCs/>
          <w:sz w:val="32"/>
          <w:szCs w:val="32"/>
          <w:shd w:val="clear" w:color="auto" w:fill="FFFFFF"/>
        </w:rPr>
        <w:t>三、消费市场基本平稳，消费需求持续释放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全年社会消费品零售总额23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4.81</w:t>
      </w:r>
      <w:r>
        <w:rPr>
          <w:rFonts w:ascii="Times New Roman" w:hAnsi="Times New Roman" w:eastAsia="方正仿宋_GBK" w:cs="Times New Roman"/>
          <w:sz w:val="32"/>
          <w:szCs w:val="32"/>
        </w:rPr>
        <w:t>亿元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，同比</w:t>
      </w:r>
      <w:r>
        <w:rPr>
          <w:rFonts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0.8</w:t>
      </w:r>
      <w:r>
        <w:rPr>
          <w:rFonts w:ascii="Times New Roman" w:hAnsi="Times New Roman" w:eastAsia="方正仿宋_GBK" w:cs="Times New Roman"/>
          <w:sz w:val="32"/>
          <w:szCs w:val="32"/>
        </w:rPr>
        <w:t>%。批发业销售额同比增长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10.5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零售业销售额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同比</w:t>
      </w:r>
      <w:r>
        <w:rPr>
          <w:rFonts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6.2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住宿业营业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同比</w:t>
      </w:r>
      <w:r>
        <w:rPr>
          <w:rFonts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3.8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餐饮业营业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同比</w:t>
      </w:r>
      <w:r>
        <w:rPr>
          <w:rFonts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2.5</w:t>
      </w:r>
      <w:r>
        <w:rPr>
          <w:rFonts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方正黑体_GBK" w:hAnsi="Times New Roman" w:eastAsia="方正黑体_GBK" w:cs="Times New Roman"/>
          <w:bCs/>
          <w:sz w:val="32"/>
          <w:szCs w:val="32"/>
          <w:shd w:val="clear" w:color="auto" w:fill="FFFFFF"/>
        </w:rPr>
      </w:pPr>
      <w:r>
        <w:rPr>
          <w:rFonts w:hint="eastAsia" w:ascii="方正黑体_GBK" w:hAnsi="Times New Roman" w:eastAsia="方正黑体_GBK" w:cs="Times New Roman"/>
          <w:bCs/>
          <w:sz w:val="32"/>
          <w:szCs w:val="32"/>
          <w:shd w:val="clear" w:color="auto" w:fill="FFFFFF"/>
        </w:rPr>
        <w:t>四、固定投资增势强劲，工业投资快速增长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全年固定资产投资同比增长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15.2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%。其中工业投资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同比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增长3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0.3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%；基础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设施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投资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同比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15.3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%，民间投资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同比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12.8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%。</w:t>
      </w:r>
      <w:r>
        <w:rPr>
          <w:rFonts w:ascii="Times New Roman" w:hAnsi="Times New Roman" w:eastAsia="方正仿宋_GBK" w:cs="Times New Roman"/>
          <w:sz w:val="32"/>
          <w:szCs w:val="32"/>
        </w:rPr>
        <w:t>从产业结构看，第一产业投资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下降19.8%，第二产业投资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增长30.3%，第三产业投资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增长9.2%。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方正黑体_GBK" w:hAnsi="Times New Roman" w:eastAsia="方正黑体_GBK" w:cs="方正黑体_GBK"/>
          <w:bCs/>
          <w:sz w:val="32"/>
          <w:szCs w:val="32"/>
          <w:shd w:val="clear" w:color="auto" w:fill="FFFFFF"/>
        </w:rPr>
      </w:pPr>
      <w:r>
        <w:rPr>
          <w:rFonts w:hint="eastAsia" w:ascii="方正黑体_GBK" w:hAnsi="Times New Roman" w:eastAsia="方正黑体_GBK" w:cs="方正黑体_GBK"/>
          <w:bCs/>
          <w:sz w:val="32"/>
          <w:szCs w:val="32"/>
          <w:shd w:val="clear" w:color="auto" w:fill="FFFFFF"/>
        </w:rPr>
        <w:t>五、居民收入稳定增加，城乡收入差距逐步缩小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全年全体居民人均可支配收入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33179</w:t>
      </w:r>
      <w:r>
        <w:rPr>
          <w:rFonts w:ascii="Times New Roman" w:hAnsi="Times New Roman" w:eastAsia="方正仿宋_GBK" w:cs="Times New Roman"/>
          <w:sz w:val="32"/>
          <w:szCs w:val="32"/>
        </w:rPr>
        <w:t>元，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同比</w:t>
      </w:r>
      <w:r>
        <w:rPr>
          <w:rFonts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7.1</w:t>
      </w:r>
      <w:r>
        <w:rPr>
          <w:rFonts w:ascii="Times New Roman" w:hAnsi="Times New Roman" w:eastAsia="方正仿宋_GBK" w:cs="Times New Roman"/>
          <w:sz w:val="32"/>
          <w:szCs w:val="32"/>
        </w:rPr>
        <w:t>%。按常住地分，城镇居民人均可支配收入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40172</w:t>
      </w:r>
      <w:r>
        <w:rPr>
          <w:rFonts w:ascii="Times New Roman" w:hAnsi="Times New Roman" w:eastAsia="方正仿宋_GBK" w:cs="Times New Roman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，同比</w:t>
      </w:r>
      <w:r>
        <w:rPr>
          <w:rFonts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1.6</w:t>
      </w:r>
      <w:r>
        <w:rPr>
          <w:rFonts w:ascii="Times New Roman" w:hAnsi="Times New Roman" w:eastAsia="方正仿宋_GBK" w:cs="Times New Roman"/>
          <w:sz w:val="32"/>
          <w:szCs w:val="32"/>
        </w:rPr>
        <w:t>%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；农村居民人均可支配收入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20165</w:t>
      </w:r>
      <w:r>
        <w:rPr>
          <w:rFonts w:ascii="Times New Roman" w:hAnsi="Times New Roman" w:eastAsia="方正仿宋_GBK" w:cs="Times New Roman"/>
          <w:sz w:val="32"/>
          <w:szCs w:val="32"/>
        </w:rPr>
        <w:t>元，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同比</w:t>
      </w:r>
      <w:r>
        <w:rPr>
          <w:rFonts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4.9</w:t>
      </w:r>
      <w:r>
        <w:rPr>
          <w:rFonts w:ascii="Times New Roman" w:hAnsi="Times New Roman" w:eastAsia="方正仿宋_GBK" w:cs="Times New Roman"/>
          <w:sz w:val="32"/>
          <w:szCs w:val="32"/>
        </w:rPr>
        <w:t>%。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城乡居民收入比值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1.99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"/>
        </w:rPr>
        <w:t>比值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缩小0.0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7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总体来看，2022年綦江区高效统筹疫情防控和经济社会发展取得积极成效，经济发展显现较强韧劲。</w:t>
      </w:r>
      <w:r>
        <w:rPr>
          <w:rFonts w:hint="eastAsia" w:ascii="Times New Roman" w:hAnsi="Times New Roman" w:eastAsia="方正仿宋_GBK" w:cs="方正仿宋_GBK"/>
          <w:color w:val="191919"/>
          <w:sz w:val="32"/>
          <w:szCs w:val="32"/>
          <w:shd w:val="clear" w:color="auto" w:fill="FFFFFF"/>
        </w:rPr>
        <w:t>但同时也要看到，当前经济恢复基础仍不牢固。2023年，要坚持以习近平新时代中国特色社会主义思想为指导，全面贯彻落实党的二十大精神和中央、市委经济工作会议部署，坚持稳字当头、稳中求进，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继续做好“六稳”、“六保”工作，持续改善民生，推动经济持续健康发展。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32510C73"/>
    <w:rsid w:val="004852FB"/>
    <w:rsid w:val="0C01164E"/>
    <w:rsid w:val="0DFA5B87"/>
    <w:rsid w:val="0E3A5A02"/>
    <w:rsid w:val="128D1E7D"/>
    <w:rsid w:val="17C37A7E"/>
    <w:rsid w:val="18C82B09"/>
    <w:rsid w:val="226A69DF"/>
    <w:rsid w:val="26920BFA"/>
    <w:rsid w:val="293A3042"/>
    <w:rsid w:val="2A0E0598"/>
    <w:rsid w:val="2AB70098"/>
    <w:rsid w:val="2CA044CC"/>
    <w:rsid w:val="32510C73"/>
    <w:rsid w:val="380056EB"/>
    <w:rsid w:val="3AB82AA6"/>
    <w:rsid w:val="3FFB34D3"/>
    <w:rsid w:val="495D7289"/>
    <w:rsid w:val="51C61428"/>
    <w:rsid w:val="52336BB9"/>
    <w:rsid w:val="551C637F"/>
    <w:rsid w:val="59214F71"/>
    <w:rsid w:val="5ED723D8"/>
    <w:rsid w:val="5FAF40F8"/>
    <w:rsid w:val="61204F0E"/>
    <w:rsid w:val="641A649B"/>
    <w:rsid w:val="758A2545"/>
    <w:rsid w:val="794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1027</Words>
  <Characters>1245</Characters>
  <Lines>0</Lines>
  <Paragraphs>0</Paragraphs>
  <TotalTime>4</TotalTime>
  <ScaleCrop>false</ScaleCrop>
  <LinksUpToDate>false</LinksUpToDate>
  <CharactersWithSpaces>1245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2022-01-19T06:40:00Z</dcterms:created>
  <dc:creator>海望蓝天</dc:creator>
  <cp:lastModifiedBy>Administrator</cp:lastModifiedBy>
  <cp:lastPrinted>2022-01-24T03:13:00Z</cp:lastPrinted>
  <dcterms:modified xsi:type="dcterms:W3CDTF">2023-01-30T03:06:31Z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FDAEA96F6A224ED4BC95A9581F2B35AE</vt:lpwstr>
  </property>
</Properties>
</file>