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2022年重庆市綦江区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国民经济和社会发展统计公报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2022年，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shd w:val="clear" w:color="auto" w:fill="FFFFFF"/>
        </w:rPr>
        <w:t>全区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坚持以习近平新时代中国特色社会主义思想为指导，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shd w:val="clear" w:color="auto" w:fill="FFFFFF"/>
        </w:rPr>
        <w:t>认真贯彻落实党中央、国务院各项决策部署，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在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shd w:val="clear" w:color="auto" w:fill="FFFFFF"/>
        </w:rPr>
        <w:t>市委市政府科学指挥和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区委区政府坚强领导下，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坚持稳中求进工作总基调，高效统筹疫情防控和经济社会发展，积极应对超预期因素挑战，经济实现稳步恢复，物价总体稳定，民生保障持续改善，经济社会大局保持稳定，高质量发展取得新成效。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color w:val="auto"/>
          <w:sz w:val="36"/>
          <w:szCs w:val="36"/>
        </w:rPr>
        <w:t>一、综</w:t>
      </w:r>
      <w:r>
        <w:rPr>
          <w:rFonts w:hint="eastAsia" w:ascii="方正黑体_GBK" w:hAnsi="方正黑体_GBK" w:eastAsia="方正黑体_GBK" w:cs="方正黑体_GBK"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color w:val="auto"/>
          <w:sz w:val="36"/>
          <w:szCs w:val="36"/>
        </w:rPr>
        <w:t>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初步核算，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綦江辖区内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地区生产总值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770.79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亿元，比上年增长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3.0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％。其中，第一产业增加值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3.66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亿元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第二产业增加值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亿元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4.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%，第三产业增加值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338.38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亿元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1.3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highlight w:val="none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highlight w:val="none"/>
        </w:rPr>
        <w:t>二、农</w:t>
      </w:r>
      <w:r>
        <w:rPr>
          <w:rFonts w:hint="eastAsia" w:ascii="方正黑体_GBK" w:hAnsi="方正黑体_GBK" w:eastAsia="方正黑体_GBK" w:cs="方正黑体_GBK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6"/>
          <w:szCs w:val="36"/>
          <w:highlight w:val="none"/>
        </w:rPr>
        <w:t>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全区农林牧渔业总产值108.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53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亿元，比上年增长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3.3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%。其中，农业7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8.25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4.3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%；林业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5.55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9.0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%；牧业2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0.82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下降2.7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%；渔业2.3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3.1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农林牧渔服务业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1.57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4.4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%。农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林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牧渔业增加值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71.14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亿元，比上年增长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全年粮食作物种植面积8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8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57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万亩，比上年增长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2.2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%。其中，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夏收粮食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12.92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万亩；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秋收粮食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75.65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万亩。蔬菜种植面积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38.21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万亩，增长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4.0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%。油菜种植面积9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.7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5万亩，增长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全年粮食总产量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34.73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万吨，比上年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减少2.4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%。其中，小麦产量120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吨，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增产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0.3%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；水稻产量15.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万吨，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减产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0.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%；玉米产量8.0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万吨，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增产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0.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%；马铃薯产量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3.27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万吨，增产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11.3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%；甘薯产量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5.76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万吨，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减产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17.0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%。蔬菜产量6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8万吨，增产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%；油菜产量1.1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万吨，增产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方正仿宋_GBK" w:hAnsi="Times New Roman" w:eastAsia="方正仿宋_GBK" w:cs="Times New Roman"/>
          <w:sz w:val="32"/>
          <w:szCs w:val="32"/>
          <w:highlight w:val="none"/>
        </w:rPr>
        <w:t>全年猪牛羊禽肉产量</w:t>
      </w:r>
      <w:r>
        <w:rPr>
          <w:rFonts w:hint="eastAsia" w:ascii="方正仿宋_GBK" w:hAnsi="Times New Roman" w:eastAsia="方正仿宋_GBK" w:cs="Times New Roman"/>
          <w:sz w:val="32"/>
          <w:szCs w:val="32"/>
          <w:highlight w:val="none"/>
          <w:lang w:val="en-US" w:eastAsia="zh-CN"/>
        </w:rPr>
        <w:t>5.39</w:t>
      </w:r>
      <w:r>
        <w:rPr>
          <w:rFonts w:hint="eastAsia" w:ascii="方正仿宋_GBK" w:hAnsi="Times New Roman" w:eastAsia="方正仿宋_GBK" w:cs="Times New Roman"/>
          <w:sz w:val="32"/>
          <w:szCs w:val="32"/>
          <w:highlight w:val="none"/>
        </w:rPr>
        <w:t>万吨，比上年</w:t>
      </w:r>
      <w:r>
        <w:rPr>
          <w:rFonts w:hint="eastAsia" w:ascii="方正仿宋_GBK" w:hAnsi="Times New Roman" w:eastAsia="方正仿宋_GBK" w:cs="Times New Roman"/>
          <w:sz w:val="32"/>
          <w:szCs w:val="32"/>
          <w:highlight w:val="none"/>
          <w:lang w:eastAsia="zh-CN"/>
        </w:rPr>
        <w:t>下降</w:t>
      </w:r>
      <w:r>
        <w:rPr>
          <w:rFonts w:hint="eastAsia" w:ascii="方正仿宋_GBK" w:hAnsi="Times New Roman" w:eastAsia="方正仿宋_GBK" w:cs="Times New Roman"/>
          <w:sz w:val="32"/>
          <w:szCs w:val="32"/>
          <w:highlight w:val="none"/>
          <w:lang w:val="en-US" w:eastAsia="zh-CN"/>
        </w:rPr>
        <w:t>0.6</w:t>
      </w:r>
      <w:r>
        <w:rPr>
          <w:rFonts w:hint="eastAsia" w:ascii="方正仿宋_GBK" w:hAnsi="Times New Roman" w:eastAsia="方正仿宋_GBK" w:cs="Times New Roman"/>
          <w:sz w:val="32"/>
          <w:szCs w:val="32"/>
          <w:highlight w:val="none"/>
        </w:rPr>
        <w:t>%。其中，猪肉产量4.3</w:t>
      </w:r>
      <w:r>
        <w:rPr>
          <w:rFonts w:hint="eastAsia" w:ascii="方正仿宋_GBK" w:hAnsi="Times New Roman" w:eastAsia="方正仿宋_GBK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方正仿宋_GBK" w:hAnsi="Times New Roman" w:eastAsia="方正仿宋_GBK" w:cs="Times New Roman"/>
          <w:sz w:val="32"/>
          <w:szCs w:val="32"/>
          <w:highlight w:val="none"/>
        </w:rPr>
        <w:t>万吨，增长</w:t>
      </w:r>
      <w:r>
        <w:rPr>
          <w:rFonts w:hint="eastAsia" w:ascii="方正仿宋_GBK" w:hAnsi="Times New Roman" w:eastAsia="方正仿宋_GBK" w:cs="Times New Roman"/>
          <w:sz w:val="32"/>
          <w:szCs w:val="32"/>
          <w:highlight w:val="none"/>
          <w:lang w:val="en-US" w:eastAsia="zh-CN"/>
        </w:rPr>
        <w:t>0.4</w:t>
      </w:r>
      <w:r>
        <w:rPr>
          <w:rFonts w:hint="eastAsia" w:ascii="方正仿宋_GBK" w:hAnsi="Times New Roman" w:eastAsia="方正仿宋_GBK" w:cs="Times New Roman"/>
          <w:sz w:val="32"/>
          <w:szCs w:val="32"/>
          <w:highlight w:val="none"/>
        </w:rPr>
        <w:t>%；牛肉产量0.1</w:t>
      </w:r>
      <w:r>
        <w:rPr>
          <w:rFonts w:hint="eastAsia" w:ascii="方正仿宋_GBK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Times New Roman" w:eastAsia="方正仿宋_GBK" w:cs="Times New Roman"/>
          <w:sz w:val="32"/>
          <w:szCs w:val="32"/>
          <w:highlight w:val="none"/>
        </w:rPr>
        <w:t>万吨，下降</w:t>
      </w:r>
      <w:r>
        <w:rPr>
          <w:rFonts w:hint="eastAsia" w:ascii="方正仿宋_GBK" w:hAnsi="Times New Roman" w:eastAsia="方正仿宋_GBK" w:cs="Times New Roman"/>
          <w:sz w:val="32"/>
          <w:szCs w:val="32"/>
          <w:highlight w:val="none"/>
          <w:lang w:val="en-US" w:eastAsia="zh-CN"/>
        </w:rPr>
        <w:t>6.4</w:t>
      </w:r>
      <w:r>
        <w:rPr>
          <w:rFonts w:hint="eastAsia" w:ascii="方正仿宋_GBK" w:hAnsi="Times New Roman" w:eastAsia="方正仿宋_GBK" w:cs="Times New Roman"/>
          <w:sz w:val="32"/>
          <w:szCs w:val="32"/>
          <w:highlight w:val="none"/>
        </w:rPr>
        <w:t>%；羊肉产量0.1</w:t>
      </w:r>
      <w:r>
        <w:rPr>
          <w:rFonts w:hint="eastAsia" w:ascii="方正仿宋_GBK" w:hAnsi="Times New Roman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方正仿宋_GBK" w:hAnsi="Times New Roman" w:eastAsia="方正仿宋_GBK" w:cs="Times New Roman"/>
          <w:sz w:val="32"/>
          <w:szCs w:val="32"/>
          <w:highlight w:val="none"/>
        </w:rPr>
        <w:t>万吨，下降</w:t>
      </w:r>
      <w:r>
        <w:rPr>
          <w:rFonts w:hint="eastAsia" w:ascii="方正仿宋_GBK" w:hAnsi="Times New Roman" w:eastAsia="方正仿宋_GBK" w:cs="Times New Roman"/>
          <w:sz w:val="32"/>
          <w:szCs w:val="32"/>
          <w:highlight w:val="none"/>
          <w:lang w:val="en-US" w:eastAsia="zh-CN"/>
        </w:rPr>
        <w:t>8.9</w:t>
      </w:r>
      <w:r>
        <w:rPr>
          <w:rFonts w:hint="eastAsia" w:ascii="方正仿宋_GBK" w:hAnsi="Times New Roman" w:eastAsia="方正仿宋_GBK" w:cs="Times New Roman"/>
          <w:sz w:val="32"/>
          <w:szCs w:val="32"/>
          <w:highlight w:val="none"/>
        </w:rPr>
        <w:t>%；禽肉产量0.7</w:t>
      </w:r>
      <w:r>
        <w:rPr>
          <w:rFonts w:hint="eastAsia" w:ascii="方正仿宋_GBK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Times New Roman" w:eastAsia="方正仿宋_GBK" w:cs="Times New Roman"/>
          <w:sz w:val="32"/>
          <w:szCs w:val="32"/>
          <w:highlight w:val="none"/>
        </w:rPr>
        <w:t>万吨，</w:t>
      </w:r>
      <w:r>
        <w:rPr>
          <w:rFonts w:hint="eastAsia" w:ascii="方正仿宋_GBK" w:hAnsi="Times New Roman" w:eastAsia="方正仿宋_GBK" w:cs="Times New Roman"/>
          <w:sz w:val="32"/>
          <w:szCs w:val="32"/>
          <w:highlight w:val="none"/>
          <w:lang w:eastAsia="zh-CN"/>
        </w:rPr>
        <w:t>下降</w:t>
      </w:r>
      <w:r>
        <w:rPr>
          <w:rFonts w:hint="eastAsia" w:ascii="方正仿宋_GBK" w:hAnsi="Times New Roman" w:eastAsia="方正仿宋_GBK" w:cs="Times New Roman"/>
          <w:sz w:val="32"/>
          <w:szCs w:val="32"/>
          <w:highlight w:val="none"/>
          <w:lang w:val="en-US" w:eastAsia="zh-CN"/>
        </w:rPr>
        <w:t>3.1</w:t>
      </w:r>
      <w:r>
        <w:rPr>
          <w:rFonts w:hint="eastAsia" w:ascii="方正仿宋_GBK" w:hAnsi="Times New Roman" w:eastAsia="方正仿宋_GBK" w:cs="Times New Roman"/>
          <w:sz w:val="32"/>
          <w:szCs w:val="32"/>
          <w:highlight w:val="none"/>
        </w:rPr>
        <w:t>%。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禽蛋产量1.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30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万吨，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增长2.0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%。牛奶产量0.13万吨，下降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2.8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%。年末生猪存栏34.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08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万头，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下降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.5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%；生猪出栏55.9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8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万头，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增长0.1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表1   202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2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年主要农产品产量</w:t>
      </w:r>
    </w:p>
    <w:tbl>
      <w:tblPr>
        <w:tblStyle w:val="8"/>
        <w:tblW w:w="8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7"/>
        <w:gridCol w:w="2297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产品名称</w:t>
            </w:r>
          </w:p>
        </w:tc>
        <w:tc>
          <w:tcPr>
            <w:tcW w:w="22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产量</w:t>
            </w: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  <w:t>同比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粮  食(万吨)</w:t>
            </w:r>
          </w:p>
        </w:tc>
        <w:tc>
          <w:tcPr>
            <w:tcW w:w="22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4.73</w:t>
            </w: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-2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油  菜(万吨)</w:t>
            </w:r>
          </w:p>
        </w:tc>
        <w:tc>
          <w:tcPr>
            <w:tcW w:w="22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.1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蔬  菜(万吨)</w:t>
            </w:r>
          </w:p>
        </w:tc>
        <w:tc>
          <w:tcPr>
            <w:tcW w:w="22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4.18</w:t>
            </w: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出栏生猪(万头)</w:t>
            </w:r>
          </w:p>
        </w:tc>
        <w:tc>
          <w:tcPr>
            <w:tcW w:w="22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highlight w:val="none"/>
              </w:rPr>
              <w:t>55.9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</w:rPr>
              <w:t>8</w:t>
            </w: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出栏羊(万头)</w:t>
            </w:r>
          </w:p>
        </w:tc>
        <w:tc>
          <w:tcPr>
            <w:tcW w:w="22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1.35</w:t>
            </w: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</w:rPr>
              <w:t>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出栏家禽(万只)</w:t>
            </w:r>
          </w:p>
        </w:tc>
        <w:tc>
          <w:tcPr>
            <w:tcW w:w="22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56.82</w:t>
            </w: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-4.3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9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猪牛羊禽四肉产量(万吨)</w:t>
            </w:r>
          </w:p>
        </w:tc>
        <w:tc>
          <w:tcPr>
            <w:tcW w:w="22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5.39</w:t>
            </w: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-0.6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highlight w:val="none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highlight w:val="none"/>
        </w:rPr>
        <w:t>三、工业和建筑业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年全区规模以上工业企业2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户，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规上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工业总产值比上年增长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11.1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%。工业增加值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171.59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亿元，增长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4.3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％，占全区地区生产总值比重为3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2.3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从园区看，桥河、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食品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铝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工业园区共有规模以上工业企业1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家，总产值比上年增长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14.2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%，其中铝产业园增长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19.7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%、桥河工业园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增长7.7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%、食品园区增长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8.8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从三大支柱产业看，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铝及铝精深加工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比上年增长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19.5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装配式建筑增长8.5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%，汽摩整车及零部件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下降9.7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%，支柱产业产值占全区规上工业总产值的7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全年建筑业增加值61.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74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亿元，比上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年增加6.3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%，占地区生产总值的1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1.6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%。全区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资质以上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建筑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业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企业14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家，其中，一级企业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家，二级企业35家，三级和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未评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级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企业98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全年注册地建筑业总产值比上年增长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11.3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highlight w:val="none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highlight w:val="none"/>
        </w:rPr>
        <w:t>四、交通、邮电业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全年交通运输、仓储和邮政业实现增加值3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39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亿元，比上年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下降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%，占地区生产总值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5.9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%。全年公路客运量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447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0万人次，下降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51.8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%；公路货运量1.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24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亿吨，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下降8.19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%；实现客运周转量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.0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亿人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/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公里，下降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49.1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％；货运周转量1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49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20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亿吨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/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公里，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下降4.6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％。全区公路里程（不含高速）5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696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公里。其中，等级公路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里程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696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公里，增加1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公里；高速公路1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70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公里。全区拥有客运汽车（不含公交车）3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46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辆，城市公交车2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33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辆，出租汽车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409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辆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（包含巡游出租车260辆，网络预约出租汽车149辆）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，民用货车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33767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辆。水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运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里程181公里，拥有船舶1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艘，水运码头26个。年末机动车保有量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28.21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万辆，比上年增长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3.1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%。其中，摩托车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12.04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万辆，增长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4.7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%；汽车1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万辆，增长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%，其中小型汽车1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08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万辆，增长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4.8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全年完成邮电业务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收入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8.12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22.0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%。其中，邮政业务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收入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9.7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％；</w:t>
      </w:r>
      <w:r>
        <w:rPr>
          <w:rFonts w:ascii="Times New Roman" w:hAnsi="Times New Roman" w:eastAsia="方正仿宋_GBK" w:cs="Times New Roman"/>
          <w:color w:val="auto"/>
          <w:sz w:val="32"/>
          <w:szCs w:val="28"/>
          <w:highlight w:val="none"/>
        </w:rPr>
        <w:t>电信业务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eastAsia="zh-CN"/>
        </w:rPr>
        <w:t>收入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6.35</w:t>
      </w:r>
      <w:r>
        <w:rPr>
          <w:rFonts w:ascii="Times New Roman" w:hAnsi="Times New Roman" w:eastAsia="方正仿宋_GBK" w:cs="Times New Roman"/>
          <w:color w:val="auto"/>
          <w:sz w:val="32"/>
          <w:szCs w:val="28"/>
          <w:highlight w:val="none"/>
        </w:rPr>
        <w:t>亿元，增长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8"/>
          <w:highlight w:val="none"/>
          <w:lang w:val="en-US" w:eastAsia="zh-CN"/>
        </w:rPr>
        <w:t>26.0</w:t>
      </w:r>
      <w:r>
        <w:rPr>
          <w:rFonts w:ascii="Times New Roman" w:hAnsi="Times New Roman" w:eastAsia="方正仿宋_GBK" w:cs="Times New Roman"/>
          <w:color w:val="auto"/>
          <w:sz w:val="32"/>
          <w:szCs w:val="28"/>
          <w:highlight w:val="none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五、国内贸易和对外开放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全年批发和零售业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实现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增加值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43.62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亿元，比上年增长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2.5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%，占全区地区生产总值的8.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%；住宿和餐饮业实现增加值13.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88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比上年增长0.5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%，占全区地区生产总值2.6%。年末限额以上单位66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家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其中企业2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46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家。社会消费品零售总额23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.8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亿元，比上年增长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0.8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社会商品销售总额分行业看，批发业销售额增长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10.5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％；零售业销售额增长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6.2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％；住宿业营业额增长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3.8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%；餐饮业营业额增长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2.5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在限额以上单位商品零售额中，粮油、食品类零售额比上年增长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30.7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%，饮料类增长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23.4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%，烟酒类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15.3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%，服装、鞋帽、针纺织品类增长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15.7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%，化妆品类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15.6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%，金银珠宝类增长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10.1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%，日用品类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4.0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%，家用电器和音像器材类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0.8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%，中西药品类增长1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.2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%，文化办公用品类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14.1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%，家具类增长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19.4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石油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及制品类增长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32.6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%，汽车类增长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11.7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cs="Times New Roman"/>
          <w:sz w:val="2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全年外贸进出口总额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2.91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下降48.3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%，实际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使用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外资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74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万美元，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下降88.1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六、固定资产投资和房地产业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全年固定资产投资（不含跨区和农户投资）比上年增长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15.2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％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其中建安投资增长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8.8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房地产开发投资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下降2.7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工业投资增长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30.3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500万元以上投资增长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27.2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，其中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农业投资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下降19.8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交通运输业投资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下降13.0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水利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、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环境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公共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设施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管理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业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投资增长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25.8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%。区内投资分产业看，第一产业投资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下降19.8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第二产业投资增长3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0.3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第三产业投资增长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9.2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年末资质以上房地产企业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45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家，房地产开发项目5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七、</w:t>
      </w:r>
      <w:r>
        <w:rPr>
          <w:rFonts w:hint="eastAsia" w:ascii="方正黑体_GBK" w:hAnsi="方正黑体_GBK" w:eastAsia="方正黑体_GBK" w:cs="方正黑体_GBK"/>
          <w:sz w:val="36"/>
          <w:szCs w:val="36"/>
        </w:rPr>
        <w:t>财政、金融和保险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綦江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辖区内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财政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一般公共预算收入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28.92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9.5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％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，其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中税收收入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4.46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亿元，下降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15.1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非税收入1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46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%；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政府性基金收入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29.42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28.0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綦江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辖区内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一般公共预算支出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103.45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11.7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。其中，一般公共服务支出9.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5.0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%；公共安全支出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4.31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10.34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%；教育支出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19.23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%；科学技术支出1.04亿元，增长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0.2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%；社会保障和就业支出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20.90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47.1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卫生健康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支出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8.60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12.2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%；政府性基金支出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30.93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197.1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綦江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辖区内年末金融机构人民币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存贷款余额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1440.10亿元，增长9.5%。其中，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存款余额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816.84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15.0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人民币贷款余额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583.26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存贷比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，比上年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8.61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个百分点。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綦江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辖区内全年保费收入1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4.05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亿元，比上年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6.3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%。其中，人身险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9.30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亿元，下降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5.3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%，财产险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4.70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39.9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%。理赔支出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4.81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12.0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%。其中，人身险赔付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1.69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12.0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，财产险赔付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3.09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31.5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八、城市建设和市政设施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年末实有铺装道路面积440.04万平方米，比上年增长8.23%。供水管道长度800.35公里，增长0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.5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%。全年供水总量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2547.03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万吨，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6.8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%，其中生活用水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1315.47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万吨，用水户数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15.71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万户，用水人口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26.42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万人。天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燃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气供气量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6547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万立方米，增长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2.0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%，其中，生活用气33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万立方米，增长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0.7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%。天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燃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气用户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12.06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万户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，下降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13.9%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液化气供应量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423.5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吨，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21.0%，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其中，生活用气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181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吨，下降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14.6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%；液化气用户15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00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户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，下降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5.2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年末累计建成公租房5886套，面积30.94万平方米，已配租5435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套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，面积26.37万平方米。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年末城区市政道路长度133.7公里，道路面积229万平方米。其中，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车行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道面积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149万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平方米，人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道面积80万平方米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全区园林绿地面积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1335.5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公顷，比上年增长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6.1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%，其中，公园绿地面积5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33.2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公顷；公园1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个，面积29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公顷；建成区绿化覆盖率46.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%；人均公园绿地面积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平方米。城市路灯年末总数250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盏，年末拥有环卫专用车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辆，其中洒水车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辆，洗扫车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辆。拥有城区公共厕所1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座，其中公园内公共厕所2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座。公共垃圾站32座，其中街镇压缩式垃圾中转站30座。城市生活垃圾粪便处理量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16.07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万吨，城镇生活垃圾处理率达100%。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九、教育和科技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年，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全区小学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所，普通中学2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所，中等专业学校2所，职业中学2所，大学2所。小学招生7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011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人，在校4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2887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人，毕业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7652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人，教师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3337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人；普通中学招生12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565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人，在校38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146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人，毕业1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2765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人，教师35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人；中等专业学校招生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968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人，在校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2044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人，毕业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408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人，教师9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人；职业中学招生2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318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人，在校5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818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人，毕业1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640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人，教师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296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人；大学招生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11155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人，在校生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17637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人，教师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936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人；幼儿园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所，幼儿园教师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1896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人，在园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幼儿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19867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人，幼儿园招生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3987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人，学龄儿童入学率9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1.5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％。小学六年入学率、巩固率、毕业率均达到100%；初中阶段入学率99.9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%，巩固率100%，毕业率100%；高中阶段入学率97.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%；三残儿童入学率9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7.12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%；脱盲儿童入学率100%；义务、中职教育生均办学条件标准达标率95.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/>
          <w:b w:val="0"/>
          <w:bCs/>
          <w:highlight w:val="none"/>
        </w:rPr>
      </w:pPr>
      <w:r>
        <w:rPr>
          <w:rFonts w:hint="eastAsia" w:ascii="方正仿宋_GBK" w:eastAsia="方正仿宋_GBK"/>
          <w:b w:val="0"/>
          <w:bCs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方正仿宋_GBK" w:eastAsia="方正仿宋_GBK"/>
          <w:b w:val="0"/>
          <w:bCs/>
          <w:sz w:val="32"/>
          <w:szCs w:val="32"/>
          <w:highlight w:val="none"/>
        </w:rPr>
        <w:t>国家高新技术企业新增2</w:t>
      </w:r>
      <w:r>
        <w:rPr>
          <w:rFonts w:hint="eastAsia" w:ascii="方正仿宋_GBK" w:eastAsia="方正仿宋_GBK"/>
          <w:b w:val="0"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eastAsia="方正仿宋_GBK"/>
          <w:b w:val="0"/>
          <w:bCs/>
          <w:sz w:val="32"/>
          <w:szCs w:val="32"/>
          <w:highlight w:val="none"/>
        </w:rPr>
        <w:t>家、累计14</w:t>
      </w:r>
      <w:r>
        <w:rPr>
          <w:rFonts w:hint="eastAsia" w:ascii="方正仿宋_GBK" w:eastAsia="方正仿宋_GBK"/>
          <w:b w:val="0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_GBK" w:eastAsia="方正仿宋_GBK"/>
          <w:b w:val="0"/>
          <w:bCs/>
          <w:sz w:val="32"/>
          <w:szCs w:val="32"/>
          <w:highlight w:val="none"/>
        </w:rPr>
        <w:t>家，国家科技型中小企业登记入库145家，市级科技型企业新增417家、累计1976家、全市排名第6位。新增有研重冶、炙焱动力、康田齿轮等3家国家级“</w:t>
      </w:r>
      <w:r>
        <w:rPr>
          <w:rFonts w:hint="eastAsia" w:ascii="方正仿宋_GBK" w:eastAsia="方正仿宋_GBK"/>
          <w:b w:val="0"/>
          <w:bCs/>
          <w:sz w:val="32"/>
          <w:szCs w:val="32"/>
          <w:highlight w:val="none"/>
          <w:lang w:eastAsia="zh-CN"/>
        </w:rPr>
        <w:t>专精特新“小巨人”</w:t>
      </w:r>
      <w:r>
        <w:rPr>
          <w:rFonts w:hint="eastAsia" w:ascii="方正仿宋_GBK" w:eastAsia="方正仿宋_GBK"/>
          <w:b w:val="0"/>
          <w:bCs/>
          <w:sz w:val="32"/>
          <w:szCs w:val="32"/>
          <w:highlight w:val="none"/>
        </w:rPr>
        <w:t>”企业，新增市级</w:t>
      </w:r>
      <w:r>
        <w:rPr>
          <w:rFonts w:hint="eastAsia" w:ascii="方正仿宋_GBK" w:eastAsia="方正仿宋_GBK"/>
          <w:b w:val="0"/>
          <w:bCs/>
          <w:sz w:val="32"/>
          <w:szCs w:val="32"/>
          <w:highlight w:val="none"/>
          <w:lang w:eastAsia="zh-CN"/>
        </w:rPr>
        <w:t>专精特新中小企业</w:t>
      </w:r>
      <w:r>
        <w:rPr>
          <w:rFonts w:hint="eastAsia" w:ascii="方正仿宋_GBK" w:eastAsia="方正仿宋_GBK"/>
          <w:b w:val="0"/>
          <w:bCs/>
          <w:sz w:val="32"/>
          <w:szCs w:val="32"/>
          <w:highlight w:val="none"/>
        </w:rPr>
        <w:t>39家。有研重冶获国家知识产权优势企业。重庆OTC新挂牌企业4家、累计42家。綦齿传动获市级技术创新示范企业。</w:t>
      </w:r>
      <w:r>
        <w:rPr>
          <w:rFonts w:hint="eastAsia" w:ascii="方正仿宋_GBK" w:eastAsia="方正仿宋_GBK"/>
          <w:sz w:val="32"/>
          <w:szCs w:val="32"/>
          <w:highlight w:val="none"/>
        </w:rPr>
        <w:t>青创PARK、綦江服务业高质量发展育成中心等2家成功获批国家备案众创空间，国家级孵化载体实现“0”的突破。三江小企业创业基地获批国家小型微型企业创业创新示范基地，金种子、陆海传綦智慧数据谷、三创中心孵化器获批市级众创空间、青创空间，建成全市首个区县融媒体“双创”孵化基地。获批金美新材料市级博士后科研工作站1个、锦旗碳素等企业技术中心、中小企业技术研发中心12个，认定麻辣食品工业数字化研究院等区级新型研发机构、重点实验室、企业技术中心25个，与西南交大、重庆理工等科研院所建立校企联合实验室、研发中心、中试基地等5个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聘请潘复生院士为区政府首席专家顾问，入选“重庆英才计划”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“鸿雁计划”人才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人，引进急需紧缺人才35人，认定区级重点产业人才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名。首次以区委区政府名义评选表彰50个科技创新先进集体和91名先进个人。</w:t>
      </w:r>
      <w:r>
        <w:rPr>
          <w:rFonts w:hint="eastAsia" w:ascii="Times New Roman" w:hAnsi="Times New Roman" w:eastAsia="方正仿宋_GBK" w:cs="Tahoma"/>
          <w:sz w:val="32"/>
          <w:szCs w:val="32"/>
          <w:highlight w:val="none"/>
        </w:rPr>
        <w:t>组织109名市区科技特派员深入街镇助力乡村振兴，推广新技术21项，培训技术带头人467人次，引进新品种5个。</w:t>
      </w:r>
      <w:r>
        <w:rPr>
          <w:rFonts w:hint="eastAsia" w:ascii="方正仿宋_GBK" w:hAnsi="Times New Roman" w:eastAsia="方正仿宋_GBK" w:cs="Times New Roman"/>
          <w:snapToGrid w:val="0"/>
          <w:kern w:val="0"/>
          <w:sz w:val="32"/>
          <w:szCs w:val="20"/>
          <w:highlight w:val="none"/>
        </w:rPr>
        <w:t>鼓励企业加大研发投入，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全区全社会研发投入强度略高于全市平均水平。指导綦齿传动“纯电动重卡高效机电动力传动系统集成设计及产业化应用”等12个项目获批市级科研项目立项，实施4个“揭榜挂帅”项目攻关产业共性技术，区级科研项目立项202个。全区专利授权1029件、发明专利授权50项。登</w:t>
      </w:r>
      <w:r>
        <w:rPr>
          <w:rFonts w:hint="eastAsia" w:ascii="方正仿宋_GBK" w:hAnsi="Times New Roman" w:eastAsia="方正仿宋_GBK" w:cs="Times New Roman"/>
          <w:snapToGrid w:val="0"/>
          <w:kern w:val="0"/>
          <w:sz w:val="32"/>
          <w:szCs w:val="20"/>
          <w:highlight w:val="none"/>
        </w:rPr>
        <w:t>记科技成果70项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，同比增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长16%。技术合同交易达7亿元、同比增长40%。国产铁路机车车辆用1：1制动动力试验台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铜基微纳米粉体材料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等入选全市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装备首台套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”“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新材料首批次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项目5个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綦齿传动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中间轴螺旋齿对齿的滚齿加工方法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获中国专利优秀奖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十、文化旅游、卫生健康和体育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eastAsia="方正仿宋_GBK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年末拥有文化事业机构25个，其中文化馆（非遗保护中心、地方文化促进中心）1个，博物馆（文物管理所）1个，图书馆2个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全年开展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各种群众文化活动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1946场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，其中文艺演出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709场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全年电影放映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42551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场，电影放映观众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31.4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万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人次。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开播公共频道电视节目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121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套，专业频道电视节目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11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套，高清数字电视节目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79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套，年末有线电视联网用户在册12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.8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万户，其中开通数字电视用户在册5.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43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万户，村村通喇叭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1424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只。全年播出广播电视新闻4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00条。其中，央视上稿播出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77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条，重庆卫视上稿播出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400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条。有线广播电视入户率达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73.6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%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eastAsia="方正仿宋_GBK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年末已有挂牌四星级旅游（酒）饭店1家，具有三星级以上农家乐5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家，星级旅游饭店床位380张。旅行社2家，重庆在綦江设立旅行门市部19家，旅游从业人员1.88万人。全年共接待国内外游客884.3万人次，比上年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下降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4.2%。其中，国内游客884.3万人次，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下降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4.2%，旅游业总收入42.71亿元，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下降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5.4%。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eastAsia="方正仿宋_GBK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全区拥有各种体育场地4273个。其中，体育场（馆）34个，游泳馆（池）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9个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体育人口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38.0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7万人，成功举办运动会或比赛次数15次。组织参加市级以上比赛获奖75枚，其中金牌12枚，银牌11枚。全区等级运动员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43人，等级裁判员744人。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年末全区各类医疗卫生机构519个。其中，医院、卫生院45个，妇幼保健院1个，疾病预防控制中心1个，采供血机构1个，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卫生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健康综合行政执法支队1个，结核病防治所1个，血液透析中心1个，社区卫生服务中心5个，村卫生室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310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个。卫生机构床位数6881张。其中，医院、卫生院6530张。卫生机构实有在职人员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6201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人，执业医师、助理医师16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人，注册护士2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512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人。5岁以下儿童死亡率4.3‰，孕产妇死亡率0，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新生儿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死亡率为1.6‰，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新生儿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出生缺陷率为9.2‰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十一、人口和就业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年末户籍总户数348824户，减少1586户；户籍人口906722人，减少6771人，其中城镇人口411954人，乡村人口494768人，总人口中18岁以下的141414人，18至34岁的184014人，35至59岁的364426人，60岁及以上的216868人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。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当年迁入人口5515人，其中省内迁入4342人；迁出人口9225人，其中迁往省内7960人。全年出生人口5001人，死亡人口8062人。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出生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人口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政策符合率99.3%，出生人口性别比103.24%，人口自然增长率为-4.15‰。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全年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各类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就业培训6543人。城镇新增就业20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418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人，年末登记失业人员9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357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登记失业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人员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本年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就业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5626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十二、居民收入消费和社会保障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方正仿宋_GBK" w:hAnsi="Times New Roman" w:eastAsia="方正仿宋_GBK" w:cs="Times New Roman"/>
          <w:sz w:val="32"/>
          <w:highlight w:val="none"/>
        </w:rPr>
      </w:pPr>
      <w:r>
        <w:rPr>
          <w:rFonts w:hint="eastAsia" w:ascii="方正仿宋_GBK" w:hAnsi="Times New Roman" w:eastAsia="方正仿宋_GBK" w:cs="Times New Roman"/>
          <w:sz w:val="32"/>
          <w:highlight w:val="none"/>
        </w:rPr>
        <w:t>根据城乡住户一体化调查，全区</w:t>
      </w:r>
      <w:r>
        <w:rPr>
          <w:rFonts w:hint="eastAsia" w:ascii="方正仿宋_GBK" w:eastAsia="方正仿宋_GBK"/>
          <w:sz w:val="32"/>
          <w:szCs w:val="28"/>
          <w:highlight w:val="none"/>
        </w:rPr>
        <w:t>全体居民人均可支配收入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33179元，比上年增长7.1%。其中，人均工资性收入18104元，增长9.4%；人均经营净收入4558元，增长0.3%；人均财产净收入1739元，人增长12.0%；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eastAsia="zh-CN"/>
        </w:rPr>
        <w:t>人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均转移净收入8777元，增长5.4%。全体居民人均生活消费支出23095元，比上年增长6.2%。全体居民恩格尔系数32.62%，比上年下降0.31个百分点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  <w:lang w:eastAsia="zh-CN"/>
        </w:rPr>
        <w:t>。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全体居民人均住房面积43.39平方米，比上年减少0.86平方米。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方正仿宋_GBK" w:hAnsi="Times New Roman" w:eastAsia="方正仿宋_GBK" w:cs="Times New Roman"/>
          <w:sz w:val="32"/>
          <w:szCs w:val="28"/>
          <w:highlight w:val="none"/>
        </w:rPr>
      </w:pPr>
      <w:r>
        <w:rPr>
          <w:rFonts w:hint="eastAsia" w:ascii="方正仿宋_GBK" w:hAnsi="Times New Roman" w:eastAsia="方正仿宋_GBK" w:cs="Times New Roman"/>
          <w:sz w:val="32"/>
          <w:highlight w:val="none"/>
        </w:rPr>
        <w:t>全年</w:t>
      </w:r>
      <w:r>
        <w:rPr>
          <w:rFonts w:hint="eastAsia" w:ascii="方正仿宋_GBK" w:eastAsia="方正仿宋_GBK"/>
          <w:sz w:val="32"/>
          <w:szCs w:val="28"/>
          <w:highlight w:val="none"/>
        </w:rPr>
        <w:t>城镇常住居民人均可支配收入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40172元，比上年增长1.6%。其中，人均工资性收入23904元，增长1.6%；人均经营净收入3731元，增长3.0%；人均财产净收入2462元，增长2.2%；人均转移净收入10075元，增长0.9%。</w:t>
      </w:r>
      <w:r>
        <w:rPr>
          <w:rFonts w:hint="eastAsia" w:ascii="方正仿宋_GBK" w:eastAsia="方正仿宋_GBK"/>
          <w:sz w:val="32"/>
          <w:szCs w:val="28"/>
          <w:highlight w:val="none"/>
        </w:rPr>
        <w:t>城镇常住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居民人均生活消费支出27073元，比上年增长1.3% 。城镇常住居民恩格尔系数31.91%，比上年下降0.07个百分点。城镇常住居民人均住房面积38.92平方米，比上年增加0.10平方米。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方正仿宋_GBK" w:hAnsi="Times New Roman" w:eastAsia="方正仿宋_GBK" w:cs="Times New Roman"/>
          <w:sz w:val="32"/>
          <w:szCs w:val="28"/>
          <w:highlight w:val="none"/>
        </w:rPr>
      </w:pPr>
      <w:r>
        <w:rPr>
          <w:rFonts w:hint="eastAsia" w:ascii="方正仿宋_GBK" w:hAnsi="Times New Roman" w:eastAsia="方正仿宋_GBK" w:cs="Times New Roman"/>
          <w:sz w:val="32"/>
          <w:highlight w:val="none"/>
        </w:rPr>
        <w:t>全年</w:t>
      </w:r>
      <w:r>
        <w:rPr>
          <w:rFonts w:hint="eastAsia" w:ascii="方正仿宋_GBK" w:eastAsia="方正仿宋_GBK"/>
          <w:sz w:val="32"/>
          <w:szCs w:val="28"/>
          <w:highlight w:val="none"/>
        </w:rPr>
        <w:t>农村常住居民人均可支配收入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20165元，比上年增长4.9％。其中，人均工资性收入7311元，增长4.9%；人均经营净收入6098元，增长4.9%；人均财产净收入395元，增长4.1%；人均转移净收入</w:t>
      </w:r>
      <w:r>
        <w:rPr>
          <w:rFonts w:ascii="方正仿宋_GBK" w:hAnsi="Times New Roman" w:eastAsia="方正仿宋_GBK" w:cs="Times New Roman"/>
          <w:sz w:val="32"/>
          <w:szCs w:val="28"/>
          <w:highlight w:val="none"/>
        </w:rPr>
        <w:t>6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362元，增长4.9%。</w:t>
      </w:r>
      <w:r>
        <w:rPr>
          <w:rFonts w:hint="eastAsia" w:ascii="方正仿宋_GBK" w:eastAsia="方正仿宋_GBK"/>
          <w:sz w:val="32"/>
          <w:szCs w:val="28"/>
          <w:highlight w:val="none"/>
        </w:rPr>
        <w:t>农村常住</w:t>
      </w:r>
      <w:r>
        <w:rPr>
          <w:rFonts w:hint="eastAsia" w:ascii="方正仿宋_GBK" w:hAnsi="Times New Roman" w:eastAsia="方正仿宋_GBK" w:cs="Times New Roman"/>
          <w:sz w:val="32"/>
          <w:szCs w:val="28"/>
          <w:highlight w:val="none"/>
        </w:rPr>
        <w:t>居民人均生活消费支出15693元，比上年增长5.4% 。农村常住居民恩格尔系数34.90%，比上年下降0.39个百分点。农村常住居民人均住房面积51.70平方米，比上年增加0.004平方米。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rPr>
          <w:rFonts w:ascii="Times New Roman" w:hAnsi="Times New Roman" w:eastAsia="黑体" w:cs="Times New Roman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sz w:val="28"/>
          <w:szCs w:val="28"/>
          <w:highlight w:val="none"/>
        </w:rPr>
        <w:t>图</w:t>
      </w:r>
      <w:r>
        <w:rPr>
          <w:rFonts w:hint="eastAsia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sz w:val="28"/>
          <w:szCs w:val="28"/>
          <w:highlight w:val="none"/>
        </w:rPr>
        <w:t xml:space="preserve">   </w:t>
      </w:r>
      <w:r>
        <w:rPr>
          <w:rFonts w:ascii="Times New Roman" w:hAnsi="Times New Roman" w:eastAsia="黑体" w:cs="Times New Roman"/>
          <w:sz w:val="28"/>
          <w:szCs w:val="28"/>
          <w:highlight w:val="none"/>
        </w:rPr>
        <w:t>近五年城镇和农村常住居民人均可支配收入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drawing>
          <wp:inline distT="0" distB="0" distL="114300" distR="114300">
            <wp:extent cx="4815840" cy="2769870"/>
            <wp:effectExtent l="0" t="0" r="0" b="381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全区社会养老保险参保单位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6078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个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、参保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70.11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万人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其中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在职参保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7.22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（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城镇职工1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70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、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城乡居民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30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84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、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机关事业1.6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）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；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退休22.8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万人（城镇职工11.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45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万人、城乡居民10.4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万人、机关事业0.9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万人）。养老保险全年完成征收25.46亿元（城镇职工18.99亿元、城乡居民1.20亿元、机关事业5.27亿元）。养老保险全年支出40.27亿元（城镇职工31.61亿元、城乡居民2.14亿元、机关事业6.52亿元）。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基本医疗保险参保单位26.9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万个，其中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城镇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职工医保参保户数（参保单位户数）为0.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40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万户，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城乡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居民医保参保户数（参保家庭户数）为26.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50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万户。基本医疗保险参保人数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79.05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万人；应征收医疗保险金9.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81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亿元；实际征收医疗保险金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9.81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亿元；发放医疗保险金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12.12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亿元。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失业保险参保单位3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363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个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、参保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7.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27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，征收失业保险金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408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，发放失业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保险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待遇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5193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惠及9389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工伤保险参保单位3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880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个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、参保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  <w:lang w:val="en-US" w:eastAsia="zh-CN"/>
        </w:rPr>
        <w:t>14.76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万人，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完成征收5409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发放工伤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保险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金9227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全年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6825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人享受城镇最低生活保障，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12267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人享受农村最低生活保障，低保资金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全年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支出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12425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万元，比上年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增长3.1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%。特困供养人员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6816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特困供养资金支出8242.7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万元。城乡低保标准分别提高到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717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元/月和5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81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元/月，比上年分别增长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12.7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%和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12.8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%。社会福利收养单位3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3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个，年末床位数3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819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张，收养人数123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7</w:t>
      </w:r>
      <w:r>
        <w:rPr>
          <w:rFonts w:ascii="Times New Roman" w:hAnsi="Times New Roman" w:eastAsia="方正仿宋_GBK" w:cs="Times New Roman"/>
          <w:sz w:val="32"/>
          <w:szCs w:val="28"/>
          <w:highlight w:val="none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十三、资源、环境和应急管理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年末大中型水库2座，蓄水总量3809万立方米。全年平均气温18.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度，最高气温（8月）43.2摄氏度，最低气温（12月）0.0摄氏度。全年降雨量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1000.3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毫米，无霜期3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54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全年城区环境空气质量二级以上天数31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天，达标率86.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03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全年工矿商贸企业(含在綦央企和市属企业)发生生产安全事故7起，死亡7人；煤矿企业安全事故0起，死亡0人；生产经营性道路交通安全事故5起，死亡5人。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rPr>
          <w:rFonts w:ascii="Times New Roman" w:hAnsi="Times New Roman" w:eastAsia="方正仿宋_GBK" w:cs="Times New Roman"/>
          <w:b/>
          <w:bCs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rPr>
          <w:rFonts w:ascii="Times New Roman" w:hAnsi="Times New Roman" w:eastAsia="方正仿宋_GBK" w:cs="Times New Roman"/>
          <w:szCs w:val="21"/>
        </w:rPr>
      </w:pPr>
      <w:r>
        <w:rPr>
          <w:rFonts w:ascii="Times New Roman" w:hAnsi="Times New Roman" w:eastAsia="方正仿宋_GBK" w:cs="Times New Roman"/>
          <w:b/>
          <w:bCs/>
          <w:szCs w:val="21"/>
        </w:rPr>
        <w:t>注</w:t>
      </w:r>
      <w:r>
        <w:rPr>
          <w:rFonts w:ascii="Times New Roman" w:hAnsi="Times New Roman" w:eastAsia="方正仿宋_GBK" w:cs="Times New Roman"/>
          <w:szCs w:val="21"/>
        </w:rPr>
        <w:t>：[1]</w:t>
      </w:r>
      <w:r>
        <w:rPr>
          <w:rFonts w:hint="eastAsia" w:ascii="Times New Roman" w:hAnsi="Times New Roman" w:eastAsia="方正仿宋_GBK" w:cs="Times New Roman"/>
          <w:szCs w:val="21"/>
        </w:rPr>
        <w:t>以上数据一综合、七财政、金融和保险数据含万盛经开区，其他数据不含万盛经开区。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firstLine="480" w:firstLineChars="200"/>
        <w:jc w:val="both"/>
        <w:textAlignment w:val="auto"/>
        <w:rPr>
          <w:rFonts w:ascii="Times New Roman" w:hAnsi="Times New Roman" w:eastAsia="方正仿宋_GBK" w:cs="Times New Roman"/>
          <w:szCs w:val="21"/>
        </w:rPr>
      </w:pPr>
      <w:r>
        <w:rPr>
          <w:rFonts w:ascii="Times New Roman" w:hAnsi="Times New Roman" w:eastAsia="方正仿宋_GBK" w:cs="Times New Roman"/>
          <w:szCs w:val="21"/>
        </w:rPr>
        <w:t>[</w:t>
      </w:r>
      <w:r>
        <w:rPr>
          <w:rFonts w:hint="eastAsia" w:ascii="Times New Roman" w:hAnsi="Times New Roman" w:eastAsia="方正仿宋_GBK" w:cs="Times New Roman"/>
          <w:szCs w:val="21"/>
          <w:lang w:val="en-US" w:eastAsia="zh-CN"/>
        </w:rPr>
        <w:t>2</w:t>
      </w:r>
      <w:r>
        <w:rPr>
          <w:rFonts w:ascii="Times New Roman" w:hAnsi="Times New Roman" w:eastAsia="方正仿宋_GBK" w:cs="Times New Roman"/>
          <w:szCs w:val="21"/>
        </w:rPr>
        <w:t>]部分数据因四舍五入的原因，存在总计与分项合计不等的情况。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firstLine="48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sz w:val="24"/>
          <w:szCs w:val="24"/>
          <w:lang w:eastAsia="zh-CN"/>
        </w:rPr>
      </w:pPr>
      <w:r>
        <w:rPr>
          <w:rFonts w:ascii="Times New Roman" w:hAnsi="Times New Roman" w:eastAsia="方正仿宋_GBK" w:cs="Times New Roman"/>
          <w:b w:val="0"/>
          <w:bCs/>
          <w:sz w:val="24"/>
          <w:szCs w:val="24"/>
        </w:rPr>
        <w:t>[3]</w:t>
      </w:r>
      <w:r>
        <w:rPr>
          <w:rFonts w:hint="eastAsia" w:ascii="Times New Roman" w:hAnsi="Times New Roman" w:eastAsia="方正仿宋_GBK" w:cs="Times New Roman"/>
          <w:b w:val="0"/>
          <w:bCs/>
          <w:sz w:val="24"/>
          <w:szCs w:val="24"/>
          <w:lang w:eastAsia="zh-CN"/>
        </w:rPr>
        <w:t>本公报所列各项数据除统计部门直接统计核算外，其余相关数据由相应部门提供。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firstLine="480" w:firstLineChars="200"/>
        <w:jc w:val="both"/>
        <w:textAlignment w:val="auto"/>
        <w:rPr>
          <w:rFonts w:hint="default" w:eastAsia="方正仿宋_GBK"/>
          <w:lang w:val="en-US" w:eastAsia="zh-CN"/>
        </w:rPr>
      </w:pPr>
      <w:r>
        <w:rPr>
          <w:rFonts w:ascii="Times New Roman" w:hAnsi="Times New Roman" w:eastAsia="方正仿宋_GBK" w:cs="Times New Roman"/>
          <w:szCs w:val="21"/>
        </w:rPr>
        <w:t>[</w:t>
      </w:r>
      <w:r>
        <w:rPr>
          <w:rFonts w:hint="eastAsia" w:ascii="Times New Roman" w:hAnsi="Times New Roman" w:eastAsia="方正仿宋_GBK" w:cs="Times New Roman"/>
          <w:szCs w:val="21"/>
          <w:lang w:val="en-US" w:eastAsia="zh-CN"/>
        </w:rPr>
        <w:t>4</w:t>
      </w:r>
      <w:r>
        <w:rPr>
          <w:rFonts w:ascii="Times New Roman" w:hAnsi="Times New Roman" w:eastAsia="方正仿宋_GBK" w:cs="Times New Roman"/>
          <w:szCs w:val="21"/>
        </w:rPr>
        <w:t>]</w:t>
      </w:r>
      <w:r>
        <w:rPr>
          <w:rFonts w:hint="eastAsia" w:ascii="Times New Roman" w:hAnsi="Times New Roman" w:eastAsia="方正仿宋_GBK" w:cs="Times New Roman"/>
          <w:szCs w:val="21"/>
          <w:lang w:eastAsia="zh-CN"/>
        </w:rPr>
        <w:t>本公报中</w:t>
      </w:r>
      <w:r>
        <w:rPr>
          <w:rFonts w:hint="eastAsia" w:ascii="Times New Roman" w:hAnsi="Times New Roman" w:eastAsia="方正仿宋_GBK" w:cs="Times New Roman"/>
          <w:szCs w:val="21"/>
          <w:lang w:val="en-US" w:eastAsia="zh-CN"/>
        </w:rPr>
        <w:t>2022年数据均为初步统计数，如与后期编辑出版的《綦江统计年鉴-2023》不一致，请以统计年鉴数据为准。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480" w:firstLineChars="200"/>
        <w:jc w:val="both"/>
        <w:rPr>
          <w:rFonts w:ascii="Times New Roman" w:hAnsi="Times New Roman" w:eastAsia="方正仿宋_GBK" w:cs="Times New Roman"/>
          <w:szCs w:val="21"/>
        </w:rPr>
      </w:pPr>
      <w:r>
        <w:rPr>
          <w:rFonts w:ascii="Times New Roman" w:hAnsi="Times New Roman" w:eastAsia="方正仿宋_GBK" w:cs="Times New Roman"/>
          <w:szCs w:val="21"/>
        </w:rPr>
        <w:t>[</w:t>
      </w:r>
      <w:r>
        <w:rPr>
          <w:rFonts w:hint="eastAsia" w:ascii="Times New Roman" w:hAnsi="Times New Roman" w:eastAsia="方正仿宋_GBK" w:cs="Times New Roman"/>
          <w:szCs w:val="21"/>
          <w:lang w:val="en-US" w:eastAsia="zh-CN"/>
        </w:rPr>
        <w:t>5</w:t>
      </w:r>
      <w:r>
        <w:rPr>
          <w:rFonts w:ascii="Times New Roman" w:hAnsi="Times New Roman" w:eastAsia="方正仿宋_GBK" w:cs="Times New Roman"/>
          <w:szCs w:val="21"/>
        </w:rPr>
        <w:t>]国内生产总值、三次产业及相关行业增加值、地区生产总值、人均国内生产总值和国民总收入绝对数按现价计算，增长速度按不变价格计算。根据第四次全国经济普查结果，对国内生产总值、三次产业及相关行业增加值等相关指标的历史数据进行了修订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80" w:firstLineChars="200"/>
        <w:textAlignment w:val="auto"/>
        <w:rPr>
          <w:rFonts w:hint="eastAsia" w:eastAsia="方正仿宋_GBK"/>
          <w:b w:val="0"/>
          <w:bCs/>
          <w:sz w:val="24"/>
          <w:szCs w:val="24"/>
          <w:lang w:val="en-US" w:eastAsia="zh-CN"/>
        </w:rPr>
      </w:pPr>
      <w:r>
        <w:rPr>
          <w:rFonts w:ascii="Times New Roman" w:hAnsi="Times New Roman" w:eastAsia="方正仿宋_GBK" w:cs="Times New Roman"/>
          <w:b w:val="0"/>
          <w:bCs/>
          <w:sz w:val="24"/>
          <w:szCs w:val="24"/>
        </w:rPr>
        <w:t>[</w:t>
      </w:r>
      <w:r>
        <w:rPr>
          <w:rFonts w:hint="eastAsia" w:ascii="Times New Roman" w:hAnsi="Times New Roman" w:eastAsia="方正仿宋_GBK" w:cs="Times New Roman"/>
          <w:b w:val="0"/>
          <w:bCs/>
          <w:sz w:val="24"/>
          <w:szCs w:val="24"/>
          <w:lang w:val="en-US" w:eastAsia="zh-CN"/>
        </w:rPr>
        <w:t>6</w:t>
      </w:r>
      <w:r>
        <w:rPr>
          <w:rFonts w:ascii="Times New Roman" w:hAnsi="Times New Roman" w:eastAsia="方正仿宋_GBK" w:cs="Times New Roman"/>
          <w:b w:val="0"/>
          <w:bCs/>
          <w:sz w:val="24"/>
          <w:szCs w:val="24"/>
        </w:rPr>
        <w:t>]</w:t>
      </w:r>
      <w:r>
        <w:rPr>
          <w:rFonts w:hint="eastAsia" w:ascii="Times New Roman" w:hAnsi="Times New Roman" w:eastAsia="方正仿宋_GBK" w:cs="Times New Roman"/>
          <w:b w:val="0"/>
          <w:bCs/>
          <w:sz w:val="24"/>
          <w:szCs w:val="24"/>
          <w:lang w:eastAsia="zh-CN"/>
        </w:rPr>
        <w:t>实际利用外资口径今年调整为实际使用外资。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480" w:firstLineChars="200"/>
        <w:textAlignment w:val="auto"/>
        <w:rPr>
          <w:rFonts w:ascii="Times New Roman" w:hAnsi="Times New Roman" w:eastAsia="方正仿宋_GBK" w:cs="Times New Roman"/>
          <w:szCs w:val="21"/>
        </w:rPr>
      </w:pPr>
      <w:r>
        <w:rPr>
          <w:rFonts w:ascii="Times New Roman" w:hAnsi="Times New Roman" w:eastAsia="方正仿宋_GBK" w:cs="Times New Roman"/>
          <w:szCs w:val="21"/>
        </w:rPr>
        <w:t>[</w:t>
      </w:r>
      <w:r>
        <w:rPr>
          <w:rFonts w:hint="eastAsia" w:ascii="Times New Roman" w:hAnsi="Times New Roman" w:eastAsia="方正仿宋_GBK" w:cs="Times New Roman"/>
          <w:szCs w:val="21"/>
          <w:lang w:val="en-US" w:eastAsia="zh-CN"/>
        </w:rPr>
        <w:t>7</w:t>
      </w:r>
      <w:r>
        <w:rPr>
          <w:rFonts w:ascii="Times New Roman" w:hAnsi="Times New Roman" w:eastAsia="方正仿宋_GBK" w:cs="Times New Roman"/>
          <w:szCs w:val="21"/>
        </w:rPr>
        <w:t>]行业统计标准：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480" w:firstLineChars="200"/>
        <w:jc w:val="both"/>
        <w:textAlignment w:val="auto"/>
        <w:rPr>
          <w:rFonts w:ascii="Times New Roman" w:hAnsi="Times New Roman" w:eastAsia="方正仿宋_GBK" w:cs="Times New Roman"/>
          <w:szCs w:val="21"/>
          <w:highlight w:val="none"/>
        </w:rPr>
      </w:pPr>
      <w:r>
        <w:rPr>
          <w:rFonts w:ascii="Times New Roman" w:hAnsi="Times New Roman" w:eastAsia="方正仿宋_GBK" w:cs="Times New Roman"/>
          <w:szCs w:val="21"/>
          <w:highlight w:val="none"/>
        </w:rPr>
        <w:t>规模以上工业：年主营业务收入2000万元及以上的工业法人单位。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480" w:firstLineChars="200"/>
        <w:jc w:val="both"/>
        <w:textAlignment w:val="auto"/>
        <w:rPr>
          <w:rFonts w:ascii="Times New Roman" w:hAnsi="Times New Roman" w:eastAsia="方正仿宋_GBK" w:cs="Times New Roman"/>
          <w:szCs w:val="21"/>
          <w:highlight w:val="none"/>
        </w:rPr>
      </w:pPr>
      <w:r>
        <w:rPr>
          <w:rFonts w:ascii="Times New Roman" w:hAnsi="Times New Roman" w:eastAsia="方正仿宋_GBK" w:cs="Times New Roman"/>
          <w:szCs w:val="21"/>
          <w:highlight w:val="none"/>
        </w:rPr>
        <w:t>有资质的建筑业：有总承包和专业承包资质的建筑业法人单位。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480" w:firstLineChars="200"/>
        <w:jc w:val="both"/>
        <w:textAlignment w:val="auto"/>
        <w:rPr>
          <w:rFonts w:ascii="Times New Roman" w:hAnsi="Times New Roman" w:eastAsia="方正仿宋_GBK" w:cs="Times New Roman"/>
          <w:szCs w:val="21"/>
          <w:highlight w:val="none"/>
        </w:rPr>
      </w:pPr>
      <w:r>
        <w:rPr>
          <w:rFonts w:ascii="Times New Roman" w:hAnsi="Times New Roman" w:eastAsia="方正仿宋_GBK" w:cs="Times New Roman"/>
          <w:szCs w:val="21"/>
          <w:highlight w:val="none"/>
        </w:rPr>
        <w:t>限额以上批发和零售业：</w:t>
      </w:r>
      <w:r>
        <w:rPr>
          <w:rFonts w:hint="eastAsia" w:ascii="Times New Roman" w:hAnsi="方正仿宋_GBK" w:eastAsia="方正仿宋_GBK" w:cs="方正仿宋_GBK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年主营业务收入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2000</w:t>
      </w:r>
      <w:r>
        <w:rPr>
          <w:rFonts w:hint="eastAsia" w:ascii="Times New Roman" w:hAnsi="方正仿宋_GBK" w:eastAsia="方正仿宋_GBK" w:cs="方正仿宋_GBK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万元及以上的批发业、年主营业务收入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500</w:t>
      </w:r>
      <w:r>
        <w:rPr>
          <w:rFonts w:hint="eastAsia" w:ascii="Times New Roman" w:hAnsi="方正仿宋_GBK" w:eastAsia="方正仿宋_GBK" w:cs="方正仿宋_GBK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万元及以上的零售业单位。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480" w:firstLineChars="200"/>
        <w:jc w:val="both"/>
        <w:textAlignment w:val="auto"/>
        <w:rPr>
          <w:rFonts w:ascii="Times New Roman" w:hAnsi="Times New Roman" w:eastAsia="方正仿宋_GBK" w:cs="Times New Roman"/>
          <w:szCs w:val="21"/>
          <w:highlight w:val="none"/>
        </w:rPr>
      </w:pPr>
      <w:r>
        <w:rPr>
          <w:rFonts w:ascii="Times New Roman" w:hAnsi="Times New Roman" w:eastAsia="方正仿宋_GBK" w:cs="Times New Roman"/>
          <w:szCs w:val="21"/>
          <w:highlight w:val="none"/>
        </w:rPr>
        <w:t>限额以上住宿和餐饮业：</w:t>
      </w:r>
      <w:r>
        <w:rPr>
          <w:rFonts w:hint="eastAsia" w:ascii="Times New Roman" w:hAnsi="方正仿宋_GBK" w:eastAsia="方正仿宋_GBK" w:cs="方正仿宋_GBK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年主营业务收入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200</w:t>
      </w:r>
      <w:r>
        <w:rPr>
          <w:rFonts w:hint="eastAsia" w:ascii="Times New Roman" w:hAnsi="方正仿宋_GBK" w:eastAsia="方正仿宋_GBK" w:cs="方正仿宋_GBK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万元及以上的住宿和餐饮业单位。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szCs w:val="21"/>
          <w:highlight w:val="none"/>
        </w:rPr>
      </w:pPr>
      <w:r>
        <w:rPr>
          <w:rFonts w:hint="eastAsia" w:ascii="方正仿宋_GBK" w:hAnsi="方正仿宋_GBK" w:eastAsia="方正仿宋_GBK" w:cs="方正仿宋_GBK"/>
          <w:szCs w:val="21"/>
          <w:highlight w:val="none"/>
        </w:rPr>
        <w:t>房地产开发经营业：有开发经营活动的全部房地产开发经营业法人单位。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4"/>
          <w:szCs w:val="24"/>
          <w:highlight w:val="none"/>
        </w:rPr>
        <w:t>规模以上服务业：年营业收入2000万元及以上的服务业法人单位，包括：交通运输、仓储和邮政业，信息传输、软件和信息技术服务业，水利、环境和公共设施管理业，卫生；年营业收入1000万元及以上的服务业法人单位，包括：租赁和商务服务业，科学研究和技术服务业，教育，以及物业管理、房地产中介服务、房地产租赁经营和其他房地产业；年营业收入500万元及以上的服务业法人单位，包括：居民服务、修理和其他服务业，文化、体育和娱乐业，社会工作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left="0" w:right="0" w:firstLine="420"/>
        <w:jc w:val="both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ascii="Times New Roman" w:hAnsi="Times New Roman" w:eastAsia="方正仿宋_GBK" w:cs="Times New Roman"/>
          <w:szCs w:val="21"/>
        </w:rPr>
        <w:t>[</w:t>
      </w:r>
      <w:r>
        <w:rPr>
          <w:rFonts w:hint="eastAsia" w:ascii="Times New Roman" w:hAnsi="Times New Roman" w:eastAsia="方正仿宋_GBK" w:cs="Times New Roman"/>
          <w:szCs w:val="21"/>
          <w:lang w:val="en-US" w:eastAsia="zh-CN"/>
        </w:rPr>
        <w:t>8</w:t>
      </w:r>
      <w:r>
        <w:rPr>
          <w:rFonts w:ascii="Times New Roman" w:hAnsi="Times New Roman" w:eastAsia="方正仿宋_GBK" w:cs="Times New Roman"/>
          <w:szCs w:val="21"/>
        </w:rPr>
        <w:t>]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资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料来源（以文中数据为序）：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left="0" w:right="0" w:firstLine="420"/>
        <w:jc w:val="both"/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本公报中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eastAsia="zh-CN"/>
        </w:rPr>
        <w:t>交通数据来自区交通局；邮政数据来自中国邮政集团有限公司重庆市綦江区分公司；通信数据来自区经济信息委；进出口数据来自区商务委；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财政数据来自区财政局；金融数据来自人民银行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eastAsia="zh-CN"/>
        </w:rPr>
        <w:t>巴南中心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支行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区国资委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eastAsia="zh-CN"/>
        </w:rPr>
        <w:t>；保险数据来自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中国银行保险监督管理委员会巴南监管分局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；城市建设数据来自区住房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城乡建委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；市政设施数据来自区城管局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；教育数据来自区教委；科技数据来自区科技局；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文化、旅游、体育数据来自区文化旅游委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医疗卫生数据来自区卫生健康委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人口数据来自区公安局和区卫生健康委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社会保障数据来自区人力社保局；医疗保险数据来自区医保局；城乡低保、城乡特困人员救助数据来自区民政局；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水资源数据来自区水利局；气温数据来自气象局；环境数据来自区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生态环境局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森林数据来自区林业局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生产安全事故数据来自区应急局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其他数据来自区统计局、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区社会经济调查队。</w:t>
      </w:r>
    </w:p>
    <w:p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U2M2YzZDBkZWVlMDA5OGMxNTVkNmM3OGY1ZmIifQ=="/>
  </w:docVars>
  <w:rsids>
    <w:rsidRoot w:val="008D41E9"/>
    <w:rsid w:val="00000609"/>
    <w:rsid w:val="00000ABC"/>
    <w:rsid w:val="00002CBC"/>
    <w:rsid w:val="000033E9"/>
    <w:rsid w:val="00005006"/>
    <w:rsid w:val="00010BD9"/>
    <w:rsid w:val="00011305"/>
    <w:rsid w:val="00011DE5"/>
    <w:rsid w:val="00023488"/>
    <w:rsid w:val="000355FD"/>
    <w:rsid w:val="00036D44"/>
    <w:rsid w:val="00044EF2"/>
    <w:rsid w:val="00054693"/>
    <w:rsid w:val="00056EA1"/>
    <w:rsid w:val="00056FF2"/>
    <w:rsid w:val="00062E44"/>
    <w:rsid w:val="00065017"/>
    <w:rsid w:val="000673CD"/>
    <w:rsid w:val="00073405"/>
    <w:rsid w:val="00074049"/>
    <w:rsid w:val="0007564E"/>
    <w:rsid w:val="000808D4"/>
    <w:rsid w:val="000936EA"/>
    <w:rsid w:val="00096E80"/>
    <w:rsid w:val="000A0D59"/>
    <w:rsid w:val="000A0E7D"/>
    <w:rsid w:val="000A679B"/>
    <w:rsid w:val="000A7094"/>
    <w:rsid w:val="000B3488"/>
    <w:rsid w:val="000B71CF"/>
    <w:rsid w:val="000C5FE5"/>
    <w:rsid w:val="000D2D2B"/>
    <w:rsid w:val="000E0A46"/>
    <w:rsid w:val="000E39BA"/>
    <w:rsid w:val="000E3EE8"/>
    <w:rsid w:val="000E481A"/>
    <w:rsid w:val="000E4EA6"/>
    <w:rsid w:val="000E539A"/>
    <w:rsid w:val="00103FF5"/>
    <w:rsid w:val="001068F0"/>
    <w:rsid w:val="00114FFD"/>
    <w:rsid w:val="00116351"/>
    <w:rsid w:val="00123B61"/>
    <w:rsid w:val="001276D7"/>
    <w:rsid w:val="00152187"/>
    <w:rsid w:val="00155028"/>
    <w:rsid w:val="00156D6A"/>
    <w:rsid w:val="0016141B"/>
    <w:rsid w:val="00164A99"/>
    <w:rsid w:val="00165556"/>
    <w:rsid w:val="001663D7"/>
    <w:rsid w:val="00170E58"/>
    <w:rsid w:val="0017646E"/>
    <w:rsid w:val="00185CDF"/>
    <w:rsid w:val="00187EFD"/>
    <w:rsid w:val="0019554C"/>
    <w:rsid w:val="001A4A53"/>
    <w:rsid w:val="001A5086"/>
    <w:rsid w:val="001A5630"/>
    <w:rsid w:val="001B215B"/>
    <w:rsid w:val="001B6E12"/>
    <w:rsid w:val="001D79D5"/>
    <w:rsid w:val="001F1A1B"/>
    <w:rsid w:val="002125CE"/>
    <w:rsid w:val="002230C9"/>
    <w:rsid w:val="00224494"/>
    <w:rsid w:val="002273F9"/>
    <w:rsid w:val="002347A7"/>
    <w:rsid w:val="002348C9"/>
    <w:rsid w:val="00236B3E"/>
    <w:rsid w:val="00237404"/>
    <w:rsid w:val="00240FBF"/>
    <w:rsid w:val="0026523F"/>
    <w:rsid w:val="002725FD"/>
    <w:rsid w:val="0027346C"/>
    <w:rsid w:val="002811C2"/>
    <w:rsid w:val="00282FC1"/>
    <w:rsid w:val="002860DE"/>
    <w:rsid w:val="00293904"/>
    <w:rsid w:val="002962F1"/>
    <w:rsid w:val="00296406"/>
    <w:rsid w:val="002A36C4"/>
    <w:rsid w:val="002A6468"/>
    <w:rsid w:val="002A6F98"/>
    <w:rsid w:val="002A7CC8"/>
    <w:rsid w:val="002B04C0"/>
    <w:rsid w:val="002B20C0"/>
    <w:rsid w:val="002B7B98"/>
    <w:rsid w:val="002C211F"/>
    <w:rsid w:val="002D31A4"/>
    <w:rsid w:val="002D39BD"/>
    <w:rsid w:val="002D7343"/>
    <w:rsid w:val="002E189F"/>
    <w:rsid w:val="002E4BA3"/>
    <w:rsid w:val="002E4F2E"/>
    <w:rsid w:val="002F5469"/>
    <w:rsid w:val="002F57D5"/>
    <w:rsid w:val="003019D1"/>
    <w:rsid w:val="00305FC2"/>
    <w:rsid w:val="003121C7"/>
    <w:rsid w:val="00313991"/>
    <w:rsid w:val="00320126"/>
    <w:rsid w:val="0032085C"/>
    <w:rsid w:val="0032295B"/>
    <w:rsid w:val="00325DF6"/>
    <w:rsid w:val="00332E8B"/>
    <w:rsid w:val="00334758"/>
    <w:rsid w:val="00335493"/>
    <w:rsid w:val="003379B6"/>
    <w:rsid w:val="00341EC2"/>
    <w:rsid w:val="003438E5"/>
    <w:rsid w:val="00344557"/>
    <w:rsid w:val="0035295A"/>
    <w:rsid w:val="00354551"/>
    <w:rsid w:val="0035580B"/>
    <w:rsid w:val="00360795"/>
    <w:rsid w:val="003661C1"/>
    <w:rsid w:val="00374168"/>
    <w:rsid w:val="00374B39"/>
    <w:rsid w:val="00376472"/>
    <w:rsid w:val="00376ACC"/>
    <w:rsid w:val="00377964"/>
    <w:rsid w:val="00380CC3"/>
    <w:rsid w:val="00387AD9"/>
    <w:rsid w:val="00387C69"/>
    <w:rsid w:val="00391CB1"/>
    <w:rsid w:val="003A00FB"/>
    <w:rsid w:val="003B3403"/>
    <w:rsid w:val="003C5755"/>
    <w:rsid w:val="003C76FF"/>
    <w:rsid w:val="003D10CA"/>
    <w:rsid w:val="003D35B1"/>
    <w:rsid w:val="003D7E28"/>
    <w:rsid w:val="003F0432"/>
    <w:rsid w:val="003F2619"/>
    <w:rsid w:val="003F7E80"/>
    <w:rsid w:val="00421219"/>
    <w:rsid w:val="004247D1"/>
    <w:rsid w:val="00430C3A"/>
    <w:rsid w:val="00443D19"/>
    <w:rsid w:val="00454F20"/>
    <w:rsid w:val="004555EE"/>
    <w:rsid w:val="00456728"/>
    <w:rsid w:val="00456B2C"/>
    <w:rsid w:val="00474DCB"/>
    <w:rsid w:val="00481595"/>
    <w:rsid w:val="00495474"/>
    <w:rsid w:val="004B229D"/>
    <w:rsid w:val="004B309A"/>
    <w:rsid w:val="004B79A4"/>
    <w:rsid w:val="004D1CF5"/>
    <w:rsid w:val="004D30A8"/>
    <w:rsid w:val="004E68B0"/>
    <w:rsid w:val="00503550"/>
    <w:rsid w:val="00506E94"/>
    <w:rsid w:val="0050764C"/>
    <w:rsid w:val="0052318B"/>
    <w:rsid w:val="0053329F"/>
    <w:rsid w:val="00536FEA"/>
    <w:rsid w:val="00543429"/>
    <w:rsid w:val="00544CB8"/>
    <w:rsid w:val="00555ED9"/>
    <w:rsid w:val="00565934"/>
    <w:rsid w:val="00570592"/>
    <w:rsid w:val="0057677E"/>
    <w:rsid w:val="005803CD"/>
    <w:rsid w:val="0058083E"/>
    <w:rsid w:val="005825C7"/>
    <w:rsid w:val="005844AE"/>
    <w:rsid w:val="00590D67"/>
    <w:rsid w:val="005931F7"/>
    <w:rsid w:val="005955CA"/>
    <w:rsid w:val="00597CB7"/>
    <w:rsid w:val="005C428E"/>
    <w:rsid w:val="005C6E26"/>
    <w:rsid w:val="005E0D2C"/>
    <w:rsid w:val="005E4DCC"/>
    <w:rsid w:val="00603EC1"/>
    <w:rsid w:val="00611917"/>
    <w:rsid w:val="00612E78"/>
    <w:rsid w:val="006168EE"/>
    <w:rsid w:val="0062196C"/>
    <w:rsid w:val="0062293B"/>
    <w:rsid w:val="006235B0"/>
    <w:rsid w:val="006263AF"/>
    <w:rsid w:val="00632AE8"/>
    <w:rsid w:val="006376BD"/>
    <w:rsid w:val="0064241E"/>
    <w:rsid w:val="00652C2D"/>
    <w:rsid w:val="00653A30"/>
    <w:rsid w:val="006550A0"/>
    <w:rsid w:val="00655F46"/>
    <w:rsid w:val="00665EF9"/>
    <w:rsid w:val="00680A52"/>
    <w:rsid w:val="0068200B"/>
    <w:rsid w:val="00682FD0"/>
    <w:rsid w:val="006870E1"/>
    <w:rsid w:val="00697A7F"/>
    <w:rsid w:val="006A1A6C"/>
    <w:rsid w:val="006A2577"/>
    <w:rsid w:val="006A2812"/>
    <w:rsid w:val="006C0548"/>
    <w:rsid w:val="006C076B"/>
    <w:rsid w:val="006D33CA"/>
    <w:rsid w:val="006D7F2F"/>
    <w:rsid w:val="00702EBB"/>
    <w:rsid w:val="007073E6"/>
    <w:rsid w:val="007120EE"/>
    <w:rsid w:val="00713ACC"/>
    <w:rsid w:val="007151A9"/>
    <w:rsid w:val="00723BAE"/>
    <w:rsid w:val="00724EAF"/>
    <w:rsid w:val="00752284"/>
    <w:rsid w:val="00754205"/>
    <w:rsid w:val="007545D1"/>
    <w:rsid w:val="0075538F"/>
    <w:rsid w:val="007578AA"/>
    <w:rsid w:val="007621A1"/>
    <w:rsid w:val="00763BFD"/>
    <w:rsid w:val="007659AB"/>
    <w:rsid w:val="0077320D"/>
    <w:rsid w:val="00773647"/>
    <w:rsid w:val="007815F6"/>
    <w:rsid w:val="007863AA"/>
    <w:rsid w:val="00790A75"/>
    <w:rsid w:val="00791D25"/>
    <w:rsid w:val="0079669C"/>
    <w:rsid w:val="007A7148"/>
    <w:rsid w:val="007B1C46"/>
    <w:rsid w:val="007B50D1"/>
    <w:rsid w:val="007B5E1D"/>
    <w:rsid w:val="007B7912"/>
    <w:rsid w:val="007C1794"/>
    <w:rsid w:val="007D0222"/>
    <w:rsid w:val="007D0264"/>
    <w:rsid w:val="007D058A"/>
    <w:rsid w:val="007D09E5"/>
    <w:rsid w:val="007D3650"/>
    <w:rsid w:val="007D3C4A"/>
    <w:rsid w:val="007D5482"/>
    <w:rsid w:val="007D6C96"/>
    <w:rsid w:val="007E1976"/>
    <w:rsid w:val="007E30B1"/>
    <w:rsid w:val="007E37CB"/>
    <w:rsid w:val="0081275A"/>
    <w:rsid w:val="00814F79"/>
    <w:rsid w:val="00816BD2"/>
    <w:rsid w:val="00822888"/>
    <w:rsid w:val="008339BF"/>
    <w:rsid w:val="00833A64"/>
    <w:rsid w:val="008343B7"/>
    <w:rsid w:val="00847660"/>
    <w:rsid w:val="00863110"/>
    <w:rsid w:val="00864B0A"/>
    <w:rsid w:val="00865BC7"/>
    <w:rsid w:val="00883A97"/>
    <w:rsid w:val="008909C5"/>
    <w:rsid w:val="00891C63"/>
    <w:rsid w:val="00895A96"/>
    <w:rsid w:val="00896517"/>
    <w:rsid w:val="008A469A"/>
    <w:rsid w:val="008B063E"/>
    <w:rsid w:val="008B3D55"/>
    <w:rsid w:val="008B5C24"/>
    <w:rsid w:val="008C16BC"/>
    <w:rsid w:val="008C7C02"/>
    <w:rsid w:val="008D41E9"/>
    <w:rsid w:val="008D4AFE"/>
    <w:rsid w:val="008D76A5"/>
    <w:rsid w:val="008E2496"/>
    <w:rsid w:val="008F6FFD"/>
    <w:rsid w:val="009017F4"/>
    <w:rsid w:val="00904374"/>
    <w:rsid w:val="00914F65"/>
    <w:rsid w:val="009203A8"/>
    <w:rsid w:val="00926C52"/>
    <w:rsid w:val="00936A4E"/>
    <w:rsid w:val="009437AE"/>
    <w:rsid w:val="00950782"/>
    <w:rsid w:val="009645E2"/>
    <w:rsid w:val="00975C28"/>
    <w:rsid w:val="00976273"/>
    <w:rsid w:val="00976FCE"/>
    <w:rsid w:val="009842A5"/>
    <w:rsid w:val="009845E6"/>
    <w:rsid w:val="00986298"/>
    <w:rsid w:val="00992A17"/>
    <w:rsid w:val="009A5577"/>
    <w:rsid w:val="009A5950"/>
    <w:rsid w:val="009B10A7"/>
    <w:rsid w:val="009B313D"/>
    <w:rsid w:val="009C3874"/>
    <w:rsid w:val="009C4BD4"/>
    <w:rsid w:val="009C504D"/>
    <w:rsid w:val="009C6BF3"/>
    <w:rsid w:val="009C6BF9"/>
    <w:rsid w:val="009D33D2"/>
    <w:rsid w:val="009D6C9A"/>
    <w:rsid w:val="009D74D6"/>
    <w:rsid w:val="009E1EEC"/>
    <w:rsid w:val="009F2156"/>
    <w:rsid w:val="00A14A48"/>
    <w:rsid w:val="00A16304"/>
    <w:rsid w:val="00A22EFE"/>
    <w:rsid w:val="00A2464B"/>
    <w:rsid w:val="00A25686"/>
    <w:rsid w:val="00A30DD3"/>
    <w:rsid w:val="00A33B34"/>
    <w:rsid w:val="00A3467B"/>
    <w:rsid w:val="00A37C4F"/>
    <w:rsid w:val="00A37DC8"/>
    <w:rsid w:val="00A40ABF"/>
    <w:rsid w:val="00A4576F"/>
    <w:rsid w:val="00A50AA9"/>
    <w:rsid w:val="00A53BBB"/>
    <w:rsid w:val="00A5671D"/>
    <w:rsid w:val="00A60611"/>
    <w:rsid w:val="00A65540"/>
    <w:rsid w:val="00A71512"/>
    <w:rsid w:val="00A7283B"/>
    <w:rsid w:val="00A72DAF"/>
    <w:rsid w:val="00A7436A"/>
    <w:rsid w:val="00A75832"/>
    <w:rsid w:val="00A81C22"/>
    <w:rsid w:val="00A95909"/>
    <w:rsid w:val="00AA43DB"/>
    <w:rsid w:val="00AA65BE"/>
    <w:rsid w:val="00AA6CA1"/>
    <w:rsid w:val="00AB3A6C"/>
    <w:rsid w:val="00AC1306"/>
    <w:rsid w:val="00AD1211"/>
    <w:rsid w:val="00AE5147"/>
    <w:rsid w:val="00AE5A2F"/>
    <w:rsid w:val="00AF4C52"/>
    <w:rsid w:val="00B04969"/>
    <w:rsid w:val="00B114A7"/>
    <w:rsid w:val="00B165BB"/>
    <w:rsid w:val="00B23946"/>
    <w:rsid w:val="00B24FBD"/>
    <w:rsid w:val="00B27317"/>
    <w:rsid w:val="00B31824"/>
    <w:rsid w:val="00B36868"/>
    <w:rsid w:val="00B407C8"/>
    <w:rsid w:val="00B42A00"/>
    <w:rsid w:val="00B462C9"/>
    <w:rsid w:val="00B52149"/>
    <w:rsid w:val="00B554C8"/>
    <w:rsid w:val="00B57489"/>
    <w:rsid w:val="00B65FF2"/>
    <w:rsid w:val="00B666E3"/>
    <w:rsid w:val="00B77214"/>
    <w:rsid w:val="00B83F14"/>
    <w:rsid w:val="00B8708A"/>
    <w:rsid w:val="00BA2391"/>
    <w:rsid w:val="00BA34BB"/>
    <w:rsid w:val="00BA5233"/>
    <w:rsid w:val="00BA7B32"/>
    <w:rsid w:val="00BB63CA"/>
    <w:rsid w:val="00BB7981"/>
    <w:rsid w:val="00BC1734"/>
    <w:rsid w:val="00BC19D0"/>
    <w:rsid w:val="00BE4657"/>
    <w:rsid w:val="00BF284F"/>
    <w:rsid w:val="00C1284B"/>
    <w:rsid w:val="00C2302C"/>
    <w:rsid w:val="00C25FF2"/>
    <w:rsid w:val="00C304D8"/>
    <w:rsid w:val="00C30740"/>
    <w:rsid w:val="00C41FED"/>
    <w:rsid w:val="00C43CBA"/>
    <w:rsid w:val="00C50035"/>
    <w:rsid w:val="00C51FA8"/>
    <w:rsid w:val="00C542E7"/>
    <w:rsid w:val="00C56EB6"/>
    <w:rsid w:val="00C743C3"/>
    <w:rsid w:val="00C74E59"/>
    <w:rsid w:val="00C75827"/>
    <w:rsid w:val="00C7628A"/>
    <w:rsid w:val="00C909BD"/>
    <w:rsid w:val="00CA5E67"/>
    <w:rsid w:val="00CA7A11"/>
    <w:rsid w:val="00CB4955"/>
    <w:rsid w:val="00CB64EE"/>
    <w:rsid w:val="00CC481F"/>
    <w:rsid w:val="00CC560C"/>
    <w:rsid w:val="00CE3467"/>
    <w:rsid w:val="00CF0322"/>
    <w:rsid w:val="00CF1F55"/>
    <w:rsid w:val="00CF38CC"/>
    <w:rsid w:val="00D00C35"/>
    <w:rsid w:val="00D01AB4"/>
    <w:rsid w:val="00D0446D"/>
    <w:rsid w:val="00D260E6"/>
    <w:rsid w:val="00D27D2E"/>
    <w:rsid w:val="00D30343"/>
    <w:rsid w:val="00D36FC5"/>
    <w:rsid w:val="00D442CF"/>
    <w:rsid w:val="00D51645"/>
    <w:rsid w:val="00D53DE2"/>
    <w:rsid w:val="00D55D3B"/>
    <w:rsid w:val="00D629ED"/>
    <w:rsid w:val="00D661F4"/>
    <w:rsid w:val="00D72F4E"/>
    <w:rsid w:val="00D73B94"/>
    <w:rsid w:val="00D74EB4"/>
    <w:rsid w:val="00D7589F"/>
    <w:rsid w:val="00D76936"/>
    <w:rsid w:val="00D769A0"/>
    <w:rsid w:val="00D77EEC"/>
    <w:rsid w:val="00D8592B"/>
    <w:rsid w:val="00D941E1"/>
    <w:rsid w:val="00D97127"/>
    <w:rsid w:val="00DA5B44"/>
    <w:rsid w:val="00DC042A"/>
    <w:rsid w:val="00DC74D9"/>
    <w:rsid w:val="00DD0CCB"/>
    <w:rsid w:val="00DD10EF"/>
    <w:rsid w:val="00DE548E"/>
    <w:rsid w:val="00E035EB"/>
    <w:rsid w:val="00E145F4"/>
    <w:rsid w:val="00E15B6D"/>
    <w:rsid w:val="00E16AA2"/>
    <w:rsid w:val="00E16DA6"/>
    <w:rsid w:val="00E233AB"/>
    <w:rsid w:val="00E26196"/>
    <w:rsid w:val="00E26CD8"/>
    <w:rsid w:val="00E27E51"/>
    <w:rsid w:val="00E318B1"/>
    <w:rsid w:val="00E31CC5"/>
    <w:rsid w:val="00E360D9"/>
    <w:rsid w:val="00E43040"/>
    <w:rsid w:val="00E53BA0"/>
    <w:rsid w:val="00E55D3B"/>
    <w:rsid w:val="00E5723B"/>
    <w:rsid w:val="00E736B5"/>
    <w:rsid w:val="00E76DA6"/>
    <w:rsid w:val="00E77D94"/>
    <w:rsid w:val="00E83925"/>
    <w:rsid w:val="00E84BA6"/>
    <w:rsid w:val="00E92E9E"/>
    <w:rsid w:val="00E96D0A"/>
    <w:rsid w:val="00EA1636"/>
    <w:rsid w:val="00EA1B66"/>
    <w:rsid w:val="00EA5CD0"/>
    <w:rsid w:val="00EB2099"/>
    <w:rsid w:val="00EB2584"/>
    <w:rsid w:val="00EB3121"/>
    <w:rsid w:val="00EB38EB"/>
    <w:rsid w:val="00EB6E8B"/>
    <w:rsid w:val="00EC510F"/>
    <w:rsid w:val="00EC5D9E"/>
    <w:rsid w:val="00ED3ECC"/>
    <w:rsid w:val="00ED7189"/>
    <w:rsid w:val="00F01ABE"/>
    <w:rsid w:val="00F03A6F"/>
    <w:rsid w:val="00F157B7"/>
    <w:rsid w:val="00F2257E"/>
    <w:rsid w:val="00F22C6A"/>
    <w:rsid w:val="00F32841"/>
    <w:rsid w:val="00F34420"/>
    <w:rsid w:val="00F41994"/>
    <w:rsid w:val="00F443E6"/>
    <w:rsid w:val="00F53971"/>
    <w:rsid w:val="00F66AE7"/>
    <w:rsid w:val="00F75C4E"/>
    <w:rsid w:val="00F774D2"/>
    <w:rsid w:val="00F81198"/>
    <w:rsid w:val="00F82008"/>
    <w:rsid w:val="00F857EF"/>
    <w:rsid w:val="00F94FB3"/>
    <w:rsid w:val="00FA6AF7"/>
    <w:rsid w:val="00FB1B38"/>
    <w:rsid w:val="00FB4834"/>
    <w:rsid w:val="00FB7495"/>
    <w:rsid w:val="00FC2801"/>
    <w:rsid w:val="00FC4EF8"/>
    <w:rsid w:val="00FC5081"/>
    <w:rsid w:val="00FC6C9E"/>
    <w:rsid w:val="00FD5A38"/>
    <w:rsid w:val="00FE044B"/>
    <w:rsid w:val="00FE0E13"/>
    <w:rsid w:val="00FE5059"/>
    <w:rsid w:val="00FF3861"/>
    <w:rsid w:val="00FF3B65"/>
    <w:rsid w:val="00FF4294"/>
    <w:rsid w:val="00FF62E4"/>
    <w:rsid w:val="00FF765C"/>
    <w:rsid w:val="010B0AA2"/>
    <w:rsid w:val="012B61B1"/>
    <w:rsid w:val="014B5A6A"/>
    <w:rsid w:val="01657C13"/>
    <w:rsid w:val="020829AF"/>
    <w:rsid w:val="02594F3F"/>
    <w:rsid w:val="03205FDB"/>
    <w:rsid w:val="0333397C"/>
    <w:rsid w:val="036A0E72"/>
    <w:rsid w:val="03B730D1"/>
    <w:rsid w:val="0472769F"/>
    <w:rsid w:val="04E723E0"/>
    <w:rsid w:val="0543421B"/>
    <w:rsid w:val="055350E8"/>
    <w:rsid w:val="07023F74"/>
    <w:rsid w:val="0793532D"/>
    <w:rsid w:val="07C87C3B"/>
    <w:rsid w:val="083228E6"/>
    <w:rsid w:val="086B2743"/>
    <w:rsid w:val="08C57079"/>
    <w:rsid w:val="09312B2E"/>
    <w:rsid w:val="0A154728"/>
    <w:rsid w:val="0A7F0D34"/>
    <w:rsid w:val="0B3F7726"/>
    <w:rsid w:val="0BD16A8C"/>
    <w:rsid w:val="0D42705A"/>
    <w:rsid w:val="0DCB1672"/>
    <w:rsid w:val="0FBC1DCD"/>
    <w:rsid w:val="100A5EF4"/>
    <w:rsid w:val="10263C15"/>
    <w:rsid w:val="103402B9"/>
    <w:rsid w:val="106966E2"/>
    <w:rsid w:val="10920C49"/>
    <w:rsid w:val="10DF3468"/>
    <w:rsid w:val="11EB6DA4"/>
    <w:rsid w:val="121216F1"/>
    <w:rsid w:val="12232209"/>
    <w:rsid w:val="125C7F72"/>
    <w:rsid w:val="12FB2185"/>
    <w:rsid w:val="1351678A"/>
    <w:rsid w:val="13633B1B"/>
    <w:rsid w:val="136F1BF7"/>
    <w:rsid w:val="13C62793"/>
    <w:rsid w:val="14ED662C"/>
    <w:rsid w:val="1504525C"/>
    <w:rsid w:val="151B047D"/>
    <w:rsid w:val="154A7752"/>
    <w:rsid w:val="157B75AD"/>
    <w:rsid w:val="166A38C9"/>
    <w:rsid w:val="16FC471D"/>
    <w:rsid w:val="180440DF"/>
    <w:rsid w:val="180477AA"/>
    <w:rsid w:val="1837038F"/>
    <w:rsid w:val="18B43089"/>
    <w:rsid w:val="18C268C5"/>
    <w:rsid w:val="18DF1843"/>
    <w:rsid w:val="19725CF8"/>
    <w:rsid w:val="19EA4143"/>
    <w:rsid w:val="1AC22BDD"/>
    <w:rsid w:val="1AEB4D0D"/>
    <w:rsid w:val="1C1D10C6"/>
    <w:rsid w:val="1C9F78B3"/>
    <w:rsid w:val="1E7620C0"/>
    <w:rsid w:val="1E7B5ED7"/>
    <w:rsid w:val="1F57306A"/>
    <w:rsid w:val="20611216"/>
    <w:rsid w:val="20646970"/>
    <w:rsid w:val="20947F4A"/>
    <w:rsid w:val="20B10159"/>
    <w:rsid w:val="20EE4C30"/>
    <w:rsid w:val="21333432"/>
    <w:rsid w:val="22066450"/>
    <w:rsid w:val="22495B04"/>
    <w:rsid w:val="229F1790"/>
    <w:rsid w:val="22B211CF"/>
    <w:rsid w:val="237D1F14"/>
    <w:rsid w:val="23E131D1"/>
    <w:rsid w:val="2432319D"/>
    <w:rsid w:val="24397A54"/>
    <w:rsid w:val="249B3D44"/>
    <w:rsid w:val="24EC3809"/>
    <w:rsid w:val="26920B56"/>
    <w:rsid w:val="26E10E4C"/>
    <w:rsid w:val="26E6017E"/>
    <w:rsid w:val="26F85C43"/>
    <w:rsid w:val="27914A0E"/>
    <w:rsid w:val="27937C44"/>
    <w:rsid w:val="28A614CC"/>
    <w:rsid w:val="29103E5D"/>
    <w:rsid w:val="291377BD"/>
    <w:rsid w:val="29C046BD"/>
    <w:rsid w:val="2A043BBD"/>
    <w:rsid w:val="2A5B42B5"/>
    <w:rsid w:val="2AAB228B"/>
    <w:rsid w:val="2B272E80"/>
    <w:rsid w:val="2B8667EE"/>
    <w:rsid w:val="2BA967B1"/>
    <w:rsid w:val="2BBC523C"/>
    <w:rsid w:val="2DD415A5"/>
    <w:rsid w:val="2E9A0A66"/>
    <w:rsid w:val="2F12674F"/>
    <w:rsid w:val="2FAF0178"/>
    <w:rsid w:val="2FB86117"/>
    <w:rsid w:val="301B5CE7"/>
    <w:rsid w:val="308E5F8F"/>
    <w:rsid w:val="30B30E71"/>
    <w:rsid w:val="30D53FF2"/>
    <w:rsid w:val="30FF1A9C"/>
    <w:rsid w:val="31C70909"/>
    <w:rsid w:val="31CD63C9"/>
    <w:rsid w:val="31E22A36"/>
    <w:rsid w:val="32085CA7"/>
    <w:rsid w:val="325B42F0"/>
    <w:rsid w:val="32D424E3"/>
    <w:rsid w:val="33004A7E"/>
    <w:rsid w:val="331A1E93"/>
    <w:rsid w:val="332A2C37"/>
    <w:rsid w:val="33426FED"/>
    <w:rsid w:val="338A3F4D"/>
    <w:rsid w:val="341F2AAA"/>
    <w:rsid w:val="34316ACF"/>
    <w:rsid w:val="34B828D0"/>
    <w:rsid w:val="34E33DBA"/>
    <w:rsid w:val="354F1C51"/>
    <w:rsid w:val="36080591"/>
    <w:rsid w:val="361E1B63"/>
    <w:rsid w:val="36801996"/>
    <w:rsid w:val="36A317A5"/>
    <w:rsid w:val="36F164FB"/>
    <w:rsid w:val="36FB1DA9"/>
    <w:rsid w:val="3700643F"/>
    <w:rsid w:val="37850760"/>
    <w:rsid w:val="3810197F"/>
    <w:rsid w:val="38176374"/>
    <w:rsid w:val="38E70932"/>
    <w:rsid w:val="39274DF7"/>
    <w:rsid w:val="39766BE5"/>
    <w:rsid w:val="3AE32579"/>
    <w:rsid w:val="3AF01909"/>
    <w:rsid w:val="3C3C0EF6"/>
    <w:rsid w:val="3C4B1FA8"/>
    <w:rsid w:val="3D0B0CA3"/>
    <w:rsid w:val="3D323E6D"/>
    <w:rsid w:val="3D804F9E"/>
    <w:rsid w:val="3D9B7864"/>
    <w:rsid w:val="3DBA1008"/>
    <w:rsid w:val="3E13537A"/>
    <w:rsid w:val="3E5052AB"/>
    <w:rsid w:val="3E90655A"/>
    <w:rsid w:val="3F1D6540"/>
    <w:rsid w:val="3F352F9D"/>
    <w:rsid w:val="3F4E03C3"/>
    <w:rsid w:val="41152016"/>
    <w:rsid w:val="41374AB5"/>
    <w:rsid w:val="41903339"/>
    <w:rsid w:val="4194717D"/>
    <w:rsid w:val="423475E2"/>
    <w:rsid w:val="424211B6"/>
    <w:rsid w:val="427E2307"/>
    <w:rsid w:val="428442BD"/>
    <w:rsid w:val="42B31885"/>
    <w:rsid w:val="42D37855"/>
    <w:rsid w:val="42E3364D"/>
    <w:rsid w:val="42EA6E97"/>
    <w:rsid w:val="43187533"/>
    <w:rsid w:val="43B620A2"/>
    <w:rsid w:val="4472350F"/>
    <w:rsid w:val="44FA0309"/>
    <w:rsid w:val="452F5B3A"/>
    <w:rsid w:val="45AA4F9A"/>
    <w:rsid w:val="465A4A0E"/>
    <w:rsid w:val="465B5898"/>
    <w:rsid w:val="4680118C"/>
    <w:rsid w:val="46C308DB"/>
    <w:rsid w:val="46D36999"/>
    <w:rsid w:val="47932131"/>
    <w:rsid w:val="48455D66"/>
    <w:rsid w:val="491E285E"/>
    <w:rsid w:val="4AFC64BF"/>
    <w:rsid w:val="4B9D0115"/>
    <w:rsid w:val="4BE64A79"/>
    <w:rsid w:val="4C082C41"/>
    <w:rsid w:val="4C7A24D7"/>
    <w:rsid w:val="4DB02E78"/>
    <w:rsid w:val="4DE316FC"/>
    <w:rsid w:val="4E225854"/>
    <w:rsid w:val="4E257ADB"/>
    <w:rsid w:val="4E6A7ED2"/>
    <w:rsid w:val="4E6B6CEB"/>
    <w:rsid w:val="4EE85A2E"/>
    <w:rsid w:val="4F4A0C56"/>
    <w:rsid w:val="4FE71AAE"/>
    <w:rsid w:val="5003209D"/>
    <w:rsid w:val="50504BB7"/>
    <w:rsid w:val="51204302"/>
    <w:rsid w:val="515B6DB3"/>
    <w:rsid w:val="52512C23"/>
    <w:rsid w:val="5299540E"/>
    <w:rsid w:val="52A7138E"/>
    <w:rsid w:val="52D928C3"/>
    <w:rsid w:val="53B94FAF"/>
    <w:rsid w:val="53E7310B"/>
    <w:rsid w:val="54047867"/>
    <w:rsid w:val="54166630"/>
    <w:rsid w:val="54287F00"/>
    <w:rsid w:val="547F6E9B"/>
    <w:rsid w:val="54AE2F26"/>
    <w:rsid w:val="55172147"/>
    <w:rsid w:val="55ED6F99"/>
    <w:rsid w:val="561647A5"/>
    <w:rsid w:val="56663625"/>
    <w:rsid w:val="56763D1A"/>
    <w:rsid w:val="57340D8E"/>
    <w:rsid w:val="5785380D"/>
    <w:rsid w:val="58BB59C6"/>
    <w:rsid w:val="58C76182"/>
    <w:rsid w:val="59562455"/>
    <w:rsid w:val="5A107ABE"/>
    <w:rsid w:val="5A533C21"/>
    <w:rsid w:val="5A671459"/>
    <w:rsid w:val="5B791F6C"/>
    <w:rsid w:val="5B9B7E81"/>
    <w:rsid w:val="5BCC2BA6"/>
    <w:rsid w:val="5BE72156"/>
    <w:rsid w:val="5C045F2C"/>
    <w:rsid w:val="5C0F5EF4"/>
    <w:rsid w:val="5C25302A"/>
    <w:rsid w:val="5C2D395E"/>
    <w:rsid w:val="5C500E18"/>
    <w:rsid w:val="5D101373"/>
    <w:rsid w:val="5D2E2AB3"/>
    <w:rsid w:val="5D5C6EA0"/>
    <w:rsid w:val="5DBF280D"/>
    <w:rsid w:val="5E103A38"/>
    <w:rsid w:val="5E3F3656"/>
    <w:rsid w:val="5E924E96"/>
    <w:rsid w:val="5EA0719C"/>
    <w:rsid w:val="5EF332DD"/>
    <w:rsid w:val="5F0945C6"/>
    <w:rsid w:val="5F0A7D5E"/>
    <w:rsid w:val="5F274E0F"/>
    <w:rsid w:val="5F2C4B0C"/>
    <w:rsid w:val="5F3F3886"/>
    <w:rsid w:val="5F840273"/>
    <w:rsid w:val="5FB07420"/>
    <w:rsid w:val="5FC829BC"/>
    <w:rsid w:val="611213AC"/>
    <w:rsid w:val="61711506"/>
    <w:rsid w:val="61D7107D"/>
    <w:rsid w:val="625146AA"/>
    <w:rsid w:val="63416268"/>
    <w:rsid w:val="63660ED6"/>
    <w:rsid w:val="63DD1A3B"/>
    <w:rsid w:val="644E6E76"/>
    <w:rsid w:val="64784173"/>
    <w:rsid w:val="64DE249A"/>
    <w:rsid w:val="65326791"/>
    <w:rsid w:val="654E3422"/>
    <w:rsid w:val="6583711E"/>
    <w:rsid w:val="6635242D"/>
    <w:rsid w:val="66462745"/>
    <w:rsid w:val="66833654"/>
    <w:rsid w:val="67050051"/>
    <w:rsid w:val="6844781F"/>
    <w:rsid w:val="68566A92"/>
    <w:rsid w:val="68695812"/>
    <w:rsid w:val="68B941BE"/>
    <w:rsid w:val="694454FA"/>
    <w:rsid w:val="694E7C28"/>
    <w:rsid w:val="69644BC7"/>
    <w:rsid w:val="69D16D33"/>
    <w:rsid w:val="6AA23FC4"/>
    <w:rsid w:val="6B534B73"/>
    <w:rsid w:val="6C2D2E8D"/>
    <w:rsid w:val="6CDD5DEE"/>
    <w:rsid w:val="6E2B3D65"/>
    <w:rsid w:val="6E482840"/>
    <w:rsid w:val="6E5A1693"/>
    <w:rsid w:val="6F6113BD"/>
    <w:rsid w:val="6F9D2740"/>
    <w:rsid w:val="70173916"/>
    <w:rsid w:val="70C82DB5"/>
    <w:rsid w:val="70DC4523"/>
    <w:rsid w:val="70F2323A"/>
    <w:rsid w:val="714472D8"/>
    <w:rsid w:val="71BE25F8"/>
    <w:rsid w:val="71CA0C7A"/>
    <w:rsid w:val="71DA1844"/>
    <w:rsid w:val="7210336D"/>
    <w:rsid w:val="72A663F7"/>
    <w:rsid w:val="72EF520A"/>
    <w:rsid w:val="735008A6"/>
    <w:rsid w:val="735655C9"/>
    <w:rsid w:val="738549F4"/>
    <w:rsid w:val="73A40CBA"/>
    <w:rsid w:val="745462E6"/>
    <w:rsid w:val="755C1947"/>
    <w:rsid w:val="75D237F5"/>
    <w:rsid w:val="76337A8E"/>
    <w:rsid w:val="766034F6"/>
    <w:rsid w:val="76824F01"/>
    <w:rsid w:val="76FD5574"/>
    <w:rsid w:val="774A7CF9"/>
    <w:rsid w:val="78487104"/>
    <w:rsid w:val="78C91F37"/>
    <w:rsid w:val="78E82CD2"/>
    <w:rsid w:val="78F671A8"/>
    <w:rsid w:val="792D5214"/>
    <w:rsid w:val="7A0E55E5"/>
    <w:rsid w:val="7A5D0D88"/>
    <w:rsid w:val="7A5D5B91"/>
    <w:rsid w:val="7A8A3888"/>
    <w:rsid w:val="7ABE2CD8"/>
    <w:rsid w:val="7ABE4F14"/>
    <w:rsid w:val="7B4B2B46"/>
    <w:rsid w:val="7B6C4724"/>
    <w:rsid w:val="7C393E92"/>
    <w:rsid w:val="7C8C53E6"/>
    <w:rsid w:val="7CD04806"/>
    <w:rsid w:val="7CD82038"/>
    <w:rsid w:val="7CFB253F"/>
    <w:rsid w:val="7D9B5A00"/>
    <w:rsid w:val="7E133CB7"/>
    <w:rsid w:val="7E1F482F"/>
    <w:rsid w:val="7E302C38"/>
    <w:rsid w:val="7E320D2E"/>
    <w:rsid w:val="7E967ADF"/>
    <w:rsid w:val="7F021F7A"/>
    <w:rsid w:val="7F0A54E4"/>
    <w:rsid w:val="7F1F1563"/>
    <w:rsid w:val="7F7D6EC7"/>
    <w:rsid w:val="7FC03DE0"/>
    <w:rsid w:val="7FC26CFA"/>
    <w:rsid w:val="7FD8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9">
    <w:name w:val="NormalCharacter"/>
    <w:link w:val="10"/>
    <w:qFormat/>
    <w:uiPriority w:val="0"/>
    <w:rPr>
      <w:rFonts w:ascii="Arial" w:hAnsi="Arial" w:eastAsia="仿宋_GB2312"/>
      <w:sz w:val="20"/>
    </w:rPr>
  </w:style>
  <w:style w:type="paragraph" w:customStyle="1" w:styleId="10">
    <w:name w:val="UserStyle_0"/>
    <w:basedOn w:val="1"/>
    <w:link w:val="9"/>
    <w:qFormat/>
    <w:uiPriority w:val="0"/>
    <w:pPr>
      <w:textAlignment w:val="baseline"/>
    </w:pPr>
    <w:rPr>
      <w:rFonts w:ascii="Arial" w:hAnsi="Arial" w:eastAsia="仿宋_GB2312"/>
      <w:sz w:val="20"/>
    </w:rPr>
  </w:style>
  <w:style w:type="character" w:customStyle="1" w:styleId="11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E:\&#32508;&#21512;&#31185;\&#32479;&#35745;&#20844;&#25253;\2022\&#25968;&#25454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[数据表.xlsx]Sheet3!$B$1</c:f>
              <c:strCache>
                <c:ptCount val="1"/>
                <c:pt idx="0">
                  <c:v>城镇居民人均可支配收入（元）</c:v>
                </c:pt>
              </c:strCache>
            </c:strRef>
          </c:tx>
          <c:spPr>
            <a:noFill/>
            <a:ln>
              <a:solidFill>
                <a:schemeClr val="accent2">
                  <a:lumMod val="7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[数据表.xlsx]Sheet3!$A$2:$A$6</c:f>
              <c:strCache>
                <c:ptCount val="5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>
                  <c:v>2021年</c:v>
                </c:pt>
                <c:pt idx="4">
                  <c:v>2022年</c:v>
                </c:pt>
              </c:strCache>
            </c:strRef>
          </c:cat>
          <c:val>
            <c:numRef>
              <c:f>[数据表.xlsx]Sheet3!$B$2:$B$6</c:f>
              <c:numCache>
                <c:formatCode>General</c:formatCode>
                <c:ptCount val="5"/>
                <c:pt idx="0">
                  <c:v>32526</c:v>
                </c:pt>
                <c:pt idx="1">
                  <c:v>34933</c:v>
                </c:pt>
                <c:pt idx="2">
                  <c:v>36610</c:v>
                </c:pt>
                <c:pt idx="3">
                  <c:v>39539</c:v>
                </c:pt>
                <c:pt idx="4">
                  <c:v>40172</c:v>
                </c:pt>
              </c:numCache>
            </c:numRef>
          </c:val>
        </c:ser>
        <c:ser>
          <c:idx val="1"/>
          <c:order val="1"/>
          <c:tx>
            <c:strRef>
              <c:f>[数据表.xlsx]Sheet3!$C$1</c:f>
              <c:strCache>
                <c:ptCount val="1"/>
                <c:pt idx="0">
                  <c:v>农村居民人均可支配收入（元）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[数据表.xlsx]Sheet3!$A$2:$A$6</c:f>
              <c:strCache>
                <c:ptCount val="5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>
                  <c:v>2021年</c:v>
                </c:pt>
                <c:pt idx="4">
                  <c:v>2022年</c:v>
                </c:pt>
              </c:strCache>
            </c:strRef>
          </c:cat>
          <c:val>
            <c:numRef>
              <c:f>[数据表.xlsx]Sheet3!$C$2:$C$6</c:f>
              <c:numCache>
                <c:formatCode>General</c:formatCode>
                <c:ptCount val="5"/>
                <c:pt idx="0">
                  <c:v>14955</c:v>
                </c:pt>
                <c:pt idx="1">
                  <c:v>16241</c:v>
                </c:pt>
                <c:pt idx="2">
                  <c:v>17475</c:v>
                </c:pt>
                <c:pt idx="3">
                  <c:v>19223</c:v>
                </c:pt>
                <c:pt idx="4">
                  <c:v>20165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46953808"/>
        <c:axId val="546952496"/>
      </c:barChart>
      <c:catAx>
        <c:axId val="546953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46952496"/>
        <c:crosses val="autoZero"/>
        <c:auto val="1"/>
        <c:lblAlgn val="ctr"/>
        <c:lblOffset val="100"/>
        <c:noMultiLvlLbl val="0"/>
      </c:catAx>
      <c:valAx>
        <c:axId val="5469524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46953808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TJJ</Company>
  <Pages>16</Pages>
  <Words>7215</Words>
  <Characters>9046</Characters>
  <Lines>66</Lines>
  <Paragraphs>18</Paragraphs>
  <TotalTime>188</TotalTime>
  <ScaleCrop>false</ScaleCrop>
  <LinksUpToDate>false</LinksUpToDate>
  <CharactersWithSpaces>9089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2023-03-23T01:50:00Z</cp:lastPrinted>
  <dcterms:modified xsi:type="dcterms:W3CDTF">2025-06-12T09:44:03Z</dcterms:modified>
  <cp:revision>410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KSOSaveFontToCloudKey">
    <vt:lpwstr>533652956_btnclosed</vt:lpwstr>
  </property>
  <property fmtid="{D5CDD505-2E9C-101B-9397-08002B2CF9AE}" pid="4" name="ICV">
    <vt:lpwstr>DD26162CB50C4DF98F8BFE734A8102DA_13</vt:lpwstr>
  </property>
</Properties>
</file>