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000000" w:themeColor="text1"/>
          <w:sz w:val="44"/>
          <w:szCs w:val="44"/>
          <w:highlight w:val="none"/>
          <w:shd w:val="clear" w:color="auto" w:fill="auto"/>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shd w:val="clear" w:color="auto" w:fill="auto"/>
          <w14:textFill>
            <w14:solidFill>
              <w14:schemeClr w14:val="tx1"/>
            </w14:solidFill>
          </w14:textFill>
        </w:rPr>
        <w:t>重庆市綦江区商务委员会202</w:t>
      </w:r>
      <w:r>
        <w:rPr>
          <w:rFonts w:hint="default" w:ascii="Times New Roman" w:hAnsi="Times New Roman" w:eastAsia="方正小标宋_GBK" w:cs="Times New Roman"/>
          <w:color w:val="000000" w:themeColor="text1"/>
          <w:sz w:val="44"/>
          <w:szCs w:val="44"/>
          <w:highlight w:val="none"/>
          <w:shd w:val="clear" w:color="auto" w:fill="auto"/>
          <w:lang w:val="en-US" w:eastAsia="zh-CN"/>
          <w14:textFill>
            <w14:solidFill>
              <w14:schemeClr w14:val="tx1"/>
            </w14:solidFill>
          </w14:textFill>
        </w:rPr>
        <w:t>4</w:t>
      </w:r>
      <w:r>
        <w:rPr>
          <w:rFonts w:hint="default" w:ascii="Times New Roman" w:hAnsi="Times New Roman" w:eastAsia="方正小标宋_GBK" w:cs="Times New Roman"/>
          <w:color w:val="000000" w:themeColor="text1"/>
          <w:sz w:val="44"/>
          <w:szCs w:val="44"/>
          <w:highlight w:val="none"/>
          <w:shd w:val="clear" w:color="auto" w:fill="auto"/>
          <w14:textFill>
            <w14:solidFill>
              <w14:schemeClr w14:val="tx1"/>
            </w14:solidFill>
          </w14:textFill>
        </w:rPr>
        <w:t>年度决算说明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Times New Roman" w:hAnsi="Times New Roman" w:eastAsia="黑体" w:cs="Times New Roman"/>
          <w:color w:val="000000" w:themeColor="text1"/>
          <w:sz w:val="32"/>
          <w:szCs w:val="32"/>
          <w:highlight w:val="none"/>
          <w:shd w:val="clear" w:color="auto" w:fill="auto"/>
          <w14:textFill>
            <w14:solidFill>
              <w14:schemeClr w14:val="tx1"/>
            </w14:solidFill>
          </w14:textFill>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一、部门基本情况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（一）职能职责</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贯彻执行国家、市有关商贸流通业、口岸、物流、外商投资、对外贸易、对外投资、经济合作等法律、法规、规章和方针政策；拟订本区有关商贸流通业、口岸、物流、外商投资、对外贸易、对外投资、经济合作等规划、政策、规范性文件和管理办法并组织实施。</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负责统筹推进本区口岸和物流发展工作；负责全区口岸开放、扩大开放和口岸功能拓展工作，统筹协调全区口岸查验和配套设施的规划、计划、投资、建设和改造工作。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口岸通关协调服务工作，统筹协调全区水运、航空、铁路、公路等多种运输方式的物流组织、调度、运营、管理工作，协调推进物流通道建设和开通有关工作，统筹优化口岸营商环境，促进跨境贸易便利化；负责组织协调推进外贸进出口跨区域物流联动协作机制和便利化措施；统筹推进多式联运发展，培育多式联运市场主体，丰富拓展联运产品。</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城乡消费物流体系建设，构建物流基础设施网络和配套支撑体系；统筹冷链行业管理和仓储发展工作，培育物流市场主体和物流服务品牌，指导国际货运代理企业备案；负责全区口岸和物流标准化、信息化、智能化建设，牵头推进物流公共信息平台建设；负责全区口岸和物流数据统计、分析、研究工作；推进口岸和物流对外交流合作；牵头推进国际物流园区和综保型陆地无水港建设。</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牵头推进綦江区积极融入</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一带一路</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，加快推进渝南开放高地建设；拟订开放型经济发展政策、措施并组织实施；负责区开放型经济体制改革专项小组办公室日常工作。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负责牵头推进国际陆海贸易新通道（綦江）综合服务区建设；拟订通道经济发展政策、措施并组织实施；负责中新示范项目的管理和服务工作。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7.</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依法管理和监督对外投资、对外承包工程、对外劳务合作工作；指导本区外商投资企业设立及变更等备案管理工作；指导协调国外对本区出口商品实施贸易救济措施及其他限制措施的应对工作；负责对外经济贸易统计和运行情况分析；指导境外跨国公司和国内企业在綦设立地区总部的认定工作；负责区政府外商投诉中心日常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8.</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本区外经贸发展，加工贸易、转口贸易和服务贸易发展；开展对外经济贸易与合作等工作；指导和组织实施对外贸易促进体系建设；统筹对外贸易促进活动；指导、实施出口知名品牌、进出口基地、外贸综合服务平台建设；负责指导、实施贸易便利化建设。</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9.</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推进商务领域供给侧结构性改革；承担零售行业管理工作；负责汽车流通及老旧汽车更新行业流通经营的监督管理，负责对报废机动车回收活动实施监督管理；负责再生资源回收、旧货流通等行业以及按有关规定对酒类等重要商品流通经营的监督管理；负责茧丝绸行业行政管理；按有关规定对成品油流通进行监督管理；负责拟定药品流通发展规划和政策；负责指导住宿餐饮、美容美发、养生保健、家政服务等商贸服务业发展，推进行业经营创新；负责指导商贸行业技能技术培训和鉴定工作；负责单用途商业预付卡监督管理；统筹推动商务领域</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放管服</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改革工作。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10.</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牵头推进渝南商贸物流中心建设工作；组织实施本区现代市场体系建设；统筹协调城市商圈、城乡商品交易市场、大型商业综合体、特色商业街规划布局，推进商务重大项目库建设；指导商贸供应链体系、公益性农贸市场体系建设，培育和发展商贸市场主体；负责商务统计、市场运行监测、预警信息发布、经济运行和分析调度；负责城市商圈的日常管理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11.</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负责牵头推进本区消费促进工作；推进连锁经营、特许经营发展，推动商务领域信用建设；负责老字号、名菜、名小吃等商贸服务业品牌的挖掘和培育工作；负责綦江美食地理发布工作。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12.</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牵头拟订重要生活消费品和重要商品应急保供预案并组织实施；负责落实重要商品储备制度；承担突发性灾害和突发性事件重要商品保供应急工作；组织协调食用油、肉类、蔬菜等重要生活必需品的市场供应和市场调节；负责区政府重要商品保供应急办公室日常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 xml:space="preserve"> 13.</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牵头推进本区电子商务发展工作；拟订电子商务发展政策、措施并组织实施；牵头推进各行业电子商务扩大应用；统筹完善电子商务支撑体系建设；推进重要产品流通追溯体系建设；统筹推进电子商务领域合作与交流；推进跨境电子商务综合试验区和电子商务示范基地建设；牵头推进农村电子商务发展；负责电商企业认定；推进互联网信息技术在商务领域的推广应用，实施</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互联网+流通</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行动计划，推进流通产业结构调整，促进传统商业转型升级和新兴业态发展；负责区电子商务发展指挥部办公室日常工作。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14.</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牵头本区会展经济发展工作；拟订会展经济发展政策、措施并组织实施；建立会展经济指标统计体系和信用评价体系，优化会展行业环境；推进会展基础设施建设；统筹区内外大型经贸展会活动，培育品牌特色展会；负责区政府会展办公室日常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15.</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对商务领域负有行业行政管理职责的企业实施安全生产监督管理和举报投诉受理，协同有关部门打击商业欺诈。</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16.</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负责做好与市中新示范项目管理局、中国国际贸易促进委员会重庆市委员会、中国（重庆）自由贸易试验区工作领导小组办公室的衔接工作。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17.</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负责指导全区商贸行业、口岸和物流相关社会组织、中介机构工作。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18.</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负责机关、直属事业单位和管理的行业社会组织党建工作。</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19.</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完成区委、区政府交办的其他任务。</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（二）机构设置</w:t>
      </w:r>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重庆市綦江区商务委员会属行政机构，内设科室8个，下设事业单位2个，分别是重庆市綦江区通道经济发展中心、重庆市綦江区电子商务公共服务中心。机关本级核定编制数39人，实有人数4</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人（其中在编在岗37人，临聘人员4人，西部志愿者</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人）；企业参战退役人员13人，遗属人员4人，离退休47人。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二、部门决算</w:t>
      </w:r>
      <w:r>
        <w:rPr>
          <w:rStyle w:val="8"/>
          <w:rFonts w:hint="default" w:ascii="Times New Roman" w:hAnsi="Times New Roman" w:eastAsia="方正黑体_GBK" w:cs="Times New Roman"/>
          <w:b w:val="0"/>
          <w:bCs/>
          <w:color w:val="000000" w:themeColor="text1"/>
          <w:sz w:val="32"/>
          <w:szCs w:val="32"/>
          <w:highlight w:val="none"/>
          <w:shd w:val="clear" w:color="auto" w:fill="auto"/>
          <w:lang w:eastAsia="zh-CN"/>
          <w14:textFill>
            <w14:solidFill>
              <w14:schemeClr w14:val="tx1"/>
            </w14:solidFill>
          </w14:textFill>
        </w:rPr>
        <w:t>收支</w:t>
      </w: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情况说明</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highlight w:val="none"/>
          <w:shd w:val="clear" w:color="auto" w:fill="auto"/>
          <w14:textFill>
            <w14:solidFill>
              <w14:schemeClr w14:val="tx1"/>
            </w14:solidFill>
          </w14:textFill>
        </w:rPr>
        <w:t>（一）收入支出决算总体情况说明</w:t>
      </w:r>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2024年度收</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、支</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总计</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均为</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3013.60万元。收、支与2023年度相比，减少62.92万元，下降2.1%，主要原因是我单位贯彻落实过</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紧日子</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精神，厉行节约，减少预算和不必要开支。</w:t>
      </w:r>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2"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1</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Style w:val="8"/>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收入情况。</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2024年度收入合计3013.60万元，与2023年度相比，减少62.92万元，下降2.1%，主要原因是我单位贯彻落实过</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紧日子</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精神，厉行节约，减少预算。其中：财政拨款收入3013.60万元，占100.0%；事业收入0.00万元，占0.0%；经营收入0.00万元，占0.0%；其他收入0.00万元，占0.0%。此外，使用非财政拨款结余（含专用结余）0.00万元，年初结转和结余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2</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Style w:val="8"/>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支出情况。</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2024年度支出合计3013.60万元，与2023年度相比，减少62.92万元，下降2.1%，主要原因是我单位贯彻落实过</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紧日子</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精神，厉行节约，压降支出。其中：基本支出1095.52万元，占36.4%；项目支出1918.08万元，占63.7%；经营支出0.00万元，占0.0%。此外，结余分配0.00万元。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3</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Style w:val="8"/>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结转结余情况。</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2024年度年末结转和结余0.00万元，与2023年度相比，无增减，主要原因是我单位实行财政资金收付实现制，年末不构成财政资金结转结余情况。</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highlight w:val="none"/>
          <w:shd w:val="clear" w:color="auto" w:fill="auto"/>
          <w14:textFill>
            <w14:solidFill>
              <w14:schemeClr w14:val="tx1"/>
            </w14:solidFill>
          </w14:textFill>
        </w:rPr>
        <w:t>（二）财政拨款收入支出决算总体情况说明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2024年度财政拨款收、支总计均为3013.60万元。与2023年</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度</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相比，财政拨款收、支总计各减少62.92万元，下降2.1%。主要原因是单位贯彻落实过</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紧日子</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精神，厉行节约，减少预算和不必要开支。</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highlight w:val="none"/>
          <w:shd w:val="clear" w:color="auto" w:fill="auto"/>
          <w14:textFill>
            <w14:solidFill>
              <w14:schemeClr w14:val="tx1"/>
            </w14:solidFill>
          </w14:textFill>
        </w:rPr>
        <w:t>（三）一般公共预算财政拨款收入支出决算情况说明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w:t>
      </w:r>
      <w:r>
        <w:rPr>
          <w:rStyle w:val="8"/>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收入情况。</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2024年度一般公共预算财政拨款收入3013.60万元，与2023年度相比，减少62.92万元，下降2.1%。主要原因是我单位贯彻落实过</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紧日子</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精神，厉行节约，减少预算。较年初预算数减少97.21万元，下降3.1%。主要原因是我单位贯彻落实过</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紧日子</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精神，厉行节约，减少预算，压降支出。此外，年初财政拨款结转和结余0.00万元。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w:t>
      </w:r>
      <w:r>
        <w:rPr>
          <w:rStyle w:val="8"/>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支出情况。</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2024年度一般公共预算财政拨款支出3013.60万元，与2023年度相比，减少62.92万元，下降2.1%。主要原因是我单位贯彻落实过</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紧日子</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精神，厉行节约，压降支出。较年初预算数减少97.21万元，下降3.1%。主要原因是我单位贯彻落实过</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紧日子</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精神，厉行节约，减少预算，压降支出。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一般公共预算财政拨款支出主要</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用途如下</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1）一般公共服务支出1669.93万元，占55.4%，较年初预算数增加348.33万元，增长26.4%，主要原因是一是区招商局撤销，部分职能及账务并入我委；二是为加快推动西部陆海通道渝黔综合服务区建设，我委增加了西部陆海新通道渝黔综合服务区战略研究及方案编制费用</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三是2024年补缴了事业人员2023年养老保险和职业年金</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）社会保障</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就业支出281.42万元，占9.3%，较年初预算数增加57.67万元，增长25.8%，主要原因是一是区招商局撤销，部分社会保障和就业支出账务并入我委；二是退休人员增多，离退休相关费用增加</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三是2024年补缴了事业人员2023年养老保险和职业年金</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）卫生健康支出43.31万元，占1.4%，较年初预算数减少2.86万元，下降6.2%，主要原因是人员调整变化。</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）农林水支出35.00万元，占1.2%，较年初预算数增加35.00万元，增长100.0%，主要原因是2024年我委争取到了市级衔接推进乡村振兴补助资金35万元。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（5）商业服务业等支出937.73万元，占31.1%，较年初预算数减少533.27万元，下降36.3%，主要原因是一是部分上级预下达资金被收回；二是部分项目完成时间为2025年初，相应项目资金于2025年初支付。</w:t>
      </w:r>
    </w:p>
    <w:p>
      <w:pPr>
        <w:keepNext w:val="0"/>
        <w:keepLines w:val="0"/>
        <w:pageBreakBefore w:val="0"/>
        <w:widowControl w:val="0"/>
        <w:kinsoku/>
        <w:overflowPunct/>
        <w:topLinePunct w:val="0"/>
        <w:autoSpaceDN/>
        <w:bidi w:val="0"/>
        <w:adjustRightInd/>
        <w:spacing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）住房保障支出46.21万元，占1.5%，较年初预算数减少2.08万元，下降4.3%，主要原因是人员调整变化。</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3.</w:t>
      </w:r>
      <w:r>
        <w:rPr>
          <w:rStyle w:val="8"/>
          <w:rFonts w:hint="eastAsia"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结转结余情况。</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2024年度年末一般公共预算财政拨款结转和结余0.00万元，与2023年度相比，无增减，主要原因是单位实行财政资金收付实现制，年末不构成财政资金结转结余情况。</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highlight w:val="none"/>
          <w:shd w:val="clear" w:color="auto" w:fill="auto"/>
          <w14:textFill>
            <w14:solidFill>
              <w14:schemeClr w14:val="tx1"/>
            </w14:solidFill>
          </w14:textFill>
        </w:rPr>
        <w:t>（四）一般公共预算财政拨款基本支出决算情况说明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2024年度一般公共财政拨款基本支出1095.52万元。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其中：</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人员经费928.97万元，与2023年度相比，减少33.30万元，下降3.5%，主要原因是</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我</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单位厉行节约，严格执行各类缴费基数口径。人员经费用途主要包括人员工资、社会保障缴费、住房公积金等。</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公用经费166.55万元，与2023年度相比，增加28.35万元，增长20.5%，主要原因：一是为促进消费、提振经济，我委多次组织开展</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綦品佳宴</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北渡鱼千人宴</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以旧换新等促消费活动；二是为完成社零、外贸进出口等指标，我委加大对内外贸企业的走访动员力度、协调企业困难等，相应工作经费增加。公用经费用途主要包括支付办公费、会议费、培训费、差旅费、劳务费、水电等。</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（五）政府性基金预算收支决算情况说明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本部门2024年度无政府性基金预算财政拨款收支。</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（六）国有资本经营预算财政拨款支出决算情况说明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本部门2024年度无国有资本经营预算财政拨款支出。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三、</w:t>
      </w:r>
      <w:r>
        <w:rPr>
          <w:rStyle w:val="8"/>
          <w:rFonts w:hint="default" w:ascii="Times New Roman" w:hAnsi="Times New Roman" w:eastAsia="方正黑体_GBK" w:cs="Times New Roman"/>
          <w:b w:val="0"/>
          <w:bCs/>
          <w:color w:val="000000" w:themeColor="text1"/>
          <w:sz w:val="32"/>
          <w:szCs w:val="32"/>
          <w:highlight w:val="none"/>
          <w:shd w:val="clear" w:color="auto" w:fill="auto"/>
          <w:lang w:eastAsia="zh-CN"/>
          <w14:textFill>
            <w14:solidFill>
              <w14:schemeClr w14:val="tx1"/>
            </w14:solidFill>
          </w14:textFill>
        </w:rPr>
        <w:t>财政拨款</w:t>
      </w:r>
      <w:r>
        <w:rPr>
          <w:rStyle w:val="8"/>
          <w:rFonts w:hint="eastAsia" w:ascii="Times New Roman" w:hAnsi="Times New Roman" w:eastAsia="方正黑体_GBK" w:cs="Times New Roman"/>
          <w:b w:val="0"/>
          <w:bCs/>
          <w:color w:val="000000" w:themeColor="text1"/>
          <w:sz w:val="32"/>
          <w:szCs w:val="32"/>
          <w:highlight w:val="none"/>
          <w:shd w:val="clear" w:color="auto" w:fill="auto"/>
          <w:lang w:eastAsia="zh-CN"/>
          <w14:textFill>
            <w14:solidFill>
              <w14:schemeClr w14:val="tx1"/>
            </w14:solidFill>
          </w14:textFill>
        </w:rPr>
        <w:t>“</w:t>
      </w: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三公</w:t>
      </w:r>
      <w:r>
        <w:rPr>
          <w:rStyle w:val="8"/>
          <w:rFonts w:hint="eastAsia" w:ascii="Times New Roman" w:hAnsi="Times New Roman" w:eastAsia="方正黑体_GBK" w:cs="Times New Roman"/>
          <w:b w:val="0"/>
          <w:bCs/>
          <w:color w:val="000000" w:themeColor="text1"/>
          <w:sz w:val="32"/>
          <w:szCs w:val="32"/>
          <w:highlight w:val="none"/>
          <w:shd w:val="clear" w:color="auto" w:fill="auto"/>
          <w:lang w:eastAsia="zh-CN"/>
          <w14:textFill>
            <w14:solidFill>
              <w14:schemeClr w14:val="tx1"/>
            </w14:solidFill>
          </w14:textFill>
        </w:rPr>
        <w:t>”</w:t>
      </w: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经费情况说明</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（一）</w:t>
      </w:r>
      <w:r>
        <w:rPr>
          <w:rFonts w:hint="eastAsia" w:ascii="Times New Roman" w:hAnsi="Times New Roman" w:eastAsia="方正楷体_GBK" w:cs="Times New Roman"/>
          <w:b w:val="0"/>
          <w:bCs/>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三公</w:t>
      </w:r>
      <w:r>
        <w:rPr>
          <w:rFonts w:hint="eastAsia" w:ascii="Times New Roman" w:hAnsi="Times New Roman" w:eastAsia="方正楷体_GBK" w:cs="Times New Roman"/>
          <w:b w:val="0"/>
          <w:bCs/>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经费支出总体情况说明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三公</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经费支出共计11.40万元，较年初预算数减少12.10万元，下降51.5%，主要原因是单位积极响应号召，厉行节约，压缩</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三公</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经费支出，强化公务接待支出管理，严格遵守公务接待开支范围和开支标准，严格控制陪餐人数，对应由接待对象承担的费用一律由接待对象自行支付。较上年支出数减少7.47万元，下降39.6%，主要原因是2023年我委赴老挝、越南开展物流通道建设合作和外贸促进活动，2024年我委未安排因公出境。</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（二）</w:t>
      </w:r>
      <w:r>
        <w:rPr>
          <w:rFonts w:hint="eastAsia" w:ascii="Times New Roman" w:hAnsi="Times New Roman" w:eastAsia="方正楷体_GBK" w:cs="Times New Roman"/>
          <w:b w:val="0"/>
          <w:bCs/>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三公</w:t>
      </w:r>
      <w:r>
        <w:rPr>
          <w:rFonts w:hint="eastAsia" w:ascii="Times New Roman" w:hAnsi="Times New Roman" w:eastAsia="方正楷体_GBK" w:cs="Times New Roman"/>
          <w:b w:val="0"/>
          <w:bCs/>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经费分项支出情况</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2024年度本部门因公出国（境）费用0.00万元。费用支出较年初预算数无增减，主要原因是2024年我委无因公出境计划。较上年支出数减少6.44万元，下降100.0%，主要原因是2023年我委</w:t>
      </w:r>
      <w:bookmarkStart w:id="1" w:name="_GoBack"/>
      <w:bookmarkEnd w:id="1"/>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赴老挝、越南开展物流通道建设合作和外贸促进活动，2024年我委未安排因公出境。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公务用车购置费0.00万元。费用支出较年初预算数无增减。较上年支出数无增减。</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公务</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用</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车运行维护费5.49万元，主要用于公务用车日常运行维护支出。费用支出较年初预算数减少0.01万元，下降0.2%，主要原因是</w:t>
      </w:r>
      <w:bookmarkStart w:id="0" w:name="OLE_LINK1"/>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我委量入为出，严格控制公车运维费用</w:t>
      </w:r>
      <w:bookmarkEnd w:id="0"/>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。较上年支出数减少0.99万元，下降15.3%，主要原因是我委量入为出，严格控制公车运维费用。</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公务接待费5.91万元，主要用于接待招商引资目标企业。费用支出较年初预算数减少12.09万元，下降67.2%，主要原因是我委厉行节约，在预算基础上减少公务接待次数和人数。较上年支出数减少0.04万元，下降0.7%，主要原因是我委厉行节约，在预算基础上减少公务接待次数和人数。</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（三）</w:t>
      </w:r>
      <w:r>
        <w:rPr>
          <w:rFonts w:hint="eastAsia" w:ascii="Times New Roman" w:hAnsi="Times New Roman" w:eastAsia="方正楷体_GBK" w:cs="Times New Roman"/>
          <w:b w:val="0"/>
          <w:bCs/>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三公</w:t>
      </w:r>
      <w:r>
        <w:rPr>
          <w:rFonts w:hint="eastAsia" w:ascii="Times New Roman" w:hAnsi="Times New Roman" w:eastAsia="方正楷体_GBK" w:cs="Times New Roman"/>
          <w:b w:val="0"/>
          <w:bCs/>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经费实物量情况</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本部门因公出国（境）共计0个团组，0人；公务用车购置0辆，公务车保有量为2辆；国内公务接待200批次600人，其中：国内外事接待0批次，0人；国（境）外公务接待0批次，0人。2024年本部门人均接待费98.50元，车均购置费0万元，车均维护费2.74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四、其他需要说明的事项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（一）财政拨款会议费、培训费和差旅费情况说明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本年度会议费支出3.77万元，与2023年度相比，增加1.20万元，增长46.7%，主要原因是为激发消费活力，完成升限纳统任务，2024年我委多次举办消费品以旧换新、綦品佳宴等活动，多次召开活动筹备会和升限纳统工作推进会。本年度培训费支出0.74万元，与2023年度相比，减少1.24万元，下降62.6%，主要原因是为落实过紧日子精神，厉行节约，我委根据财政局优化预算支出要求，压减培训。本年度差旅费支出6.15万元，与2023年度相比，减少7.39万元，下降54.6%，主要原因是2023年我委赴老挝、越南开展物流通道建设合作和外贸促进活动，2024年我委未安排因公出境，差旅费相应减少。</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（二）机关运行经费情况说明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本部门机关运行经费支出95.70万元，机关运行经费主要用于开支办公费、邮电费、差旅费、劳务费等机关日常活动支出。机关运行经费较上年支出数增加24.51万元，增长34.4%，主要原因是：一是统计口径变化，</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50011024Y000003988179</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运转性项</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非在编人员（限额10%）</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2023年项目类别为部门项目，2024年项目类别为公用经费；二是机构改革，区招商局部分账务划转我委。</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（三）国有资产占用情况说明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截至2024年12月31日，本部门共有车辆2辆，其中，副部（省）级及以上领导用车0辆、主要负责人用车0辆、机要通信用车1辆、应急保障用车1辆、执法执勤用车0辆，特种专业技术用车0辆，离退休干部用车0辆。单价100万元（含）以上专用设备0台（套）。</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（四）政府采购支出情况说明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b/>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2024年度本部门政府采购支出总额1.92万元，其中：政府采购货物支出1.92万元、政府采购工程支出0.00万元、政府采购服务支出0.00万元。授予中小企业合同金额1.92万元，占政府采购支出总额的100.0%，其中：授予小微企业合同金额1.92万元，占政府采购支出总额的100.0 %。主要用于采购A4复印纸</w:t>
      </w:r>
      <w:r>
        <w:rPr>
          <w:rFonts w:hint="default" w:ascii="Times New Roman" w:hAnsi="Times New Roman" w:eastAsia="方正仿宋_GBK" w:cs="Times New Roman"/>
          <w:b/>
          <w:bCs/>
          <w:color w:val="000000" w:themeColor="text1"/>
          <w:sz w:val="32"/>
          <w:szCs w:val="32"/>
          <w:highlight w:val="none"/>
          <w:shd w:val="clear" w:color="auto" w:fill="auto"/>
          <w14:textFill>
            <w14:solidFill>
              <w14:schemeClr w14:val="tx1"/>
            </w14:solidFill>
          </w14:textFill>
        </w:rPr>
        <w:t>。</w:t>
      </w:r>
    </w:p>
    <w:p>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黑体_GBK" w:cs="Times New Roman"/>
          <w:b w:val="0"/>
          <w:bCs/>
          <w:color w:val="000000" w:themeColor="text1"/>
          <w:sz w:val="32"/>
          <w:szCs w:val="32"/>
          <w:highlight w:val="none"/>
          <w:shd w:val="clear" w:color="auto" w:fill="auto"/>
          <w:lang w:val="en-US" w:eastAsia="zh-CN"/>
          <w14:textFill>
            <w14:solidFill>
              <w14:schemeClr w14:val="tx1"/>
            </w14:solidFill>
          </w14:textFill>
        </w:rPr>
        <w:t>五、</w:t>
      </w: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预算绩效管理情况说明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（一）单位自评情况</w:t>
      </w:r>
    </w:p>
    <w:p>
      <w:pPr>
        <w:pStyle w:val="10"/>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textAlignment w:val="auto"/>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根据预算绩效管理要求，我单位对</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28</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个二级项目开展了绩效自评</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，其中，以填报绩效自评表形式开展自评</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28项，</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涉及财政拨款项目支出资金</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1844.87</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万元</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。以委托第三方出具报告的方式开展绩效评</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价</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0项，涉及资金0万元。</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（二）绩效自评结果</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2" w:firstLineChars="200"/>
        <w:textAlignment w:val="auto"/>
        <w:rPr>
          <w:rFonts w:hint="default" w:ascii="Times New Roman" w:hAnsi="Times New Roman" w:eastAsia="方正仿宋_GBK" w:cs="Times New Roman"/>
          <w:b/>
          <w:bCs/>
          <w:color w:val="000000" w:themeColor="text1"/>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shd w:val="clear" w:color="auto" w:fill="auto"/>
          <w:lang w:val="en-US" w:eastAsia="zh-CN" w:bidi="ar-SA"/>
          <w14:textFill>
            <w14:solidFill>
              <w14:schemeClr w14:val="tx1"/>
            </w14:solidFill>
          </w14:textFill>
        </w:rPr>
        <w:t>1.</w:t>
      </w:r>
      <w:r>
        <w:rPr>
          <w:rFonts w:hint="default" w:ascii="Times New Roman" w:hAnsi="Times New Roman" w:eastAsia="方正仿宋_GBK" w:cs="Times New Roman"/>
          <w:b/>
          <w:bCs/>
          <w:color w:val="000000" w:themeColor="text1"/>
          <w:sz w:val="32"/>
          <w:szCs w:val="32"/>
          <w:highlight w:val="none"/>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highlight w:val="none"/>
          <w:shd w:val="clear" w:color="auto" w:fill="auto"/>
          <w:lang w:val="en-US" w:eastAsia="zh-CN" w:bidi="ar-SA"/>
          <w14:textFill>
            <w14:solidFill>
              <w14:schemeClr w14:val="tx1"/>
            </w14:solidFill>
          </w14:textFill>
        </w:rPr>
        <w:t>绩效目标自评表</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（1）公开范围</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我委对部门整体绩效自评表和3个一般性项目绩效自评表进行公开。</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（2）公开内容</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详见附件。</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2" w:firstLineChars="200"/>
        <w:textAlignment w:val="auto"/>
        <w:rPr>
          <w:rFonts w:hint="default" w:ascii="Times New Roman" w:hAnsi="Times New Roman" w:eastAsia="方正仿宋_GBK" w:cs="Times New Roman"/>
          <w:b/>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shd w:val="clear" w:color="auto" w:fill="auto"/>
          <w14:textFill>
            <w14:solidFill>
              <w14:schemeClr w14:val="tx1"/>
            </w14:solidFill>
          </w14:textFill>
        </w:rPr>
        <w:t>2.</w:t>
      </w:r>
      <w:r>
        <w:rPr>
          <w:rFonts w:hint="default" w:ascii="Times New Roman" w:hAnsi="Times New Roman" w:eastAsia="方正仿宋_GBK" w:cs="Times New Roman"/>
          <w:b/>
          <w:bCs/>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highlight w:val="none"/>
          <w:shd w:val="clear" w:color="auto" w:fill="auto"/>
          <w14:textFill>
            <w14:solidFill>
              <w14:schemeClr w14:val="tx1"/>
            </w14:solidFill>
          </w14:textFill>
        </w:rPr>
        <w:t>绩效自评报告或案例</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本部门未委托第三方开展绩效评价。</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2" w:firstLineChars="200"/>
        <w:textAlignment w:val="auto"/>
        <w:rPr>
          <w:rFonts w:hint="default" w:ascii="Times New Roman" w:hAnsi="Times New Roman" w:eastAsia="方正仿宋_GBK" w:cs="Times New Roman"/>
          <w:b/>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shd w:val="clear" w:color="auto" w:fill="auto"/>
          <w14:textFill>
            <w14:solidFill>
              <w14:schemeClr w14:val="tx1"/>
            </w14:solidFill>
          </w14:textFill>
        </w:rPr>
        <w:t>3.</w:t>
      </w:r>
      <w:r>
        <w:rPr>
          <w:rFonts w:hint="default" w:ascii="Times New Roman" w:hAnsi="Times New Roman" w:eastAsia="方正仿宋_GBK" w:cs="Times New Roman"/>
          <w:b/>
          <w:bCs/>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highlight w:val="none"/>
          <w:shd w:val="clear" w:color="auto" w:fill="auto"/>
          <w14:textFill>
            <w14:solidFill>
              <w14:schemeClr w14:val="tx1"/>
            </w14:solidFill>
          </w14:textFill>
        </w:rPr>
        <w:t>关于绩效自评结果的说明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本部门大部分项目自评得分都在</w:t>
      </w:r>
      <w:r>
        <w:rPr>
          <w:rFonts w:hint="default" w:ascii="Times New Roman" w:hAnsi="Times New Roman" w:eastAsia="方正仿宋_GBK" w:cs="Times New Roman"/>
          <w:color w:val="000000" w:themeColor="text1"/>
          <w:sz w:val="32"/>
          <w:szCs w:val="32"/>
          <w:highlight w:val="none"/>
          <w:shd w:val="clear" w:color="auto" w:fill="auto"/>
          <w:lang w:val="en-US" w:eastAsia="zh-CN" w:bidi="ar-SA"/>
          <w14:textFill>
            <w14:solidFill>
              <w14:schemeClr w14:val="tx1"/>
            </w14:solidFill>
          </w14:textFill>
        </w:rPr>
        <w:t>90</w:t>
      </w:r>
      <w:r>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分以上</w:t>
      </w:r>
      <w:r>
        <w:rPr>
          <w:rFonts w:hint="default" w:ascii="Times New Roman" w:hAnsi="Times New Roman" w:eastAsia="方正仿宋_GBK" w:cs="Times New Roman"/>
          <w:b w:val="0"/>
          <w:bCs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shd w:val="clear" w:color="auto" w:fill="auto"/>
          <w14:textFill>
            <w14:solidFill>
              <w14:schemeClr w14:val="tx1"/>
            </w14:solidFill>
          </w14:textFill>
        </w:rPr>
        <w:t>下一步我们将严格按照财政局相关要求，加强项目事前绩效评估和经费预算，事中加强项目经费支出管理和绩效运行监控，事后开展项目绩效评价和决算报告。</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（三）财政绩效评价情况</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lang w:val="en-US" w:eastAsia="zh-CN" w:bidi="ar-SA"/>
          <w14:textFill>
            <w14:solidFill>
              <w14:schemeClr w14:val="tx1"/>
            </w14:solidFill>
          </w14:textFill>
        </w:rPr>
        <w:t>区财政局委托重庆同辉会计师事务所对我单位商贸产业发展资金项目和限上商贸企业培育奖励资金项目开展了绩效评价，评价得分分别为80.3分和80.45分。</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六、专业名词解释</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以下为常见专业名词解释目录，仅供参考</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（一）财政拨款收入：</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指本年度从本级财政部门取得的财政拨款，包括一般公共预算财政拨款和政府性基金预算财政拨款。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（二）事业收入</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指事业单位开展专业业务活动及其辅助活动取得的现金流入；事业单位收到的财政专户实际核拨的教育收费等资金在此反映。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（三）经营收入</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指事业单位在专业业务活动及其辅助活动之外开展非独立核算经营活动取得的现金流入。</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（四）其他收入</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指单位取得的除</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财政拨款收入</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事业收入</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经营收入</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（五）使用非财政拨款结余</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指单位在当年的</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财政拨款收入</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事业收入</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经营收入</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其他收入</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等不足以安排当年支出的情况下，使用以前年度积累的非财政拨款结余弥补本年度收支缺口的资金。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（六）年初结转和结余</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指单位上年结转本年使用的基本支出结转、项目支出结转和结余、经营结余。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（七）结余分配</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指单位按照国家有关规定，缴纳所得税、提取专用基金、转入非财政拨款结余等当年结余的分配情况。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（八）年末结转和结余</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指单位结转下年的基本支出结转、项目支出结转和结余、经营结余。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（九）基本支出</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工资福利支出</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和</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对个人和家庭的补助</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；公用经费指政府收支分类经济科目中除</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工资福利支出</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和</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对个人和家庭的补助</w:t>
      </w:r>
      <w:r>
        <w:rPr>
          <w:rFonts w:hint="eastAsia"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外的其他支出。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（十）项目支出</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指在基本支出之外为完成特定行政任务和事业发展目标所发生的支出。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（十一）经营支出</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指事业单位在专业业务活动及其辅助活动之外开展非独立核算经营活动发生的支出。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（十二）</w:t>
      </w:r>
      <w:r>
        <w:rPr>
          <w:rStyle w:val="8"/>
          <w:rFonts w:hint="eastAsia" w:ascii="Times New Roman" w:hAnsi="Times New Roman" w:eastAsia="方正楷体_GBK" w:cs="Times New Roman"/>
          <w:b w:val="0"/>
          <w:bCs/>
          <w:color w:val="000000" w:themeColor="text1"/>
          <w:sz w:val="32"/>
          <w:szCs w:val="32"/>
          <w:highlight w:val="none"/>
          <w:shd w:val="clear" w:color="auto" w:fill="auto"/>
          <w:lang w:eastAsia="zh-CN"/>
          <w14:textFill>
            <w14:solidFill>
              <w14:schemeClr w14:val="tx1"/>
            </w14:solidFill>
          </w14:textFill>
        </w:rPr>
        <w:t>“</w:t>
      </w: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三公</w:t>
      </w:r>
      <w:r>
        <w:rPr>
          <w:rStyle w:val="8"/>
          <w:rFonts w:hint="eastAsia" w:ascii="Times New Roman" w:hAnsi="Times New Roman" w:eastAsia="方正楷体_GBK" w:cs="Times New Roman"/>
          <w:b w:val="0"/>
          <w:bCs/>
          <w:color w:val="000000" w:themeColor="text1"/>
          <w:sz w:val="32"/>
          <w:szCs w:val="32"/>
          <w:highlight w:val="none"/>
          <w:shd w:val="clear" w:color="auto" w:fill="auto"/>
          <w:lang w:eastAsia="zh-CN"/>
          <w14:textFill>
            <w14:solidFill>
              <w14:schemeClr w14:val="tx1"/>
            </w14:solidFill>
          </w14:textFill>
        </w:rPr>
        <w:t>”</w:t>
      </w: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经费</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（十三）机关运行经费</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（十四）工资福利支出（支出经济分类科目类级）</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反映单位开支的在职职工和编制外长期聘用人员的各类劳动报酬，以及为上述人员缴纳的各项社会保险费等。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（十五）商品和服务支出（支出经济分类科目类级）</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反映单位购买商品和服务的支出（不包括用于购置固定资产的支出、战略性和应急储备支出）。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（十六）对个人和家庭的补助（支出经济分类科目类级）</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反映用于对个人和家庭的补助支出。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（十七）其他资本性支出（支出经济分类科目类级）</w:t>
      </w:r>
      <w:r>
        <w:rPr>
          <w:rFonts w:hint="default" w:ascii="Times New Roman" w:hAnsi="Times New Roman" w:eastAsia="方正楷体_GBK" w:cs="Times New Roman"/>
          <w:b w:val="0"/>
          <w:bCs/>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textAlignment w:val="auto"/>
        <w:rPr>
          <w:rStyle w:val="8"/>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pPr>
      <w:r>
        <w:rPr>
          <w:rStyle w:val="8"/>
          <w:rFonts w:hint="default" w:ascii="Times New Roman" w:hAnsi="Times New Roman" w:eastAsia="方正黑体_GBK" w:cs="Times New Roman"/>
          <w:b w:val="0"/>
          <w:bCs/>
          <w:color w:val="000000" w:themeColor="text1"/>
          <w:sz w:val="32"/>
          <w:szCs w:val="32"/>
          <w:highlight w:val="none"/>
          <w:shd w:val="clear" w:color="auto" w:fill="auto"/>
          <w14:textFill>
            <w14:solidFill>
              <w14:schemeClr w14:val="tx1"/>
            </w14:solidFill>
          </w14:textFill>
        </w:rPr>
        <w:t>七、决算公开联系方式及信息反馈渠道</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Style w:val="8"/>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本单位决算公开信息反馈和联系方式：</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023</w:t>
      </w:r>
      <w:r>
        <w:rPr>
          <w:rFonts w:hint="eastAsia"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61280331。</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jc w:val="both"/>
        <w:rPr>
          <w:rFonts w:hint="default" w:ascii="Times New Roman" w:hAnsi="Times New Roman" w:eastAsia="方正仿宋_GBK" w:cs="Times New Roman"/>
          <w:b/>
          <w:bCs/>
          <w:color w:val="000000" w:themeColor="text1"/>
          <w:sz w:val="32"/>
          <w:szCs w:val="32"/>
          <w:highlight w:val="none"/>
          <w:shd w:val="clear" w:color="auto" w:fill="auto"/>
          <w:lang w:val="en-US" w:eastAsia="zh-CN"/>
          <w14:textFill>
            <w14:solidFill>
              <w14:schemeClr w14:val="tx1"/>
            </w14:solidFill>
          </w14:textFill>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30"/>
                <w:szCs w:val="3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重庆市綦江区商务委员会</w:t>
            </w:r>
          </w:p>
        </w:tc>
        <w:tc>
          <w:tcPr>
            <w:tcW w:w="434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434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16,699,273.36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2,814,178.44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i w:val="0"/>
                <w:iCs w:val="0"/>
                <w:color w:val="000000" w:themeColor="text1"/>
                <w:sz w:val="22"/>
                <w:szCs w:val="22"/>
                <w:highlight w:val="none"/>
                <w:u w:val="none"/>
                <w:shd w:val="clear" w:color="auto" w:fill="auto"/>
                <w:lang w:val="en-US" w:eastAsia="zh-CN"/>
                <w14:textFill>
                  <w14:solidFill>
                    <w14:schemeClr w14:val="tx1"/>
                  </w14:solidFill>
                </w14:textFill>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433,136.90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350,000.00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9,377,305.00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462,085.00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30,135,978.70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i w:val="0"/>
                <w:iCs w:val="0"/>
                <w:color w:val="000000" w:themeColor="text1"/>
                <w:sz w:val="22"/>
                <w:szCs w:val="22"/>
                <w:highlight w:val="none"/>
                <w:u w:val="none"/>
                <w:shd w:val="clear" w:color="auto" w:fill="auto"/>
                <w:lang w:val="en-US" w:eastAsia="zh-CN"/>
                <w14:textFill>
                  <w14:solidFill>
                    <w14:schemeClr w14:val="tx1"/>
                  </w14:solidFill>
                </w14:textFill>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r>
              <w:rPr>
                <w:rFonts w:hint="default"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30,135,978.70</w:t>
            </w:r>
          </w:p>
        </w:tc>
      </w:tr>
    </w:tbl>
    <w:p>
      <w:pPr>
        <w:pStyle w:val="9"/>
        <w:keepNext w:val="0"/>
        <w:keepLines w:val="0"/>
        <w:pageBreakBefore w:val="0"/>
        <w:widowControl w:val="0"/>
        <w:numPr>
          <w:ilvl w:val="0"/>
          <w:numId w:val="0"/>
        </w:numPr>
        <w:kinsoku/>
        <w:overflowPunct/>
        <w:topLinePunct w:val="0"/>
        <w:autoSpaceDE w:val="0"/>
        <w:autoSpaceDN/>
        <w:bidi w:val="0"/>
        <w:adjustRightInd/>
        <w:rPr>
          <w:rFonts w:hint="default" w:ascii="Times New Roman" w:hAnsi="Times New Roman" w:eastAsia="宋体" w:cs="Times New Roman"/>
          <w:color w:val="000000" w:themeColor="text1"/>
          <w:sz w:val="21"/>
          <w:szCs w:val="21"/>
          <w:highlight w:val="none"/>
          <w:shd w:val="clear" w:color="auto" w:fill="auto"/>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keepNext w:val="0"/>
        <w:keepLines w:val="0"/>
        <w:pageBreakBefore w:val="0"/>
        <w:widowControl w:val="0"/>
        <w:numPr>
          <w:ilvl w:val="0"/>
          <w:numId w:val="0"/>
        </w:numPr>
        <w:kinsoku/>
        <w:overflowPunct/>
        <w:topLinePunct w:val="0"/>
        <w:autoSpaceDE w:val="0"/>
        <w:autoSpaceDN/>
        <w:bidi w:val="0"/>
        <w:adjustRightInd/>
        <w:rPr>
          <w:rFonts w:hint="default" w:ascii="Times New Roman" w:hAnsi="Times New Roman" w:eastAsia="宋体" w:cs="Times New Roman"/>
          <w:color w:val="000000" w:themeColor="text1"/>
          <w:sz w:val="21"/>
          <w:szCs w:val="21"/>
          <w:highlight w:val="none"/>
          <w:shd w:val="clear" w:color="auto" w:fill="auto"/>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30"/>
                <w:szCs w:val="3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重庆市綦江区商务委员会</w:t>
            </w:r>
          </w:p>
        </w:tc>
        <w:tc>
          <w:tcPr>
            <w:tcW w:w="2408" w:type="dxa"/>
            <w:tcBorders>
              <w:top w:val="nil"/>
              <w:left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02表</w:t>
            </w:r>
          </w:p>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30,135,978.70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30,135,978.70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16,699,273.36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16,699,273.36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20113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16,699,273.36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16,699,273.36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3,463,551.18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3,463,551.18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2,275,837.53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2,275,837.53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国内贸易管理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732,128.00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732,128.00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3,782,227.65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3,782,227.65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其他商贸事务支出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2,645,529.00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2,645,529.00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2,814,178.44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2,814,178.44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2,543,852.04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2,543,852.04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204,692.00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204,692.00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724,179.20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724,179.20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361,627.84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361,627.84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1,253,353.00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1,253,353.00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270,326.40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270,326.40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270,326.40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270,326.40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433,136.90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433,136.90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433,136.90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433,136.90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207,672.50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207,672.50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164,664.40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164,664.40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2101103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公务员医疗补助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9,377,305.00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9,377,305.00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21602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9,297,805.00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9,297,805.00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2160299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9,297,805.00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9,297,805.00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21606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涉外发展服务支出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79,500.00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79,500.00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2160699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其他涉外发展服务支出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462,085.00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462,085.00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462,085.00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462,085.00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462,085.00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462,085.00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30"/>
                <w:szCs w:val="3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 xml:space="preserve">重庆市綦江区商务委员会 </w:t>
            </w: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6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30,135,978.70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10,955,179.17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19,180,799.53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16,699,273.36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7,245,778.83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9,453,494.53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20113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16,699,273.36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7,245,778.83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9,453,494.53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3,463,551.18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3,463,551.18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2,275,837.53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2,275,837.53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国内贸易管理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732,128.00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732,128.00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3,782,227.65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3,782,227.65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2011399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其他商贸事务支出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2,645,529.00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2,645,529.00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2,814,178.44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2,814,178.44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2,543,852.04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2,543,852.04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204,692.00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204,692.00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724,179.20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724,179.20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361,627.84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361,627.84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1,253,353.00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1,253,353.00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270,326.40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270,326.40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270,326.40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270,326.40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433,136.90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433,136.90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433,136.90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433,136.90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207,672.50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207,672.50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164,664.40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164,664.40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2101103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公务员医疗补助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9,377,305.00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9,377,305.00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21602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9,297,805.00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9,297,805.00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2160299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9,297,805.00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9,297,805.00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21606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涉外发展服务支出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79,500.00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79,500.00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2160699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其他涉外发展服务支出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79,500.00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462,085.00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462,085.00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2"/>
                <w:szCs w:val="22"/>
                <w:highlight w:val="none"/>
                <w:shd w:val="clear" w:color="auto" w:fill="auto"/>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462,085.00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462,085.00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462,085.00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462,085.00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30"/>
                <w:szCs w:val="3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重庆市綦江区商务委员会</w:t>
            </w: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16,699,273.36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16,699,273.36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2,814,178.44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2,814,178.44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433,136.90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433,136.90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9,377,305.00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9,377,305.00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462,085.00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462,085.00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30,135,978.70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30"/>
                <w:szCs w:val="3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重庆市綦江区商务委员会</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30,135,978.70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10,955,179.17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19,180,799.53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30,135,978.70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10,955,179.17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19,180,799.53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16,699,273.36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7,245,778.83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9,453,494.53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16,699,273.36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7,245,778.83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9,453,494.53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20113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商贸事务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16,699,273.36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7,245,778.83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9,453,494.53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16,699,273.36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7,245,778.83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9,453,494.53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2011301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3,463,551.18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3,463,551.18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3,463,551.18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3,463,551.18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2011302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2,275,837.53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2,275,837.53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2,275,837.53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2,275,837.53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2011307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国内贸易管理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2011308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招商引资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732,128.00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732,128.00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732,128.00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732,128.00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2011350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3,782,227.65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3,782,227.65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3,782,227.65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3,782,227.65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2011399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其他商贸事务支出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2,645,529.00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2,645,529.00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2,645,529.00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2,645,529.00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2,814,178.44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2,814,178.44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2,814,178.44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2,814,178.44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2,543,852.04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2,543,852.04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2,543,852.04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2,543,852.04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204,692.00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204,692.00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204,692.00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204,692.00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724,179.20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724,179.20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724,179.20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724,179.20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361,627.84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361,627.84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361,627.84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361,627.84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1,253,353.00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1,253,353.00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1,253,353.00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1,253,353.00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270,326.40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270,326.40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270,326.40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270,326.40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270,326.40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270,326.40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270,326.40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270,326.40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433,136.90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433,136.90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433,136.90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433,136.90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433,136.90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433,136.90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433,136.90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433,136.90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207,672.50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207,672.50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207,672.50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207,672.50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164,664.40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164,664.40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164,664.40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164,664.40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2101103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公务员医疗补助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27,200.00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27,200.00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27,200.00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27,200.00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33,600.00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33,600.00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33,600.00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33,600.00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350,000.00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350,000.00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350,000.00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350,000.00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350,000.00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350,000.00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350,000.00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350,000.00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350,000.00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9,377,305.00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9,377,305.00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9,377,305.00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9,377,305.00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9,297,805.00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9,297,805.00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9,297,805.00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9,297,805.00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9,297,805.00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9,297,805.00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9,297,805.00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9,297,805.00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21606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涉外发展服务支出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79,500.00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79,500.00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79,500.00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79,500.00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2160699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其他涉外发展服务支出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79,500.00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462,085.00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462,085.00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462,085.00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462,085.00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color w:val="000000" w:themeColor="text1"/>
                <w:sz w:val="20"/>
                <w:szCs w:val="20"/>
                <w:highlight w:val="none"/>
                <w:shd w:val="clear" w:color="auto" w:fill="auto"/>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462,085.00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462,085.00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462,085.00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462,085.00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val="0"/>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462,085.00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462,085.00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462,085.00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462,085.00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30"/>
                <w:szCs w:val="3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重庆市綦江区商务委员会</w:t>
            </w: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7,566,063.33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1,665,491.44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1,903,668.00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663,324.89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612,156.00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1,083,935.00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1,876,597.00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2,149.35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724,179.20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56,611.60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361,627.84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125,440.00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372,336.90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64,258.57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462,085.00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60,800.00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44,419.82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1,723,624.40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204,692.00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7,376.62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8,892.00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270,326.40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1,136,790.00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456,412.72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90,000.00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37,368.86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21,816.00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49,097.88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54,894.52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147,506.00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56,417.00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lang w:val="en-US" w:eastAsia="zh-CN"/>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eastAsiaTheme="minorEastAsia"/>
                <w:color w:val="000000" w:themeColor="text1"/>
                <w:sz w:val="22"/>
                <w:szCs w:val="22"/>
                <w:highlight w:val="none"/>
                <w:shd w:val="clear" w:color="auto" w:fill="auto"/>
                <w14:textFill>
                  <w14:solidFill>
                    <w14:schemeClr w14:val="tx1"/>
                  </w14:solidFill>
                </w14:textFill>
              </w:rPr>
              <w:t xml:space="preserve">9,289,687.73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1,665,491.44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30"/>
                <w:szCs w:val="3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重庆市綦江区商务委员会</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7</w:t>
            </w: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0"/>
                <w:szCs w:val="20"/>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0"/>
                <w:szCs w:val="20"/>
                <w:highlight w:val="none"/>
                <w:shd w:val="clear" w:color="auto" w:fill="auto"/>
                <w14:textFill>
                  <w14:solidFill>
                    <w14:schemeClr w14:val="tx1"/>
                  </w14:solidFill>
                </w14:textFill>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lang w:val="en-US" w:eastAsia="zh-CN"/>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30"/>
                <w:szCs w:val="30"/>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重庆市綦江区商务委员会</w:t>
            </w: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highlight w:val="none"/>
                <w:shd w:val="clear" w:color="auto" w:fill="auto"/>
                <w14:textFill>
                  <w14:solidFill>
                    <w14:schemeClr w14:val="tx1"/>
                  </w14:solidFill>
                </w14:textFill>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highlight w:val="none"/>
                <w:shd w:val="clear" w:color="auto" w:fill="auto"/>
                <w14:textFill>
                  <w14:solidFill>
                    <w14:schemeClr w14:val="tx1"/>
                  </w14:solidFill>
                </w14:textFill>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000000" w:themeColor="text1"/>
                <w:sz w:val="44"/>
                <w:szCs w:val="44"/>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highlight w:val="none"/>
                <w:u w:val="none"/>
                <w:shd w:val="clear" w:color="auto" w:fill="auto"/>
                <w:lang w:val="en-US" w:eastAsia="zh-CN" w:bidi="ar"/>
                <w14:textFill>
                  <w14:solidFill>
                    <w14:schemeClr w14:val="tx1"/>
                  </w14:solidFill>
                </w14:textFill>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0"/>
                <w:szCs w:val="20"/>
                <w:highlight w:val="none"/>
                <w:shd w:val="clear" w:color="auto" w:fill="auto"/>
                <w:lang w:eastAsia="zh-CN"/>
                <w14:textFill>
                  <w14:solidFill>
                    <w14:schemeClr w14:val="tx1"/>
                  </w14:solidFill>
                </w14:textFill>
              </w:rPr>
              <w:t>部门</w:t>
            </w:r>
            <w:r>
              <w:rPr>
                <w:rFonts w:hint="default" w:ascii="Times New Roman" w:hAnsi="Times New Roman" w:cs="Times New Roman"/>
                <w:color w:val="000000" w:themeColor="text1"/>
                <w:sz w:val="20"/>
                <w:szCs w:val="20"/>
                <w:highlight w:val="none"/>
                <w:shd w:val="clear" w:color="auto" w:fill="auto"/>
                <w14:textFill>
                  <w14:solidFill>
                    <w14:schemeClr w14:val="tx1"/>
                  </w14:solidFill>
                </w14:textFill>
              </w:rPr>
              <w:t>：</w:t>
            </w:r>
            <w:r>
              <w:rPr>
                <w:rFonts w:hint="default" w:ascii="Times New Roman" w:hAnsi="Times New Roman" w:cs="Times New Roman"/>
                <w:color w:val="000000" w:themeColor="text1"/>
                <w:sz w:val="20"/>
                <w:highlight w:val="none"/>
                <w:u w:color="auto"/>
                <w:shd w:val="clear" w:color="auto" w:fill="auto"/>
                <w14:textFill>
                  <w14:solidFill>
                    <w14:schemeClr w14:val="tx1"/>
                  </w14:solidFill>
                </w14:textFill>
              </w:rPr>
              <w:t>重庆市綦江区商务委员会</w:t>
            </w:r>
          </w:p>
        </w:tc>
        <w:tc>
          <w:tcPr>
            <w:tcW w:w="413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c>
          <w:tcPr>
            <w:tcW w:w="413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一、</w:t>
            </w:r>
            <w:r>
              <w:rPr>
                <w:rFonts w:hint="eastAsia"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w:t>
            </w: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三公</w:t>
            </w:r>
            <w:r>
              <w:rPr>
                <w:rFonts w:hint="eastAsia" w:ascii="Times New Roman" w:hAnsi="Times New Roman"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w:t>
            </w: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956,969.75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113,995.52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956,969.75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54,894.52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54,894.52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59,101.00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59,101.00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200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600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37,720.00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shd w:val="clear" w:color="auto" w:fill="auto"/>
                <w:lang w:val="en-US" w:eastAsia="zh-CN" w:bidi="ar"/>
                <w14:textFill>
                  <w14:solidFill>
                    <w14:schemeClr w14:val="tx1"/>
                  </w14:solidFill>
                </w14:textFill>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7,376.62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000000" w:themeColor="text1"/>
                <w:kern w:val="2"/>
                <w:sz w:val="22"/>
                <w:szCs w:val="22"/>
                <w:highlight w:val="none"/>
                <w:u w:val="none"/>
                <w:shd w:val="clear" w:color="auto" w:fill="auto"/>
                <w:lang w:val="en-US" w:eastAsia="zh-CN" w:bidi="ar-SA"/>
                <w14:textFill>
                  <w14:solidFill>
                    <w14:schemeClr w14:val="tx1"/>
                  </w14:solidFill>
                </w14:textFill>
              </w:rPr>
            </w:pPr>
            <w:r>
              <w:rPr>
                <w:rFonts w:hint="default" w:ascii="Times New Roman" w:hAnsi="Times New Roman" w:eastAsia="宋体" w:cs="Times New Roman"/>
                <w:b/>
                <w:i w:val="0"/>
                <w:color w:val="000000" w:themeColor="text1"/>
                <w:kern w:val="0"/>
                <w:sz w:val="22"/>
                <w:szCs w:val="22"/>
                <w:highlight w:val="none"/>
                <w:u w:val="none"/>
                <w:shd w:val="clear" w:color="auto" w:fill="auto"/>
                <w:lang w:val="en-US" w:eastAsia="zh-CN" w:bidi="ar"/>
                <w14:textFill>
                  <w14:solidFill>
                    <w14:schemeClr w14:val="tx1"/>
                  </w14:solidFill>
                </w14:textFill>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themeColor="text1"/>
                <w:kern w:val="2"/>
                <w:sz w:val="22"/>
                <w:szCs w:val="22"/>
                <w:highlight w:val="none"/>
                <w:u w:val="none"/>
                <w:shd w:val="clear" w:color="auto" w:fill="auto"/>
                <w:lang w:val="en-US" w:eastAsia="zh-CN" w:bidi="ar-SA"/>
                <w14:textFill>
                  <w14:solidFill>
                    <w14:schemeClr w14:val="tx1"/>
                  </w14:solidFill>
                </w14:textFill>
              </w:rPr>
            </w:pPr>
            <w:r>
              <w:rPr>
                <w:rFonts w:hint="default" w:ascii="Times New Roman" w:hAnsi="Times New Roman" w:eastAsia="宋体" w:cs="Times New Roman"/>
                <w:b/>
                <w:bCs/>
                <w:i w:val="0"/>
                <w:color w:val="000000" w:themeColor="text1"/>
                <w:kern w:val="0"/>
                <w:sz w:val="22"/>
                <w:szCs w:val="22"/>
                <w:highlight w:val="none"/>
                <w:u w:val="none"/>
                <w:shd w:val="clear" w:color="auto" w:fill="auto"/>
                <w:lang w:val="en-US" w:eastAsia="zh-CN" w:bidi="ar"/>
                <w14:textFill>
                  <w14:solidFill>
                    <w14:schemeClr w14:val="tx1"/>
                  </w14:solidFill>
                </w14:textFill>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highlight w:val="none"/>
                <w:u w:val="none"/>
                <w:shd w:val="clear" w:color="auto" w:fill="auto"/>
                <w:lang w:val="en-US" w:eastAsia="zh-CN" w:bidi="ar-SA"/>
                <w14:textFill>
                  <w14:solidFill>
                    <w14:schemeClr w14:val="tx1"/>
                  </w14:solidFill>
                </w14:textFill>
              </w:rPr>
            </w:pPr>
            <w:r>
              <w:rPr>
                <w:rFonts w:hint="default" w:ascii="Times New Roman" w:hAnsi="Times New Roman" w:cs="Times New Roman"/>
                <w:color w:val="000000" w:themeColor="text1"/>
                <w:sz w:val="22"/>
                <w:szCs w:val="22"/>
                <w:highlight w:val="none"/>
                <w:shd w:val="clear" w:color="auto" w:fill="auto"/>
                <w14:textFill>
                  <w14:solidFill>
                    <w14:schemeClr w14:val="tx1"/>
                  </w14:solidFill>
                </w14:textFill>
              </w:rPr>
              <w:t>61,488.31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highlight w:val="none"/>
                <w:u w:val="none"/>
                <w:shd w:val="clear" w:color="auto" w:fill="auto"/>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kern w:val="0"/>
                <w:sz w:val="22"/>
                <w:szCs w:val="22"/>
                <w:highlight w:val="none"/>
                <w:u w:val="none"/>
                <w:shd w:val="clear" w:color="auto" w:fill="auto"/>
                <w:lang w:val="en-US" w:eastAsia="zh-CN" w:bidi="ar"/>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themeColor="text1"/>
                <w:sz w:val="20"/>
                <w:szCs w:val="20"/>
                <w:highlight w:val="none"/>
                <w:u w:val="none"/>
                <w:shd w:val="clear" w:color="auto" w:fill="auto"/>
                <w14:textFill>
                  <w14:solidFill>
                    <w14:schemeClr w14:val="tx1"/>
                  </w14:solidFill>
                </w14:textFill>
              </w:rPr>
            </w:pP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000000" w:themeColor="text1"/>
          <w:sz w:val="21"/>
          <w:szCs w:val="21"/>
          <w:highlight w:val="none"/>
          <w:shd w:val="clear" w:color="auto" w:fill="auto"/>
          <w:lang w:bidi="ar"/>
          <w14:textFill>
            <w14:solidFill>
              <w14:schemeClr w14:val="tx1"/>
            </w14:solidFill>
          </w14:textFill>
        </w:rPr>
      </w:pPr>
    </w:p>
    <w:p>
      <w:pPr>
        <w:pStyle w:val="9"/>
        <w:keepNext w:val="0"/>
        <w:keepLines w:val="0"/>
        <w:pageBreakBefore w:val="0"/>
        <w:widowControl w:val="0"/>
        <w:kinsoku/>
        <w:overflowPunct/>
        <w:topLinePunct w:val="0"/>
        <w:autoSpaceDE w:val="0"/>
        <w:autoSpaceDN/>
        <w:bidi w:val="0"/>
        <w:adjustRightInd/>
        <w:ind w:firstLine="0" w:firstLineChars="0"/>
        <w:rPr>
          <w:rFonts w:hint="default" w:ascii="Times New Roman" w:hAnsi="Times New Roman" w:eastAsia="宋体" w:cs="Times New Roman"/>
          <w:color w:val="000000" w:themeColor="text1"/>
          <w:sz w:val="21"/>
          <w:szCs w:val="21"/>
          <w:highlight w:val="none"/>
          <w:shd w:val="clear" w:color="auto" w:fill="auto"/>
          <w14:textFill>
            <w14:solidFill>
              <w14:schemeClr w14:val="tx1"/>
            </w14:solidFill>
          </w14:textFill>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9f5QgIwIAADcEAAAOAAAAZHJz&#10;L2Uyb0RvYy54bWytU82O0zAQviPxDpbvNGlXrK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3lCiWYMRnb59PX3/efrx&#10;hYwjPK31M3htLPxC98Z0BQ1uLwaTx3tsvJOuiTdaInAB1scLvqILhONxPJ1MpzlMHLZBQYrs+t06&#10;H94K05AoFNRhgAlXdlj7cHYdXGI2bVa1UmmISpO2oLc3r/P04WJBcKWjr0h06MPErs6lRyl0265v&#10;dWvKIzp15kwVb/mqRilr5sMTc+AGygffwyMOqQxSml6ipDLu89/eoz9GBislLbhWUI1loES90xhl&#10;pOUguEHYDoLeN/cG5B1jjyxPIj64oAZROtN8whIsYw7JlEdgpjmyYVCDeB+g9UYsExfL5UXfW1fv&#10;qutnENOysNYby/tRR/S8Xe4D0E5DiJidgcLwogJ2pjH2mxTp/6uevK77vng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H1/lCAjAgAANwQAAA4AAAAAAAAAAQAgAAAANQEAAGRycy9lMm9Eb2Mu&#10;eG1sUEsFBgAAAAAGAAYAWQEAAMo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2E5E06"/>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4E956CC"/>
    <w:rsid w:val="352930DB"/>
    <w:rsid w:val="35573069"/>
    <w:rsid w:val="358C217E"/>
    <w:rsid w:val="359E7284"/>
    <w:rsid w:val="359F188C"/>
    <w:rsid w:val="36C9128A"/>
    <w:rsid w:val="37841E99"/>
    <w:rsid w:val="379C594F"/>
    <w:rsid w:val="37BF1123"/>
    <w:rsid w:val="37C85E36"/>
    <w:rsid w:val="38778B7C"/>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7D477C"/>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BFBF176"/>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5D5224"/>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BCFEAD35"/>
    <w:rsid w:val="D9E73164"/>
    <w:rsid w:val="DEFE1EAE"/>
    <w:rsid w:val="DFE780D6"/>
    <w:rsid w:val="E5F70F3C"/>
    <w:rsid w:val="EBFD7F7A"/>
    <w:rsid w:val="FDEFB4D2"/>
    <w:rsid w:val="FE1FD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26</TotalTime>
  <ScaleCrop>false</ScaleCrop>
  <LinksUpToDate>false</LinksUpToDate>
  <CharactersWithSpaces>21460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2025-10-30T10:53:46Z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