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重庆市綦江区电子商务公共服务中心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2022年度部门决算情况说明</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一、部门基本情况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（一）职能职责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 宣传、贯彻执行党和国家有关电子商务行业的方针政策、法律、法规；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 调查研究、综合评估电子商务发展重大问题，收集信息、反映动态，提出政策建议；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 承办跨境电子商务对外合作交流活动，促进电商产业应用成果的传播和推广，营造电商产业发展环境和氛围；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 为电商企业提供政策法规咨询、技术指导、人才和服务供需信息的采集、分析、发布等公共服务；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 指导农村电商三级公共服务、公共物流、农产品供应链等体系的建设和服务管理工作；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 负责区农产品质量安全溯源公共服务平台和体系建设管理；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 负责重要产品溯源系统和溯源码的服务管理；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8. 负责电商消费扶贫专区、专柜、二维码中心的建设和服务管理；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9. 指导、协调和推进</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电子商务+节会展会</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10. 整合全区产业、产品资源，推进区域公共品牌应用；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11. 协调推进各行业电子商务扩大应用；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12. 负责电商企业认定的指导和服务工作；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13. 指导区域电商平台</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菜坝网</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的建设、运营和管理；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14. 负责阿里巴巴（綦江）LBS服务中心的服务管理；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15. 负责綦江特产在国家级和省级电商平台的推广；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16. 牵头负责定期组织和承办</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菜坝网年代货美食节</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17. 承办区商务委交办的其它事项。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（二）机构设置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重庆市綦江区电子商务公共服务中心财政全额拨款事业编制5名，设主任1名。实有人数5人。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（三）单位构成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从预算单位构成看，纳入本部门2022年度决算编制的二级预算单位主要包括重庆市綦江区电子商务公共服务中心。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二、部门决算情况说明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（一）收入支出决算总体情况说明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 总体情况。2022年度收入总计96.43万元，支出总计96.43万元。收支较上年决算数减少29.52万元,下降23.4%，主要原因是疫情防控常态化管理下，单位厉行节约，减少开支，项目调整，预算减少。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 收入情况。2022年度收入合计96.43万元，较上年决算数减少29.51万元，下降23.4%，主要原因是疫情防控常态化管理下，单位厉行节约，减少开支。其中：财政拨款收入96.43万元，占100%。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 支出情况。2022年度支出合计96.43万元，较上年决算减少29.52万元，下降23.4%，主要原因是疫情防控常态化管理下，单位厉行节约，减少开支。其中：基本支出85.67万元，占88.8%；项目支出10.76万元，占11.2%。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 结转结余情况。2022年度年末结转和结余0.00万元，较上年决算数增加0.00万元，增长0%，主要原因是单位实行财政资金收付实现制，年末不构成财政资金结转结余情况。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（二）财政拨款收入支出决算总体情况说明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2022年度财政拨款收、支总计96.43万元。与2021年相比，财政拨款收、支总计各减少29.52万元，下降23.4%。主要原因是疫情防控常态化管理下，单位厉行节约，减少开支。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 收入情况。2022年度一般公共预算财政拨款收入96.43万元，较上年决算数减少29.51万元，下降23.4%。主要原因是疫情防控常态化管理下，单位厉行节约，减少开支。较年初预算数减少11.49万元，下降10.6%。主要原因是疫情防控常态化管理下，单位厉行节约，减少开支。此外，年初财政拨款结转和结余0.00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 支出情况。2022年度一般公共预算财政拨款支出96.43万元，较上年决算数减少29.52万元，下降23.4%。主要原因是疫情防控常态化管理下，单位厉行节约，减少开支。较年初预算数减少11.49万元，下降10.6%。主要原因是疫情防控常态化管理下，单位厉行节约，减少开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 结转结余情况。2022年度年末一般公共预算财政拨款结转和结余0.00万元，较上年决算数增加0.00万元，增长0%，主要原因是单位实行财政资金收付实现制，年末不构成财政资金结转结余情况。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 比较情况。本部门2022年度一般公共预算财政拨款支出主要用于以下几个方面：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（1）一般公共服务支出73.78万元，占76.5%，较年初预算数减少13.39万元，下降15.4%，主要原因是疫情防控常态化管理下，单位厉行节约，减少开支。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（2）社会保障与就业支出12.11万元，占12.6%，较年初预算数减少0.37万元，下降3%，主要原因是调整了缴存基数。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（3）卫生健康支出4.25万元，占4.4%，较年初预算数减少0.18万元，下降4.1%，主要原因是调整了缴存基数。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（4）住房保障支出6.29万元，占6.5%，较年初预算数增加2.44万元，增长63.4%，主要原因是调整了缴存基数。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（四）一般公共预算财政拨款基本支出决算情况说明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2022年度一般公共预算财政拨款基本支出85.67万元。其中：人员经费78.17万元，较上年决算数增加12.50万元，增长19%，主要原因是主要原因是增人增资，缴费基数变化。人员经费用途主要包括人员工资、社会保障缴费、住房公积金等。公用经费7.49万元，主要原因是单位厉行节约，减少非必须的经费开支，减少了公用经费的支出。公用经费用途主要包括支付办公费、会议费、培训费、差旅费、劳务费、水电</w:t>
      </w:r>
      <w:r>
        <w:rPr>
          <w:rFonts w:hint="eastAsia" w:ascii="Times New Roman" w:hAnsi="Times New Roman" w:eastAsia="方正仿宋_GBK" w:cs="Times New Roman"/>
          <w:color w:val="auto"/>
          <w:sz w:val="32"/>
          <w:szCs w:val="32"/>
          <w:lang w:val="en-US" w:eastAsia="zh-CN"/>
        </w:rPr>
        <w:t>费</w:t>
      </w:r>
      <w:r>
        <w:rPr>
          <w:rFonts w:hint="default" w:ascii="Times New Roman" w:hAnsi="Times New Roman" w:eastAsia="方正仿宋_GBK" w:cs="Times New Roman"/>
          <w:color w:val="auto"/>
          <w:sz w:val="32"/>
          <w:szCs w:val="32"/>
          <w:lang w:val="en-US" w:eastAsia="zh-CN"/>
        </w:rPr>
        <w:t>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（五）政府性基金预算收支决算情况说明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本部门2022年度无政府性基金预算财政拨款收支。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（六）国有资本经营预算财政拨款支出决算情况说明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本部门2022年度无国有资本经营预算财政拨款支出。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w:t>
      </w:r>
      <w:r>
        <w:rPr>
          <w:rFonts w:hint="eastAsia" w:ascii="Times New Roman" w:hAnsi="Times New Roman" w:eastAsia="方正黑体_GBK" w:cs="Times New Roman"/>
          <w:color w:val="auto"/>
          <w:sz w:val="32"/>
          <w:szCs w:val="32"/>
          <w:lang w:val="en-US" w:eastAsia="zh-CN"/>
        </w:rPr>
        <w:t>“</w:t>
      </w:r>
      <w:r>
        <w:rPr>
          <w:rFonts w:hint="default" w:ascii="Times New Roman" w:hAnsi="Times New Roman" w:eastAsia="方正黑体_GBK" w:cs="Times New Roman"/>
          <w:color w:val="auto"/>
          <w:sz w:val="32"/>
          <w:szCs w:val="32"/>
          <w:lang w:val="en-US" w:eastAsia="zh-CN"/>
        </w:rPr>
        <w:t>三公</w:t>
      </w:r>
      <w:r>
        <w:rPr>
          <w:rFonts w:hint="eastAsia" w:ascii="Times New Roman" w:hAnsi="Times New Roman" w:eastAsia="方正黑体_GBK" w:cs="Times New Roman"/>
          <w:color w:val="auto"/>
          <w:sz w:val="32"/>
          <w:szCs w:val="32"/>
          <w:lang w:val="en-US" w:eastAsia="zh-CN"/>
        </w:rPr>
        <w:t>”</w:t>
      </w:r>
      <w:r>
        <w:rPr>
          <w:rFonts w:hint="default" w:ascii="Times New Roman" w:hAnsi="Times New Roman" w:eastAsia="方正黑体_GBK" w:cs="Times New Roman"/>
          <w:color w:val="auto"/>
          <w:sz w:val="32"/>
          <w:szCs w:val="32"/>
          <w:lang w:val="en-US" w:eastAsia="zh-CN"/>
        </w:rPr>
        <w:t>经费情况说明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w:t>
      </w:r>
      <w:r>
        <w:rPr>
          <w:rFonts w:hint="eastAsia"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三公</w:t>
      </w:r>
      <w:r>
        <w:rPr>
          <w:rFonts w:hint="eastAsia"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经费支出总体情况说明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2022年度</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三公</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经费支出共计0.00万元，较年初预算数增加0.00万元，增长0%，主要原因是单位积极响应号召，厉行节约。较上年支出数增加0.00万元，增长0%，主要原因是单位积极响应号召，厉行节约，压缩</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三公</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经费支出，一是严格落实公车使用规定，严禁公车私用，公车运行维护成本下降。二是强化公务接待支出管理，严格遵守公务接待开支范围和开支标准，严格控制陪餐人数，对应由接待对象承担的费用一律由接待对象自行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w:t>
      </w:r>
      <w:r>
        <w:rPr>
          <w:rFonts w:hint="eastAsia"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三公</w:t>
      </w:r>
      <w:r>
        <w:rPr>
          <w:rFonts w:hint="eastAsia"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经费分项支出情况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2022年度本部门因公出国（境）费用0.00万元，主要是用于因公出国（境）费用。费用支出较年初预算数增加0.00万元，增长0%，主要原因是本单位2022年度未发生因公出国（境）费用支出。较上年支出数增加0.00万元，增长0%，主要原因是本单位2022年度未发生因公出国（境）费用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公务车购置费0.00万元，主要用于购置业务用车。费用支出较年初预算数增加0.00万元，增长0%，主要原因是本单位2022年无新购置公务用车。较上年支出数增加0.00万元，增长0%，主要原因是本单位2022年无新购置公务用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公务</w:t>
      </w:r>
      <w:r>
        <w:rPr>
          <w:rFonts w:hint="eastAsia" w:ascii="Times New Roman" w:hAnsi="Times New Roman" w:eastAsia="方正仿宋_GBK" w:cs="Times New Roman"/>
          <w:color w:val="auto"/>
          <w:sz w:val="32"/>
          <w:szCs w:val="32"/>
          <w:lang w:val="en-US" w:eastAsia="zh-CN"/>
        </w:rPr>
        <w:t>用</w:t>
      </w:r>
      <w:r>
        <w:rPr>
          <w:rFonts w:hint="default" w:ascii="Times New Roman" w:hAnsi="Times New Roman" w:eastAsia="方正仿宋_GBK" w:cs="Times New Roman"/>
          <w:color w:val="auto"/>
          <w:sz w:val="32"/>
          <w:szCs w:val="32"/>
          <w:lang w:val="en-US" w:eastAsia="zh-CN"/>
        </w:rPr>
        <w:t>车运行维护费0.00万元，主要用于公务用车日常运行维护支出。费用支出较年初预算数增加0.00万元，增长0%，主要原因是我单位无公务用车。较上年支出数增加0.00万元，增长0%，主要原因是我单位无公务用车。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公务接待费0.00万元，主要用于接待招商引资和项目考察活动。费用支出较年初预算数增加0.00万元，增长0%，主要原因是疫情</w:t>
      </w:r>
      <w:r>
        <w:rPr>
          <w:rFonts w:hint="eastAsia" w:ascii="Times New Roman" w:hAnsi="Times New Roman" w:eastAsia="方正仿宋_GBK" w:cs="Times New Roman"/>
          <w:color w:val="auto"/>
          <w:sz w:val="32"/>
          <w:szCs w:val="32"/>
          <w:lang w:val="en-US" w:eastAsia="zh-CN"/>
        </w:rPr>
        <w:t>防控</w:t>
      </w:r>
      <w:r>
        <w:rPr>
          <w:rFonts w:hint="default" w:ascii="Times New Roman" w:hAnsi="Times New Roman" w:eastAsia="方正仿宋_GBK" w:cs="Times New Roman"/>
          <w:color w:val="auto"/>
          <w:sz w:val="32"/>
          <w:szCs w:val="32"/>
          <w:lang w:val="en-US" w:eastAsia="zh-CN"/>
        </w:rPr>
        <w:t>期间，单位厉行节约，在预算基础上减少公务接待次数和人数。较上年支出数增加0.00万元，增长0%，主要原因是疫情</w:t>
      </w:r>
      <w:r>
        <w:rPr>
          <w:rFonts w:hint="eastAsia" w:ascii="Times New Roman" w:hAnsi="Times New Roman" w:eastAsia="方正仿宋_GBK" w:cs="Times New Roman"/>
          <w:color w:val="auto"/>
          <w:sz w:val="32"/>
          <w:szCs w:val="32"/>
          <w:lang w:val="en-US" w:eastAsia="zh-CN"/>
        </w:rPr>
        <w:t>防控</w:t>
      </w:r>
      <w:bookmarkStart w:id="0" w:name="_GoBack"/>
      <w:bookmarkEnd w:id="0"/>
      <w:r>
        <w:rPr>
          <w:rFonts w:hint="default" w:ascii="Times New Roman" w:hAnsi="Times New Roman" w:eastAsia="方正仿宋_GBK" w:cs="Times New Roman"/>
          <w:color w:val="auto"/>
          <w:sz w:val="32"/>
          <w:szCs w:val="32"/>
          <w:lang w:val="en-US" w:eastAsia="zh-CN"/>
        </w:rPr>
        <w:t>期间，单位厉行节约，在预算基础上减少公务接待次数和人数。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w:t>
      </w:r>
      <w:r>
        <w:rPr>
          <w:rFonts w:hint="eastAsia"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三公</w:t>
      </w:r>
      <w:r>
        <w:rPr>
          <w:rFonts w:hint="eastAsia"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经费实物量情况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2022年度本部门因公出国（境）共计0个团组，0人；公务用车购置0辆，公务车保有量为0辆；国内公务接待0批次0人，其中：国内外事接待0批次，0人；国（境）外公务接待0批次，0人。2022年本部门人均接待费0.00元，车均购置费0.00万元，车均维护费0.00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四、其他需要说明的事项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（一）财政拨款会议费和培训费情况说明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年度会议费支出0.00万元，较上年决算数增加0.00万元，增长0%，主要原因是疫情常态化管理，减少集中开会的次数。本年度培训费支出0.48万元，较上年决算数增加0.48万元，增长100%，主要原因是加强了单位员工业务培训和企业安全等方面的培训，增加了培训投入，经费有所增加，保持在正常开支范围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（二）机关运行经费支出情况说明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按照部门决算列报口径，我单位不在机关运行经费统计范围之内。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（三）国有资产占用情况说明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截至2022年12月31日，本部门共有车辆0辆，其中，副部（省）级及以上领导用车0辆、主要领导干部用车0辆、机要通信用车0辆、应急保障用车0辆、执法执勤用车0辆，特种专业技术用车0辆，离退休干部用车0辆，其他用车0辆。单价100万元（含）以上设备（不含车辆）0台（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（四）政府采购支出说明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2022年度我单位未发生政府采购事项，无相关经费支出。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五、预算绩效管理情况说明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我单位根据实际需要，组织单位相关科室成立预算绩效管理团队，按照项目实施情况，对所有项目填报立项预算绩效，过程跟踪绩效，决算绩效评价。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（一）预算绩效管理工作开展情况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预算绩效管理要求，本部门对部门整体和3个项目开展了绩效自评，其中，以填报目标自评表形式开展自评3项，涉及资金10.76万元，从评价情况来看，财政支出项目总体达到预期目标，所有项目评价得分均在90分以上，自评等级为</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优</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（二）绩效自评结果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绩效目标自评表详见附表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六、专业名词解释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（一）财政拨款收入：</w:t>
      </w:r>
      <w:r>
        <w:rPr>
          <w:rFonts w:hint="default" w:ascii="Times New Roman" w:hAnsi="Times New Roman" w:eastAsia="方正仿宋_GBK" w:cs="Times New Roman"/>
          <w:color w:val="auto"/>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（二）事业收入：</w:t>
      </w:r>
      <w:r>
        <w:rPr>
          <w:rFonts w:hint="default" w:ascii="Times New Roman" w:hAnsi="Times New Roman" w:eastAsia="方正仿宋_GBK" w:cs="Times New Roman"/>
          <w:color w:val="auto"/>
          <w:sz w:val="32"/>
          <w:szCs w:val="32"/>
        </w:rPr>
        <w:t>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（三）经营收入：</w:t>
      </w:r>
      <w:r>
        <w:rPr>
          <w:rFonts w:hint="default" w:ascii="Times New Roman" w:hAnsi="Times New Roman" w:eastAsia="方正仿宋_GBK" w:cs="Times New Roman"/>
          <w:color w:val="auto"/>
          <w:sz w:val="32"/>
          <w:szCs w:val="32"/>
        </w:rPr>
        <w:t>指事业单位在专业业务活动及其辅助活动之外开展非独立核算经营活动取得的现金流入。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（四）其他收入：</w:t>
      </w:r>
      <w:r>
        <w:rPr>
          <w:rFonts w:hint="default" w:ascii="Times New Roman" w:hAnsi="Times New Roman" w:eastAsia="方正仿宋_GBK" w:cs="Times New Roman"/>
          <w:color w:val="auto"/>
          <w:sz w:val="32"/>
          <w:szCs w:val="32"/>
        </w:rPr>
        <w:t>指单位取得的除</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财政拨款收入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事业收入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经营收入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（五）使用非财政拨款结余：</w:t>
      </w:r>
      <w:r>
        <w:rPr>
          <w:rFonts w:hint="default" w:ascii="Times New Roman" w:hAnsi="Times New Roman" w:eastAsia="方正仿宋_GBK" w:cs="Times New Roman"/>
          <w:color w:val="auto"/>
          <w:sz w:val="32"/>
          <w:szCs w:val="32"/>
        </w:rPr>
        <w:t>指单位在当年的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财政拨款收入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事业收入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经营收入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其他收入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（六）年初结转和结余：</w:t>
      </w:r>
      <w:r>
        <w:rPr>
          <w:rFonts w:hint="default" w:ascii="Times New Roman" w:hAnsi="Times New Roman" w:eastAsia="方正仿宋_GBK" w:cs="Times New Roman"/>
          <w:color w:val="auto"/>
          <w:sz w:val="32"/>
          <w:szCs w:val="32"/>
        </w:rPr>
        <w:t>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（七）结余分配：</w:t>
      </w:r>
      <w:r>
        <w:rPr>
          <w:rFonts w:hint="default" w:ascii="Times New Roman" w:hAnsi="Times New Roman" w:eastAsia="方正仿宋_GBK" w:cs="Times New Roman"/>
          <w:color w:val="auto"/>
          <w:sz w:val="32"/>
          <w:szCs w:val="32"/>
        </w:rPr>
        <w:t>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（八）年末结转和结余：</w:t>
      </w:r>
      <w:r>
        <w:rPr>
          <w:rFonts w:hint="default" w:ascii="Times New Roman" w:hAnsi="Times New Roman" w:eastAsia="方正仿宋_GBK" w:cs="Times New Roman"/>
          <w:color w:val="auto"/>
          <w:sz w:val="32"/>
          <w:szCs w:val="32"/>
        </w:rPr>
        <w:t>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（九）基本支出：</w:t>
      </w:r>
      <w:r>
        <w:rPr>
          <w:rFonts w:hint="default" w:ascii="Times New Roman" w:hAnsi="Times New Roman" w:eastAsia="方正仿宋_GBK" w:cs="Times New Roman"/>
          <w:color w:val="auto"/>
          <w:sz w:val="32"/>
          <w:szCs w:val="32"/>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工资福利支出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对个人和家庭的补助</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；公用经费指政府收支分类经济科目中除</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工资福利支出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对个人和家庭的补助</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外的其他支出。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（十）项目支出：</w:t>
      </w:r>
      <w:r>
        <w:rPr>
          <w:rFonts w:hint="default" w:ascii="Times New Roman" w:hAnsi="Times New Roman" w:eastAsia="方正仿宋_GBK" w:cs="Times New Roman"/>
          <w:color w:val="auto"/>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（十一）经营支出：</w:t>
      </w:r>
      <w:r>
        <w:rPr>
          <w:rFonts w:hint="default" w:ascii="Times New Roman" w:hAnsi="Times New Roman" w:eastAsia="方正仿宋_GBK" w:cs="Times New Roman"/>
          <w:color w:val="auto"/>
          <w:sz w:val="32"/>
          <w:szCs w:val="32"/>
        </w:rPr>
        <w:t>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（十二）</w:t>
      </w:r>
      <w:r>
        <w:rPr>
          <w:rFonts w:hint="eastAsia"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三公</w:t>
      </w:r>
      <w:r>
        <w:rPr>
          <w:rFonts w:hint="eastAsia"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经费：</w:t>
      </w:r>
      <w:r>
        <w:rPr>
          <w:rFonts w:hint="default" w:ascii="Times New Roman" w:hAnsi="Times New Roman" w:eastAsia="方正仿宋_GBK" w:cs="Times New Roman"/>
          <w:color w:val="auto"/>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（十三）机关运行经费：</w:t>
      </w:r>
      <w:r>
        <w:rPr>
          <w:rFonts w:hint="default" w:ascii="Times New Roman" w:hAnsi="Times New Roman" w:eastAsia="方正仿宋_GBK" w:cs="Times New Roman"/>
          <w:color w:val="auto"/>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（十四）工资福利支出（支出经济分类科目类级）：</w:t>
      </w:r>
      <w:r>
        <w:rPr>
          <w:rFonts w:hint="default" w:ascii="Times New Roman" w:hAnsi="Times New Roman" w:eastAsia="方正仿宋_GBK" w:cs="Times New Roman"/>
          <w:color w:val="auto"/>
          <w:sz w:val="32"/>
          <w:szCs w:val="32"/>
        </w:rPr>
        <w:t>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（十五）商品和服务支出（支出经济分类科目类级）：</w:t>
      </w:r>
      <w:r>
        <w:rPr>
          <w:rFonts w:hint="default" w:ascii="Times New Roman" w:hAnsi="Times New Roman" w:eastAsia="方正仿宋_GBK" w:cs="Times New Roman"/>
          <w:color w:val="auto"/>
          <w:sz w:val="32"/>
          <w:szCs w:val="32"/>
        </w:rPr>
        <w:t>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（十六）对个人和家庭的补助（支出经济分类科目类级）：</w:t>
      </w:r>
      <w:r>
        <w:rPr>
          <w:rFonts w:hint="default" w:ascii="Times New Roman" w:hAnsi="Times New Roman" w:eastAsia="方正仿宋_GBK" w:cs="Times New Roman"/>
          <w:color w:val="auto"/>
          <w:sz w:val="32"/>
          <w:szCs w:val="32"/>
        </w:rPr>
        <w:t>反映用于对个人和家庭的补助支出。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（十七）其他资本性支出（支出经济分类科目类级）：</w:t>
      </w:r>
      <w:r>
        <w:rPr>
          <w:rFonts w:hint="default" w:ascii="Times New Roman" w:hAnsi="Times New Roman" w:eastAsia="方正仿宋_GBK" w:cs="Times New Roman"/>
          <w:color w:val="auto"/>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七、决算公开联系方式及信息反馈渠道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本单位决算公开信息反馈和联系方式：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尤俊秋   023-61280331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p>
    <w:sectPr>
      <w:footerReference r:id="rId3" w:type="default"/>
      <w:pgSz w:w="11915" w:h="16851"/>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isplayHorizontalDrawingGridEvery w:val="1"/>
  <w:displayVerticalDrawingGridEvery w:val="1"/>
  <w:noPunctuationKerning w:val="true"/>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ZjZmMDYwNWQ5OGYxZWU5NWE3YmI4NDk2ZGUyNjcifQ=="/>
  </w:docVars>
  <w:rsids>
    <w:rsidRoot w:val="00000000"/>
    <w:rsid w:val="099137C3"/>
    <w:rsid w:val="39F5707E"/>
    <w:rsid w:val="4EB83F6D"/>
    <w:rsid w:val="52C06024"/>
    <w:rsid w:val="56CC2D1B"/>
    <w:rsid w:val="5A736072"/>
    <w:rsid w:val="5FFF3676"/>
    <w:rsid w:val="712832BA"/>
    <w:rsid w:val="7217689B"/>
    <w:rsid w:val="7F37273B"/>
    <w:rsid w:val="7FFF2A2B"/>
    <w:rsid w:val="ED7DF148"/>
    <w:rsid w:val="EFCF51A5"/>
    <w:rsid w:val="FFAA5BE5"/>
    <w:rsid w:val="FFBF59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paragraph" w:customStyle="1" w:styleId="15">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6">
    <w:name w:val="15"/>
    <w:basedOn w:val="13"/>
    <w:qFormat/>
    <w:uiPriority w:val="0"/>
    <w:rPr>
      <w:rFonts w:hint="default" w:ascii="Times New Roman" w:hAnsi="Times New Roman" w:cs="Times New Roman"/>
      <w:b/>
    </w:rPr>
  </w:style>
  <w:style w:type="character" w:customStyle="1" w:styleId="17">
    <w:name w:val="16"/>
    <w:basedOn w:val="13"/>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Office_11.8.2.9958_F1E327BC-269C-435d-A152-05C5408002CA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2023-10-09T18:20:00Z</dcterms:created>
  <dc:creator>Administrator</dc:creator>
  <cp:lastModifiedBy>guest</cp:lastModifiedBy>
  <dcterms:modified xsi:type="dcterms:W3CDTF">2023-11-09T09:11:59Z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304EFB687BC948CE8FF80A81336CA4D9_13</vt:lpwstr>
  </property>
</Properties>
</file>