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重庆市綦江区商务委员会（本级）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年度部门决算情况说明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一、部门基本情况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（一）职能职责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贯彻执行国家、市有关商贸流通业、口岸、物流、外商投资、对外贸易、对外投资、经济合作等法律、法规、规章和方针政策；拟订本区有关商贸流通业、口岸、物流、外商投资、对外贸易、对外投资、经济合作等规划、政策、规范性文件和管理办法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负责统筹推进本区口岸和物流发展工作；负责全区口岸开放、扩大开放和口岸功能拓展工作，统筹协调全区口岸查验和配套设施的规划、计划、投资、建设和改造工作。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口岸通关协调服务工作，统筹协调全区水运、航空、铁路、公路等多种运输方式的物流组织、调度、运营、管理工作，协调推进物流通道建设和开通有关工作，统筹优化口岸营商环境，促进跨境贸易便利化；负责组织协调推进外贸进出口跨区域物流联动协作机制和便利化措施；统筹推进多式联运发展，培育多式联运市场主体，丰富拓展联运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城乡消费物流体系建设，构建物流基础设施网络和配套支撑体系；统筹冷链行业管理和仓储发展工作，培育物流市场主体和物流服务品牌，指导国际货运代理企业备案；负责全区口岸和物流标准化、信息化、智能化建设，牵头推进物流公共信息平台建设；负责全区口岸和物流数据统计、分析、研究工作；推进口岸和物流对外交流合作；牵头推进国际物流园区和综保型陆地无水港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牵头推进綦江区积极融入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一带一路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，加快推进渝南开放高地建设；拟订开放型经济发展政策、措施并组织实施；负责区开放型经济体制改革专项小组办公室日常工作。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负责牵头推进国际陆海贸易新通道（綦江）综合服务区建设；拟订通道经济发展政策、措施并组织实施；负责中新示范项目的管理和服务工作。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依法管理和监督对外投资、对外承包工程、对外劳务合作工作；指导本区外商投资企业设立及变更等备案管理工作；指导协调国外对本区出口商品实施贸易救济措施及其他限制措施的应对工作；负责对外经济贸易统计和运行情况分析；指导境外跨国公司和国内企业在綦设立地区总部的认定工作；负责区政府外商投诉中心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本区外经贸发展，加工贸易、转口贸易和服务贸易发展；开展对外经济贸易与合作等工作；指导和组织实施对外贸易促进体系建设；统筹对外贸易促进活动；指导、实施出口知名品牌、进出口基地、外贸综合服务平台建设；负责指导、实施贸易便利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推进商务领域供给侧结构性改革；承担零售行业管理工作；负责汽车流通及老旧汽车更新行业流通经营的监督管理，负责对报废机动车回收活动实施监督管理；负责再生资源回收、旧货流通等行业以及按有关规定对酒类等重要商品流通经营的监督管理；负责茧丝绸行业行政管理；按有关规定对成品油流通进行监督管理；负责拟定药品流通发展规划和政策；负责指导住宿餐饮、美容美发、养生保健、家政服务等商贸服务业发展，推进行业经营创新；负责指导商贸行业技能技术培训和鉴定工作；负责单用途商业预付卡监督管理；统筹推动商务领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放管服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改革工作。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牵头推进渝南商贸物流中心建设工作；组织实施本区现代市场体系建设；统筹协调城市商圈、城乡商品交易市场、大型商业综合体、特色商业街规划布局，推进商务重大项目库建设；指导商贸供应链体系、公益性农贸市场体系建设，培育和发展商贸市场主体；负责商务统计、市场运行监测、预警信息发布、经济运行和分析调度；负责城市商圈的日常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负责牵头推进本区消费促进工作；推进连锁经营、特许经营发展，推动商务领域信用建设；负责老字号、名菜、名小吃等商贸服务业品牌的挖掘和培育工作；负责綦江美食地理发布工作。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牵头拟订重要生活消费品和重要商品应急保供预案并组织实施；负责落实重要商品储备制度；承担突发性灾害和突发性事件重要商品保供应急工作；组织协调食用油、肉类、蔬菜等重要生活必需品的市场供应和市场调节；负责区政府重要商品保供应急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牵头推进本区电子商务发展工作；拟订电子商务发展政策、措施并组织实施；牵头推进各行业电子商务扩大应用；统筹完善电子商务支撑体系建设；推进重要产品流通追溯体系建设；统筹推进电子商务领域合作与交流；推进跨境电子商务综合试验区和电子商务示范基地建设；牵头推进农村电子商务发展；负责电商企业认定；推进互联网信息技术在商务领域的推广应用，实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互联网+流通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行动计划，推进流通产业结构调整，促进传统商业转型升级和新兴业态发展；负责区电子商务发展指挥部办公室日常工作。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牵头本区会展经济发展工作；拟订会展经济发展政策、措施并组织实施；建立会展经济指标统计体系和信用评价体系，优化会展行业环境；推进会展基础设施建设；统筹区内外大型经贸展会活动，培育品牌特色展会；负责区政府会展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对商务领域负有行业行政管理职责的企业实施安全生产监督管理和举报投诉受理，协同有关部门打击商业欺诈。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负责做好与市中新示范项目管理局、中国国际贸易促进委员会重庆市委员会、中国（重庆）自由贸易试验区工作领导小组办公室的衔接工作。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负责指导全区商贸行业、口岸和物流相关社会组织、中介机构工作。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负责机关、直属事业单位和管理的行业社会组织党建工作。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完成区委、区政府交办的其他任务。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綦江区商务委员会属行政机构，内设科室8个，下设事业单位2个，分别是重庆市綦江区通道经济发展中心、重庆市綦江区电子商务公共服务中心。机关本级核定编制数17人，实有人数29人（其中在编在岗16人，临聘人员4人，公益性岗位2人，西部志愿者1人）；企业参战退役人员14人，遗属人员3人，离退休44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从预算单位构成看，纳入本部门2022年度决算编制的二级预算单位主要包括重庆市綦江区商务委员会（本级）。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二、部门决算情况说明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总体情况。2022年度收入总计2,051.04万元，支出总计2,051.04万元。收支较上年决算数减少86.26万元,下降4%，主要原因是疫情防控常态化管理下，单位厉行节约，减少开支，项目调整，预算减少。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收入情况。2022年度收入合计1,974.04万元，较上年决算数增加269.30万元，增长15.8%，主要原因是为促进疫情后经济的快速复苏，单位加大对项目资金的财政投入，以及增人增资。其中：财政拨款收入1,974.04万元，占100%。此外，年初结转和结余77.00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支出情况。2022年度支出合计2,051.04万元，较上年决算减少86.26万元，下降4%，主要原因是单位根据实际情况，更科学地规划资金投入方向，优化部分项目结构，厉行节约。其中：基本支出731.03万元，占35.6%；项目支出1,320.01万元，占64.4%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结转结余情况。2022年度年末结转和结余0.00万元，较上年决算数增加0.00万元，增长0%，主要原因是单位实行财政资金收付实现制，年末不构成财政资金结转结余情况。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2022年度财政拨款收、支总计2,051.04万元。与2021年相比，财政拨款收、支总计各减少86.26万元，下降4%。主要原因是疫情防控常态化管理下，单位厉行节约，减少开支，调整部分项目，预算总体减少。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收入情况。2022年度一般公共预算财政拨款收入1,974.04万元，较上年决算数增加269.30万元，增长15.8%。主要原因是为促进疫情后经济的快速复苏，单位加大对项目资金的财政投入，以及增人增资。较年初预算数减少104.30万元，下降5%。主要原因是单位根据实际情况，更科学地规划资金投入方向，优化部分项目结构，厉行节约。此外，年初财政拨款结转和结余77.00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支出情况。2022年度一般公共预算财政拨款支出2,051.04万元，较上年决算数增加22.97万元，增长1.1%。主要原因是为促进疫情后经济的快速复苏，单位加大对项目资金的财政投入。较年初预算数减少27.30万元，下降1.3%。主要原因是单位根据实际情况，更科学地规划资金投入方向，优化部分项目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结转结余情况。2022年度年末一般公共预算财政拨款结转和结余0.00万元，较上年决算数增加0.00万元，增长0%，主要原因是单位实行财政资金收付实现制，年末不构成财政资金结转结余情况。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比较情况。本部门2022年度一般公共预算财政拨款支出主要用于以下几个方面：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（1）一般公共服务支出828.58万元，占40.4%，较年初预算数减少540.85万元，下降39.5%，主要原因是单位根据实际情况，更科学地规划资金投入方向，优化部分项目结构，厉行节约。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（2）社会保障与就业支出282.04万元，占13.8%，较年初预算数增加127.89万元，增长83%，主要原因是增人增资和公务员工资结构调整。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（3）卫生健康支出26.19万元，占1.3%，较年初预算数减少6.18万元，下降19.1%，主要原因是公务员工资结构调整。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（4）资源勘探信息等支出6.80万元，占0.3%，较年初预算数增加6.80万元，增长%，主要原因是单位为促进疫情后经济的快速复苏，加大对项目资金的财政投入。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（5）商业服务业等支出875.36万元，占42.7%，较年初预算数增加374.46万元，增长74.8%，主要原因是单位为促进疫情后经济的快速复苏，加大对项目资金的财政投入。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（6）住房保障支出32.07万元，占1.6%，较年初预算数增加10.58万元，增长49.2%，主要原因是增人增资和公务员工资结构调整。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一般公共预算财政拨款基本支出731.03万元。其中：人员经费656.52万元，较上年决算数增加172.03万元，增长35.5%，主要原因是单位人员变动，公务员工资结构调整。人员经费用途主要包括人员工资、社会保障缴费、住房公积金等。公用经费74.51万元，较上年决算数减少24.95万元，下降25.1%，主要原因是单位厉行节约，减少非必须的经费开支，减少了公用经费的支出。公用经费用途主要包括支付办公费、会议费、培训费、差旅费、劳务费、水电</w:t>
      </w:r>
      <w:r>
        <w:rPr>
          <w:rFonts w:hint="eastAsia" w:ascii="Times New Roman" w:hAnsi="Times New Roman" w:eastAsia="方正仿宋_GBK" w:cs="Times New Roman"/>
          <w:sz w:val="32"/>
          <w:szCs w:val="32"/>
          <w:lang w:val="en-US" w:eastAsia="zh-CN"/>
        </w:rPr>
        <w:t>费</w:t>
      </w:r>
      <w:bookmarkStart w:id="0" w:name="_GoBack"/>
      <w:bookmarkEnd w:id="0"/>
      <w:r>
        <w:rPr>
          <w:rFonts w:hint="default" w:ascii="Times New Roman" w:hAnsi="Times New Roman" w:eastAsia="方正仿宋_GBK" w:cs="Times New Roman"/>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政府性基金预算财政拨款年初结转结余0.00万元，年末结转结余0.00万元。本年收入0.00万元，较上年决算数增加0.00万元，增长0%，主要原因是本部门2022年度无政府性基金预算财政拨款收支。本年支出0.00万元，较上年决算数减少109.22万元，下降100%，主要原因是本部门2022年度无政府性基金预算财政拨款收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本部门2022年度无国有资本经营预算财政拨款支出。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三公</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经费支出总体情况说明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经费支出共计26.52万元，较年初预算数减少24.98万元，下降48.5%，主要原因是单位积极响应号召，厉行节约，压缩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一是严格落实公车使用规定，严禁公车私用，公车运行维护成本下降。二是强化公务接待支出管理，严格遵守公务接待开支范围和开支标准，严格控制陪餐人数，对应由接待对象承担的费用一律由接待对象自行支付。较上年支出数增加17.91万元，增长208%，主要原因是单位新购置业务用车一辆，公车运维费也相应有所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经费分项支出情况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本部门因公出国（境）费用0.00万元，主要是用于因公出国（境）费用。费用支出较年初预算数增加0.00万元，增长0%，主要原因是本单位2022年度未发生因公出国（境）费用支出。较上年支出数增加0.00万元，增长0%，主要原因是本单位2022年度未发生因公出国（境）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公务车购置费17.98万元，主要用于购置业务用车一辆。费用支出较年初预算数减少0.02万元，下降0.1%，主要原因是单位厉行节约。较上年支出数增加17.98万元，增长100%，主要原因是单位2022年新购置业务用车一辆。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w:t>
      </w:r>
      <w:r>
        <w:rPr>
          <w:rFonts w:hint="eastAsia" w:ascii="Times New Roman" w:hAnsi="Times New Roman" w:eastAsia="方正仿宋_GBK" w:cs="Times New Roman"/>
          <w:sz w:val="32"/>
          <w:szCs w:val="32"/>
          <w:lang w:val="en-US" w:eastAsia="zh-CN"/>
        </w:rPr>
        <w:t>用</w:t>
      </w:r>
      <w:r>
        <w:rPr>
          <w:rFonts w:hint="default" w:ascii="Times New Roman" w:hAnsi="Times New Roman" w:eastAsia="方正仿宋_GBK" w:cs="Times New Roman"/>
          <w:sz w:val="32"/>
          <w:szCs w:val="32"/>
          <w:lang w:val="en-US" w:eastAsia="zh-CN"/>
        </w:rPr>
        <w:t>车运行维护费3.05万元，主要用于公务用车日常运行维护支出。费用支出较年初预算数减少0.45万元，下降12.9%，主要原因是单位厉行节约，减少非必要用车计划。较上年支出数减少0.15万元，下降4.7%，主要原因是单位厉行节约，减少非必要用车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公务接待费5.49万元，主要用于接待招商引资和项目考察活动。费用支出较年初预算数减少24.51万元，下降81.7%，主要原因是疫情</w:t>
      </w:r>
      <w:r>
        <w:rPr>
          <w:rFonts w:hint="eastAsia" w:ascii="Times New Roman" w:hAnsi="Times New Roman" w:eastAsia="方正仿宋_GBK" w:cs="Times New Roman"/>
          <w:sz w:val="32"/>
          <w:szCs w:val="32"/>
          <w:lang w:val="en-US" w:eastAsia="zh-CN"/>
        </w:rPr>
        <w:t>防控</w:t>
      </w:r>
      <w:r>
        <w:rPr>
          <w:rFonts w:hint="default" w:ascii="Times New Roman" w:hAnsi="Times New Roman" w:eastAsia="方正仿宋_GBK" w:cs="Times New Roman"/>
          <w:sz w:val="32"/>
          <w:szCs w:val="32"/>
          <w:lang w:val="en-US" w:eastAsia="zh-CN"/>
        </w:rPr>
        <w:t>期间，单位厉行节约，在预算基础上减少公务接待次数和人数。较上年支出数增加0.09万元，增长1.7%，主要原因是单位严格控制公务接待范围，接待支出波动较小，数据保持在较为合理范围内。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经费实物量情况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本部门因公出国（境）共计0个团组，0人；公务用车购置1辆，公务车保有量为1辆；国内公务接待100批次600人，其中：国内外事接待0批次，0人；国（境）外公务接待0批次，0人。2022年本部门人均接待费91.55元，车均购置费17.98万元，车均维护费3.05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四、其他需要说明的事项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年度会议费支出3.30万元，较上年决算数增加0.18万元，增长5.8%，主要原因是疫情常态化管理，业务活动增多，增加了召集企业集中开会的次数，支出金额保持在正常开支范围内。本年度培训费支出7.92万元，较上年决算数减少0.45万元，下降5.4%，主要原因是加强了单位员工业务培训和企业安全等方面的培训，增加了培训投入，经费有所增加，保持在正常开支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（二）机关运行经费支出情况说明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2022年度本部门机关运行经费支出74.51万元，主要用于开支办公费、邮电费、差旅费、劳务费等机关日常活动支出。机关运行经费较上年决算数减少24.95万元，下降25.1%，主要原因是机关厉行节约，压缩经费开支，调整支出结构，更合理、更科学地优化运行成本，降低机关运行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截至2022年12月31日，本部门共有车辆1辆，其中，副部（省）级及以上领导用车0辆、主要领导干部用车0辆、机要通信用车0辆、应急保障用车1辆、执法执勤用车0辆，特种专业技术用车0辆，离退休干部用车0辆，其他用车0辆。单价100万元（含）以上设备（不含车辆）0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（四）政府采购支出说明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五、预算绩效管理情况说明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我委根据实际需要，组织单位相关科室成立预算绩效管理团队，按照项目实施情况，对所有项目填报立项预算绩效，过程跟踪绩效，决算绩效评价。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（一）预算绩效管理工作开展情况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本部门对部门整体和39个项目开展了绩效自评，其中，以填报目标自评表形式开展自评39项，涉及资金1,320.01万元，从评价情况来看，财政支出项目总体达到预期目标，所有项目评价得分均在90分以上，自评等级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（二）绩效自评结果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绩效目标自评表详见附表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六、专业名词解释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（一）财政拨款收入：</w:t>
      </w:r>
      <w:r>
        <w:rPr>
          <w:rFonts w:hint="default" w:ascii="Times New Roman" w:hAnsi="Times New Roman" w:eastAsia="方正仿宋_GBK" w:cs="Times New Roman"/>
          <w:sz w:val="32"/>
          <w:szCs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（二）事业收入：</w:t>
      </w:r>
      <w:r>
        <w:rPr>
          <w:rFonts w:hint="default" w:ascii="Times New Roman" w:hAnsi="Times New Roman" w:eastAsia="方正仿宋_GBK" w:cs="Times New Roman"/>
          <w:sz w:val="32"/>
          <w:szCs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（三）经营收入：</w:t>
      </w:r>
      <w:r>
        <w:rPr>
          <w:rFonts w:hint="default" w:ascii="Times New Roman" w:hAnsi="Times New Roman" w:eastAsia="方正仿宋_GBK" w:cs="Times New Roman"/>
          <w:sz w:val="32"/>
          <w:szCs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（四）其他收入：</w:t>
      </w:r>
      <w:r>
        <w:rPr>
          <w:rFonts w:hint="default" w:ascii="Times New Roman" w:hAnsi="Times New Roman" w:eastAsia="方正仿宋_GBK" w:cs="Times New Roman"/>
          <w:sz w:val="32"/>
          <w:szCs w:val="32"/>
          <w:lang w:val="en-US" w:eastAsia="zh-CN"/>
        </w:rPr>
        <w:t>指单位取得的除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（五）使用非财政拨款结余：</w:t>
      </w:r>
      <w:r>
        <w:rPr>
          <w:rFonts w:hint="default" w:ascii="Times New Roman" w:hAnsi="Times New Roman" w:eastAsia="方正仿宋_GBK" w:cs="Times New Roman"/>
          <w:sz w:val="32"/>
          <w:szCs w:val="32"/>
          <w:lang w:val="en-US" w:eastAsia="zh-CN"/>
        </w:rPr>
        <w:t>指单位在当年的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其他收入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（六）年初结转和结余：</w:t>
      </w:r>
      <w:r>
        <w:rPr>
          <w:rFonts w:hint="default" w:ascii="Times New Roman" w:hAnsi="Times New Roman" w:eastAsia="方正仿宋_GBK" w:cs="Times New Roman"/>
          <w:sz w:val="32"/>
          <w:szCs w:val="32"/>
          <w:lang w:val="en-US" w:eastAsia="zh-CN"/>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（七）结余分配：</w:t>
      </w:r>
      <w:r>
        <w:rPr>
          <w:rFonts w:hint="default" w:ascii="Times New Roman" w:hAnsi="Times New Roman" w:eastAsia="方正仿宋_GBK" w:cs="Times New Roman"/>
          <w:sz w:val="32"/>
          <w:szCs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（八）年末结转和结余：</w:t>
      </w:r>
      <w:r>
        <w:rPr>
          <w:rFonts w:hint="default" w:ascii="Times New Roman" w:hAnsi="Times New Roman" w:eastAsia="方正仿宋_GBK" w:cs="Times New Roman"/>
          <w:sz w:val="32"/>
          <w:szCs w:val="32"/>
          <w:lang w:val="en-US" w:eastAsia="zh-CN"/>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（九）基本支出：</w:t>
      </w:r>
      <w:r>
        <w:rPr>
          <w:rFonts w:hint="default" w:ascii="Times New Roman" w:hAnsi="Times New Roman" w:eastAsia="方正仿宋_GBK" w:cs="Times New Roman"/>
          <w:sz w:val="32"/>
          <w:szCs w:val="32"/>
          <w:lang w:val="en-US" w:eastAsia="zh-CN"/>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；公用经费指政府收支分类经济科目中除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外的其他支出。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（十）项目支出：</w:t>
      </w:r>
      <w:r>
        <w:rPr>
          <w:rFonts w:hint="default" w:ascii="Times New Roman" w:hAnsi="Times New Roman" w:eastAsia="方正仿宋_GBK" w:cs="Times New Roman"/>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（十一）经营支出：</w:t>
      </w:r>
      <w:r>
        <w:rPr>
          <w:rFonts w:hint="default" w:ascii="Times New Roman" w:hAnsi="Times New Roman" w:eastAsia="方正仿宋_GBK" w:cs="Times New Roman"/>
          <w:sz w:val="32"/>
          <w:szCs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（十二）</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w:t>
      </w:r>
      <w:r>
        <w:rPr>
          <w:rFonts w:hint="default" w:ascii="Times New Roman" w:hAnsi="Times New Roman" w:eastAsia="方正仿宋_GBK" w:cs="Times New Roman"/>
          <w:sz w:val="32"/>
          <w:szCs w:val="32"/>
          <w:lang w:val="en-US" w:eastAsia="zh-CN"/>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（十三）机关运行经费：</w:t>
      </w:r>
      <w:r>
        <w:rPr>
          <w:rFonts w:hint="default" w:ascii="Times New Roman" w:hAnsi="Times New Roman" w:eastAsia="方正仿宋_GBK" w:cs="Times New Roman"/>
          <w:sz w:val="32"/>
          <w:szCs w:val="32"/>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（十四）工资福利支出（支出经济分类科目类级）：</w:t>
      </w:r>
      <w:r>
        <w:rPr>
          <w:rFonts w:hint="default" w:ascii="Times New Roman" w:hAnsi="Times New Roman" w:eastAsia="方正仿宋_GBK" w:cs="Times New Roman"/>
          <w:sz w:val="32"/>
          <w:szCs w:val="32"/>
          <w:lang w:val="en-US" w:eastAsia="zh-CN"/>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（十五）商品和服务支出（支出经济分类科目类级）：</w:t>
      </w:r>
      <w:r>
        <w:rPr>
          <w:rFonts w:hint="default" w:ascii="Times New Roman" w:hAnsi="Times New Roman" w:eastAsia="方正仿宋_GBK" w:cs="Times New Roman"/>
          <w:sz w:val="32"/>
          <w:szCs w:val="32"/>
          <w:lang w:val="en-US" w:eastAsia="zh-CN"/>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（十六）对个人和家庭的补助（支出经济分类科目类级）：</w:t>
      </w:r>
      <w:r>
        <w:rPr>
          <w:rFonts w:hint="default" w:ascii="Times New Roman" w:hAnsi="Times New Roman" w:eastAsia="方正仿宋_GBK" w:cs="Times New Roman"/>
          <w:sz w:val="32"/>
          <w:szCs w:val="32"/>
          <w:lang w:val="en-US" w:eastAsia="zh-CN"/>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（十七）其他资本性支出（支出经济分类科目类级）：</w:t>
      </w:r>
      <w:r>
        <w:rPr>
          <w:rFonts w:hint="default" w:ascii="Times New Roman" w:hAnsi="Times New Roman" w:eastAsia="方正仿宋_GBK" w:cs="Times New Roman"/>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尤俊秋   023-61280331</w:t>
      </w:r>
    </w:p>
    <w:sectPr>
      <w:footerReference r:id="rId3" w:type="default"/>
      <w:pgSz w:w="11915" w:h="16851"/>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isplayHorizontalDrawingGridEvery w:val="1"/>
  <w:displayVerticalDrawingGridEvery w:val="1"/>
  <w:noPunctuationKerning w:val="true"/>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jZmMDYwNWQ5OGYxZWU5NWE3YmI4NDk2ZGUyNjcifQ=="/>
  </w:docVars>
  <w:rsids>
    <w:rsidRoot w:val="00000000"/>
    <w:rsid w:val="07B94814"/>
    <w:rsid w:val="0BFBC58B"/>
    <w:rsid w:val="1EF2BC22"/>
    <w:rsid w:val="21123C45"/>
    <w:rsid w:val="30C16E18"/>
    <w:rsid w:val="38A35830"/>
    <w:rsid w:val="3A176FF5"/>
    <w:rsid w:val="3AC56DC8"/>
    <w:rsid w:val="3AE74C19"/>
    <w:rsid w:val="426923B8"/>
    <w:rsid w:val="57B6231E"/>
    <w:rsid w:val="57FD78C0"/>
    <w:rsid w:val="59755E18"/>
    <w:rsid w:val="60FC11D5"/>
    <w:rsid w:val="66886A01"/>
    <w:rsid w:val="6B684E38"/>
    <w:rsid w:val="730D8639"/>
    <w:rsid w:val="754F0E24"/>
    <w:rsid w:val="7BA7215D"/>
    <w:rsid w:val="7E8556B5"/>
    <w:rsid w:val="7FF3DBC4"/>
    <w:rsid w:val="ECF57E5C"/>
    <w:rsid w:val="F77BB342"/>
    <w:rsid w:val="FF0F4C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6">
    <w:name w:val="15"/>
    <w:basedOn w:val="13"/>
    <w:qFormat/>
    <w:uiPriority w:val="0"/>
    <w:rPr>
      <w:rFonts w:hint="default" w:ascii="Times New Roman" w:hAnsi="Times New Roman" w:cs="Times New Roman"/>
      <w:b/>
    </w:rPr>
  </w:style>
  <w:style w:type="character" w:customStyle="1" w:styleId="17">
    <w:name w:val="16"/>
    <w:basedOn w:val="13"/>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24</TotalTime>
  <ScaleCrop>false</ScaleCrop>
  <LinksUpToDate>false</LinksUpToDate>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2023-10-10T10:12:00Z</dcterms:created>
  <dc:creator>Administrator</dc:creator>
  <cp:lastModifiedBy>guest</cp:lastModifiedBy>
  <dcterms:modified xsi:type="dcterms:W3CDTF">2023-11-09T09:04:48Z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6F7F3F9097864FD4A64E04A1362D4C4B_13</vt:lpwstr>
  </property>
</Properties>
</file>