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948CFC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华文中宋" w:eastAsia="方正小标宋_GBK" w:cs="华文中宋"/>
          <w:sz w:val="44"/>
          <w:szCs w:val="44"/>
        </w:rPr>
      </w:pPr>
      <w:bookmarkStart w:id="0" w:name="_GoBack"/>
      <w:r>
        <w:rPr>
          <w:rFonts w:hint="eastAsia" w:ascii="方正小标宋_GBK" w:hAnsi="华文中宋" w:eastAsia="方正小标宋_GBK" w:cs="华文中宋"/>
          <w:sz w:val="44"/>
          <w:szCs w:val="44"/>
        </w:rPr>
        <w:t>重庆市綦江区水利局(本级)</w:t>
      </w:r>
    </w:p>
    <w:p w14:paraId="62E6B7E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华文中宋" w:eastAsia="方正小标宋_GBK" w:cs="华文中宋"/>
          <w:sz w:val="44"/>
          <w:szCs w:val="44"/>
        </w:rPr>
      </w:pPr>
      <w:r>
        <w:rPr>
          <w:rFonts w:hint="eastAsia" w:ascii="方正小标宋_GBK" w:hAnsi="华文中宋" w:eastAsia="方正小标宋_GBK" w:cs="华文中宋"/>
          <w:sz w:val="44"/>
          <w:szCs w:val="44"/>
          <w:lang w:eastAsia="zh-CN"/>
        </w:rPr>
        <w:t>2025年</w:t>
      </w:r>
      <w:r>
        <w:rPr>
          <w:rFonts w:hint="eastAsia" w:ascii="方正小标宋_GBK" w:hAnsi="华文中宋" w:eastAsia="方正小标宋_GBK" w:cs="华文中宋"/>
          <w:sz w:val="44"/>
          <w:szCs w:val="44"/>
        </w:rPr>
        <w:t>部门预算情况说明</w:t>
      </w:r>
    </w:p>
    <w:p w14:paraId="5AAFE6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仿宋_GB2312" w:eastAsia="方正仿宋_GBK" w:cs="仿宋_GB2312"/>
          <w:sz w:val="32"/>
        </w:rPr>
      </w:pPr>
    </w:p>
    <w:p w14:paraId="04CC4234">
      <w:pPr>
        <w:keepNext w:val="0"/>
        <w:keepLines w:val="0"/>
        <w:pageBreakBefore w:val="0"/>
        <w:widowControl w:val="0"/>
        <w:kinsoku/>
        <w:wordWrap/>
        <w:overflowPunct/>
        <w:topLinePunct w:val="0"/>
        <w:autoSpaceDE/>
        <w:autoSpaceDN/>
        <w:bidi w:val="0"/>
        <w:adjustRightInd/>
        <w:snapToGrid/>
        <w:spacing w:line="600" w:lineRule="exact"/>
        <w:ind w:left="640"/>
        <w:textAlignment w:val="auto"/>
        <w:rPr>
          <w:rFonts w:hint="eastAsia" w:ascii="方正黑体_GBK" w:hAnsi="黑体" w:eastAsia="方正黑体_GBK" w:cs="仿宋_GB2312"/>
          <w:sz w:val="32"/>
        </w:rPr>
      </w:pPr>
      <w:r>
        <w:rPr>
          <w:rFonts w:hint="eastAsia" w:ascii="方正黑体_GBK" w:hAnsi="黑体" w:eastAsia="方正黑体_GBK" w:cs="仿宋_GB2312"/>
          <w:sz w:val="32"/>
        </w:rPr>
        <w:t>一、单位基本情况</w:t>
      </w:r>
    </w:p>
    <w:p w14:paraId="21AFA0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仿宋_GB2312" w:eastAsia="方正仿宋_GBK" w:cs="仿宋_GB2312"/>
          <w:sz w:val="32"/>
        </w:rPr>
      </w:pPr>
      <w:r>
        <w:rPr>
          <w:rFonts w:hint="eastAsia" w:ascii="方正仿宋_GBK" w:hAnsi="仿宋_GB2312" w:eastAsia="方正仿宋_GBK" w:cs="仿宋_GB2312"/>
          <w:sz w:val="32"/>
        </w:rPr>
        <w:t>（一）职能职责</w:t>
      </w:r>
    </w:p>
    <w:p w14:paraId="0441F8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仿宋_GB2312" w:eastAsia="方正仿宋_GBK" w:cs="仿宋_GB2312"/>
          <w:sz w:val="32"/>
        </w:rPr>
      </w:pPr>
      <w:r>
        <w:rPr>
          <w:rFonts w:hint="eastAsia" w:ascii="方正仿宋_GBK" w:hAnsi="仿宋_GB2312" w:eastAsia="方正仿宋_GBK" w:cs="仿宋_GB2312"/>
          <w:sz w:val="32"/>
        </w:rPr>
        <w:t>1、按规定制定水利工程建设有关制度并组织实施，负责提出全区水利固定资产投资规模、方向、具体安排建议并组织指导实施，按区政府规定权限审批、核准规划年内和年度计划规模内固定资产投资项目，提出区级及以上水利资金安排建议并负责项目实施的监督管理。</w:t>
      </w:r>
    </w:p>
    <w:p w14:paraId="1CBFCA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仿宋_GB2312" w:eastAsia="方正仿宋_GBK" w:cs="仿宋_GB2312"/>
          <w:sz w:val="32"/>
        </w:rPr>
      </w:pPr>
      <w:r>
        <w:rPr>
          <w:rFonts w:hint="eastAsia" w:ascii="方正仿宋_GBK" w:hAnsi="仿宋_GB2312" w:eastAsia="方正仿宋_GBK" w:cs="仿宋_GB2312"/>
          <w:sz w:val="32"/>
        </w:rPr>
        <w:t>2、指导监督水利工程建设与运行管理。组织实施水利工程建设与运行管理。协调落实重要水利工程建设、运行管理的有关政策措施，指导监督工程安全运行，协调组织工程验收有关工作。</w:t>
      </w:r>
    </w:p>
    <w:p w14:paraId="6AB6C8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仿宋_GB2312" w:eastAsia="方正仿宋_GBK" w:cs="仿宋_GB2312"/>
          <w:sz w:val="32"/>
        </w:rPr>
      </w:pPr>
      <w:r>
        <w:rPr>
          <w:rFonts w:hint="eastAsia" w:ascii="方正仿宋_GBK" w:hAnsi="仿宋_GB2312" w:eastAsia="方正仿宋_GBK" w:cs="仿宋_GB2312"/>
          <w:sz w:val="32"/>
        </w:rPr>
        <w:t>3、组织开展水利科技和外事工作。组织开展水利行业质量监督工作，贯彻落实水利行业的技术标准和规程规范，开展水利科学研究和技术推广。负责水利对外交流、合作等有关涉外事务。</w:t>
      </w:r>
    </w:p>
    <w:p w14:paraId="627D2F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仿宋_GB2312" w:eastAsia="方正仿宋_GBK" w:cs="仿宋_GB2312"/>
          <w:sz w:val="32"/>
        </w:rPr>
      </w:pPr>
      <w:r>
        <w:rPr>
          <w:rFonts w:hint="eastAsia" w:ascii="方正仿宋_GBK" w:hAnsi="仿宋_GB2312" w:eastAsia="方正仿宋_GBK" w:cs="仿宋_GB2312"/>
          <w:sz w:val="32"/>
        </w:rPr>
        <w:t>4、负责组织涉水违法案件的查处，协调跨区县（自治县）的水事纠纷，指导水政监察和水行政执法。依法负责水利行业安全生产工作，组织指导水库、水电站大坝、农村水电站的安全监管。指导水利建设市场的监督管理，组织实施水利工程建设的监督。</w:t>
      </w:r>
    </w:p>
    <w:p w14:paraId="06D967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仿宋_GB2312" w:eastAsia="方正仿宋_GBK" w:cs="仿宋_GB2312"/>
          <w:sz w:val="32"/>
        </w:rPr>
      </w:pPr>
      <w:r>
        <w:rPr>
          <w:rFonts w:hint="eastAsia" w:ascii="方正仿宋_GBK" w:hAnsi="仿宋_GB2312" w:eastAsia="方正仿宋_GBK" w:cs="仿宋_GB2312"/>
          <w:sz w:val="32"/>
        </w:rPr>
        <w:t>5、负责保障水资源的合理开发利用。贯彻执行水利水资源法律法规规章及方针政策。研究提出全区水利战略规划和政策建议。起草水利政府规范性文件草案，组织编制全区水资源战略规划、重要河库流域综合规划、防洪规划等重大水利规划。</w:t>
      </w:r>
    </w:p>
    <w:p w14:paraId="444FE0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仿宋_GB2312" w:eastAsia="方正仿宋_GBK" w:cs="仿宋_GB2312"/>
          <w:sz w:val="32"/>
        </w:rPr>
      </w:pPr>
      <w:r>
        <w:rPr>
          <w:rFonts w:hint="eastAsia" w:ascii="方正仿宋_GBK" w:hAnsi="仿宋_GB2312" w:eastAsia="方正仿宋_GBK" w:cs="仿宋_GB2312"/>
          <w:sz w:val="32"/>
        </w:rPr>
        <w:t>6、负责生活、生产经营和生态环境用水的统筹和保障。组织实施最严格水资源管理制度，实施水资源的统一监督管理，拟定全区和重要区域水中长期规划、水量分配方案并监督实施。负责全区水资源调度。开展水资源、水能资源调查评价。按权限组织实施取水许可、水资源论证和防洪论证制度，开展水资源有偿使用工作。指导水利行业供水和村镇供水工作。</w:t>
      </w:r>
    </w:p>
    <w:p w14:paraId="3CE833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仿宋_GB2312" w:eastAsia="方正仿宋_GBK" w:cs="仿宋_GB2312"/>
          <w:sz w:val="32"/>
        </w:rPr>
      </w:pPr>
      <w:r>
        <w:rPr>
          <w:rFonts w:hint="eastAsia" w:ascii="方正仿宋_GBK" w:hAnsi="仿宋_GB2312" w:eastAsia="方正仿宋_GBK" w:cs="仿宋_GB2312"/>
          <w:sz w:val="32"/>
        </w:rPr>
        <w:t>7、负责水资源保护工作。组织编制并实施水资源保护规划。指导饮用水水源保护有关工作，指导地下水开发利用和地下水资源管理保护。</w:t>
      </w:r>
    </w:p>
    <w:p w14:paraId="5558FC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仿宋_GB2312" w:eastAsia="方正仿宋_GBK" w:cs="仿宋_GB2312"/>
          <w:sz w:val="32"/>
        </w:rPr>
      </w:pPr>
      <w:r>
        <w:rPr>
          <w:rFonts w:hint="eastAsia" w:ascii="方正仿宋_GBK" w:hAnsi="仿宋_GB2312" w:eastAsia="方正仿宋_GBK" w:cs="仿宋_GB2312"/>
          <w:sz w:val="32"/>
        </w:rPr>
        <w:t>8、负责节约用水工作。贯彻落实节约用水政策和标准，组织编制节约用水规划并监督实施，组织落实有关标准。组织实施用水总量控制等管理制度，指导和推动节水型社会建设工作。</w:t>
      </w:r>
    </w:p>
    <w:p w14:paraId="10E441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仿宋_GB2312" w:eastAsia="方正仿宋_GBK" w:cs="仿宋_GB2312"/>
          <w:sz w:val="32"/>
        </w:rPr>
      </w:pPr>
      <w:r>
        <w:rPr>
          <w:rFonts w:hint="eastAsia" w:ascii="方正仿宋_GBK" w:hAnsi="仿宋_GB2312" w:eastAsia="方正仿宋_GBK" w:cs="仿宋_GB2312"/>
          <w:sz w:val="32"/>
        </w:rPr>
        <w:t>9、负责水文工作。负责全区水文水资源监测、水文站网建设和管理。对河库和地下水实施监测，发布水文水资源信息、情报预报。按规定组织开展水资源承载能力监测预警工作。</w:t>
      </w:r>
    </w:p>
    <w:p w14:paraId="3070BA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仿宋_GB2312" w:eastAsia="方正仿宋_GBK" w:cs="仿宋_GB2312"/>
          <w:sz w:val="32"/>
        </w:rPr>
      </w:pPr>
      <w:r>
        <w:rPr>
          <w:rFonts w:hint="eastAsia" w:ascii="方正仿宋_GBK" w:hAnsi="仿宋_GB2312" w:eastAsia="方正仿宋_GBK" w:cs="仿宋_GB2312"/>
          <w:sz w:val="32"/>
        </w:rPr>
        <w:t>10、负责落实综合防灾减灾规划相关要求，组织编制全区洪水干旱灾害防治规划并指导实施。承担水情旱情监测预警工作。组织编制重要江河水库和重要水工程的防御洪水抗御旱灾调度及应急水量调度方案，按程序报批并组织实施。承担防御洪水应急抢险的技术支撑工作。</w:t>
      </w:r>
    </w:p>
    <w:p w14:paraId="1D9203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仿宋_GB2312" w:eastAsia="方正仿宋_GBK" w:cs="仿宋_GB2312"/>
          <w:sz w:val="32"/>
        </w:rPr>
      </w:pPr>
      <w:r>
        <w:rPr>
          <w:rFonts w:hint="eastAsia" w:ascii="方正仿宋_GBK" w:hAnsi="仿宋_GB2312" w:eastAsia="方正仿宋_GBK" w:cs="仿宋_GB2312"/>
          <w:sz w:val="32"/>
        </w:rPr>
        <w:t>11、组织实施水利设施、水域及其岸线的管理、保护与综合利用。组织实施水利基础设施网络建设。指导重要河库的治理、开发和保护。指导河库水生态保护与修复、生态流量水量管理以及水系连通工作。承担全区河（库）长制工作的组织和协调及綦江区河长办公室日常工作。</w:t>
      </w:r>
    </w:p>
    <w:p w14:paraId="09AB06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仿宋_GB2312" w:eastAsia="方正仿宋_GBK" w:cs="仿宋_GB2312"/>
          <w:sz w:val="32"/>
        </w:rPr>
      </w:pPr>
      <w:r>
        <w:rPr>
          <w:rFonts w:hint="eastAsia" w:ascii="方正仿宋_GBK" w:hAnsi="仿宋_GB2312" w:eastAsia="方正仿宋_GBK" w:cs="仿宋_GB2312"/>
          <w:sz w:val="32"/>
        </w:rPr>
        <w:t>12、负责水土保持工作。拟定水土保持规划并监督实施，组织实施水土流失的综合防治、监测预报并定期公告。负责建设项目水土保持监督管理工作，指导水土保持建设项目的实施。承担綦江区水土保持委员会办公室日常工作。</w:t>
      </w:r>
    </w:p>
    <w:p w14:paraId="762152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仿宋_GB2312" w:eastAsia="方正仿宋_GBK" w:cs="仿宋_GB2312"/>
          <w:sz w:val="32"/>
        </w:rPr>
      </w:pPr>
      <w:r>
        <w:rPr>
          <w:rFonts w:hint="eastAsia" w:ascii="方正仿宋_GBK" w:hAnsi="仿宋_GB2312" w:eastAsia="方正仿宋_GBK" w:cs="仿宋_GB2312"/>
          <w:sz w:val="32"/>
        </w:rPr>
        <w:t>13、负责农村水利工作。组织开展大中型灌排工程建设与改造。组织指导农村饮水安全工程建设管理工作，组织指导节水灌溉有关工作。指导农村水利改革创新和社会化服务体系建设。指导农村水能资源开发、小水电改造和水电农村电气化工作。</w:t>
      </w:r>
    </w:p>
    <w:p w14:paraId="17278C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仿宋_GB2312" w:eastAsia="方正仿宋_GBK" w:cs="仿宋_GB2312"/>
          <w:sz w:val="32"/>
        </w:rPr>
      </w:pPr>
      <w:r>
        <w:rPr>
          <w:rFonts w:hint="eastAsia" w:ascii="方正仿宋_GBK" w:hAnsi="仿宋_GB2312" w:eastAsia="方正仿宋_GBK" w:cs="仿宋_GB2312"/>
          <w:sz w:val="32"/>
        </w:rPr>
        <w:t>14、负责水利水电工程移民管理相关工作。贯彻落实水利水电工程移民有关政策，组织实施水利水电工程移民安置验收、监督评估等制度。负责水库移民后期扶持政策的宣传和实施。</w:t>
      </w:r>
    </w:p>
    <w:p w14:paraId="5E2E17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仿宋_GB2312" w:eastAsia="方正仿宋_GBK" w:cs="仿宋_GB2312"/>
          <w:sz w:val="32"/>
        </w:rPr>
      </w:pPr>
      <w:r>
        <w:rPr>
          <w:rFonts w:hint="eastAsia" w:ascii="方正仿宋_GBK" w:hAnsi="仿宋_GB2312" w:eastAsia="方正仿宋_GBK" w:cs="仿宋_GB2312"/>
          <w:sz w:val="32"/>
        </w:rPr>
        <w:t>15、完成区委、区政府交办的其他任务。</w:t>
      </w:r>
    </w:p>
    <w:p w14:paraId="3E6C97E9">
      <w:pPr>
        <w:pStyle w:val="11"/>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left="640" w:firstLine="0" w:firstLineChars="0"/>
        <w:jc w:val="left"/>
        <w:textAlignment w:val="auto"/>
        <w:rPr>
          <w:rFonts w:hint="eastAsia" w:ascii="方正仿宋_GBK" w:hAnsi="仿宋_GB2312" w:eastAsia="方正仿宋_GBK" w:cs="仿宋_GB2312"/>
          <w:sz w:val="32"/>
        </w:rPr>
      </w:pPr>
      <w:r>
        <w:rPr>
          <w:rFonts w:hint="eastAsia" w:ascii="方正仿宋_GBK" w:hAnsi="仿宋_GB2312" w:eastAsia="方正仿宋_GBK" w:cs="仿宋_GB2312"/>
          <w:sz w:val="32"/>
        </w:rPr>
        <w:t>（二）单位构成</w:t>
      </w:r>
    </w:p>
    <w:p w14:paraId="4D63B3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一级预算单位：重庆市綦江区水利局（机关），下属有</w:t>
      </w:r>
      <w:r>
        <w:rPr>
          <w:rFonts w:hint="eastAsia" w:ascii="Times New Roman" w:hAnsi="Times New Roman" w:eastAsia="方正仿宋_GBK" w:cs="Times New Roman"/>
          <w:sz w:val="32"/>
          <w:lang w:val="en-US" w:eastAsia="zh-CN"/>
        </w:rPr>
        <w:t>8</w:t>
      </w:r>
      <w:r>
        <w:rPr>
          <w:rFonts w:hint="default" w:ascii="Times New Roman" w:hAnsi="Times New Roman" w:eastAsia="方正仿宋_GBK" w:cs="Times New Roman"/>
          <w:sz w:val="32"/>
        </w:rPr>
        <w:t>个二级预算单位，分别是重庆市綦江区水利工程建设质量与安全服务中心，重庆市綦江区水利水电工程建设服务站，重庆市綦江区水文与水旱灾害防御中心，重庆市綦江区水利水电工程运行服务站，重庆市綦江区村镇供水中心，重庆市綦江区水土保持站，重庆市綦江区河道事务中心</w:t>
      </w:r>
      <w:r>
        <w:rPr>
          <w:rFonts w:hint="eastAsia" w:ascii="Times New Roman" w:hAnsi="Times New Roman" w:eastAsia="方正仿宋_GBK" w:cs="Times New Roman"/>
          <w:sz w:val="32"/>
          <w:lang w:eastAsia="zh-CN"/>
        </w:rPr>
        <w:t>，重庆市綦江区水务建设运营管理中心</w:t>
      </w:r>
      <w:r>
        <w:rPr>
          <w:rFonts w:hint="default" w:ascii="Times New Roman" w:hAnsi="Times New Roman" w:eastAsia="方正仿宋_GBK" w:cs="Times New Roman"/>
          <w:sz w:val="32"/>
        </w:rPr>
        <w:t>。</w:t>
      </w:r>
    </w:p>
    <w:p w14:paraId="1BCDF3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仿宋_GB2312" w:eastAsia="方正仿宋_GBK" w:cs="仿宋_GB2312"/>
          <w:sz w:val="32"/>
        </w:rPr>
      </w:pPr>
      <w:r>
        <w:rPr>
          <w:rFonts w:hint="default" w:ascii="Times New Roman" w:hAnsi="Times New Roman" w:eastAsia="方正仿宋_GBK" w:cs="Times New Roman"/>
          <w:sz w:val="32"/>
        </w:rPr>
        <w:t>本部门内设机构设置：党政办公室、财务审计科、规划建设科、水文水资源科（全区节约用水办公室）、水利工程管理与移民科、水生态与河长制科。</w:t>
      </w:r>
    </w:p>
    <w:p w14:paraId="28C5D681">
      <w:pPr>
        <w:keepNext w:val="0"/>
        <w:keepLines w:val="0"/>
        <w:pageBreakBefore w:val="0"/>
        <w:widowControl w:val="0"/>
        <w:kinsoku/>
        <w:wordWrap/>
        <w:overflowPunct/>
        <w:topLinePunct w:val="0"/>
        <w:autoSpaceDE/>
        <w:autoSpaceDN/>
        <w:bidi w:val="0"/>
        <w:adjustRightInd/>
        <w:snapToGrid/>
        <w:spacing w:line="600" w:lineRule="exact"/>
        <w:ind w:left="640"/>
        <w:textAlignment w:val="auto"/>
        <w:rPr>
          <w:rFonts w:hint="eastAsia" w:ascii="方正仿宋_GBK" w:hAnsi="黑体" w:eastAsia="方正仿宋_GBK" w:cs="仿宋_GB2312"/>
          <w:sz w:val="32"/>
        </w:rPr>
      </w:pPr>
      <w:r>
        <w:rPr>
          <w:rFonts w:hint="eastAsia" w:ascii="方正黑体_GBK" w:hAnsi="黑体" w:eastAsia="方正黑体_GBK" w:cs="仿宋_GB2312"/>
          <w:sz w:val="32"/>
        </w:rPr>
        <w:t>二、部门收支总体情况</w:t>
      </w:r>
    </w:p>
    <w:p w14:paraId="3EFEC6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rPr>
      </w:pPr>
      <w:r>
        <w:rPr>
          <w:rFonts w:ascii="Times New Roman" w:hAnsi="Times New Roman" w:eastAsia="方正仿宋_GBK"/>
          <w:sz w:val="32"/>
        </w:rPr>
        <w:t>（一）收入预算：</w:t>
      </w:r>
      <w:r>
        <w:rPr>
          <w:rFonts w:hint="eastAsia" w:ascii="Times New Roman" w:hAnsi="Times New Roman" w:eastAsia="方正仿宋_GBK"/>
          <w:sz w:val="32"/>
          <w:lang w:eastAsia="zh-CN"/>
        </w:rPr>
        <w:t>2025年</w:t>
      </w:r>
      <w:r>
        <w:rPr>
          <w:rFonts w:ascii="Times New Roman" w:hAnsi="Times New Roman" w:eastAsia="方正仿宋_GBK"/>
          <w:sz w:val="32"/>
        </w:rPr>
        <w:t>年初预算数</w:t>
      </w:r>
      <w:r>
        <w:rPr>
          <w:rFonts w:hint="eastAsia" w:ascii="Times New Roman" w:hAnsi="Times New Roman" w:eastAsia="方正仿宋_GBK"/>
          <w:sz w:val="32"/>
        </w:rPr>
        <w:t>51,367.49</w:t>
      </w:r>
      <w:r>
        <w:rPr>
          <w:rFonts w:ascii="Times New Roman" w:hAnsi="Times New Roman" w:eastAsia="方正仿宋_GBK"/>
          <w:sz w:val="32"/>
        </w:rPr>
        <w:t>万元，其中：一般公共预算拨款</w:t>
      </w:r>
      <w:r>
        <w:rPr>
          <w:rFonts w:hint="eastAsia" w:ascii="Times New Roman" w:hAnsi="Times New Roman" w:eastAsia="方正仿宋_GBK"/>
          <w:sz w:val="32"/>
        </w:rPr>
        <w:t>45,427.83</w:t>
      </w:r>
      <w:r>
        <w:rPr>
          <w:rFonts w:ascii="Times New Roman" w:hAnsi="Times New Roman" w:eastAsia="方正仿宋_GBK"/>
          <w:sz w:val="32"/>
        </w:rPr>
        <w:t>万元，政府性基金预算拨款</w:t>
      </w:r>
      <w:r>
        <w:rPr>
          <w:rFonts w:hint="eastAsia" w:ascii="Times New Roman" w:hAnsi="Times New Roman" w:eastAsia="方正仿宋_GBK"/>
          <w:sz w:val="32"/>
        </w:rPr>
        <w:t>5,939.66</w:t>
      </w:r>
      <w:r>
        <w:rPr>
          <w:rFonts w:ascii="Times New Roman" w:hAnsi="Times New Roman" w:eastAsia="方正仿宋_GBK"/>
          <w:sz w:val="32"/>
        </w:rPr>
        <w:t>万元，国有资本经营预算收入</w:t>
      </w:r>
      <w:r>
        <w:rPr>
          <w:rFonts w:hint="eastAsia" w:ascii="Times New Roman" w:hAnsi="Times New Roman" w:eastAsia="方正仿宋_GBK"/>
          <w:sz w:val="32"/>
          <w:lang w:val="en-US" w:eastAsia="zh-CN"/>
        </w:rPr>
        <w:t>0.00</w:t>
      </w:r>
      <w:r>
        <w:rPr>
          <w:rFonts w:ascii="Times New Roman" w:hAnsi="Times New Roman" w:eastAsia="方正仿宋_GBK"/>
          <w:sz w:val="32"/>
        </w:rPr>
        <w:t>万元，事业收入</w:t>
      </w:r>
      <w:r>
        <w:rPr>
          <w:rFonts w:hint="eastAsia" w:ascii="Times New Roman" w:hAnsi="Times New Roman" w:eastAsia="方正仿宋_GBK"/>
          <w:sz w:val="32"/>
          <w:lang w:val="en-US" w:eastAsia="zh-CN"/>
        </w:rPr>
        <w:t>0.00</w:t>
      </w:r>
      <w:r>
        <w:rPr>
          <w:rFonts w:ascii="Times New Roman" w:hAnsi="Times New Roman" w:eastAsia="方正仿宋_GBK"/>
          <w:sz w:val="32"/>
        </w:rPr>
        <w:t>万元，事业单位经营收入</w:t>
      </w:r>
      <w:r>
        <w:rPr>
          <w:rFonts w:hint="eastAsia" w:ascii="Times New Roman" w:hAnsi="Times New Roman" w:eastAsia="方正仿宋_GBK"/>
          <w:sz w:val="32"/>
          <w:lang w:val="en-US" w:eastAsia="zh-CN"/>
        </w:rPr>
        <w:t>0.00</w:t>
      </w:r>
      <w:r>
        <w:rPr>
          <w:rFonts w:ascii="Times New Roman" w:hAnsi="Times New Roman" w:eastAsia="方正仿宋_GBK"/>
          <w:sz w:val="32"/>
        </w:rPr>
        <w:t>万元，其他收入</w:t>
      </w:r>
      <w:r>
        <w:rPr>
          <w:rFonts w:hint="eastAsia" w:ascii="Times New Roman" w:hAnsi="Times New Roman" w:eastAsia="方正仿宋_GBK"/>
          <w:sz w:val="32"/>
          <w:lang w:val="en-US" w:eastAsia="zh-CN"/>
        </w:rPr>
        <w:t>0.00</w:t>
      </w:r>
      <w:r>
        <w:rPr>
          <w:rFonts w:ascii="Times New Roman" w:hAnsi="Times New Roman" w:eastAsia="方正仿宋_GBK"/>
          <w:sz w:val="32"/>
        </w:rPr>
        <w:t>万元。收入较</w:t>
      </w:r>
      <w:r>
        <w:rPr>
          <w:rFonts w:hint="eastAsia" w:ascii="Times New Roman" w:hAnsi="Times New Roman" w:eastAsia="方正仿宋_GBK"/>
          <w:sz w:val="32"/>
          <w:lang w:eastAsia="zh-CN"/>
        </w:rPr>
        <w:t>2024年</w:t>
      </w:r>
      <w:r>
        <w:rPr>
          <w:rFonts w:hint="eastAsia" w:ascii="Times New Roman" w:hAnsi="Times New Roman" w:eastAsia="方正仿宋_GBK"/>
          <w:sz w:val="32"/>
        </w:rPr>
        <w:t>减少81,627.09</w:t>
      </w:r>
      <w:r>
        <w:rPr>
          <w:rFonts w:ascii="Times New Roman" w:hAnsi="Times New Roman" w:eastAsia="方正仿宋_GBK"/>
          <w:sz w:val="32"/>
        </w:rPr>
        <w:t>万元，主要是</w:t>
      </w:r>
      <w:r>
        <w:rPr>
          <w:rFonts w:hint="eastAsia" w:ascii="Times New Roman" w:hAnsi="Times New Roman" w:eastAsia="方正仿宋_GBK"/>
          <w:sz w:val="32"/>
          <w:lang w:val="en-US" w:eastAsia="zh-CN"/>
        </w:rPr>
        <w:t>2024年</w:t>
      </w:r>
      <w:r>
        <w:rPr>
          <w:rFonts w:hint="eastAsia" w:ascii="Times New Roman" w:hAnsi="Times New Roman" w:eastAsia="方正仿宋_GBK"/>
          <w:sz w:val="32"/>
        </w:rPr>
        <w:t>增发国债水利领域项目</w:t>
      </w:r>
      <w:r>
        <w:rPr>
          <w:rFonts w:hint="eastAsia" w:eastAsia="方正仿宋_GBK"/>
          <w:sz w:val="32"/>
          <w:highlight w:val="none"/>
        </w:rPr>
        <w:t>上年结转预算82,760.90</w:t>
      </w:r>
      <w:r>
        <w:rPr>
          <w:rFonts w:ascii="Times New Roman" w:hAnsi="Times New Roman" w:eastAsia="方正仿宋_GBK"/>
          <w:sz w:val="32"/>
        </w:rPr>
        <w:t>万元。</w:t>
      </w:r>
    </w:p>
    <w:p w14:paraId="5F9CAF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仿宋_GB2312" w:eastAsia="方正仿宋_GBK" w:cs="仿宋_GB2312"/>
          <w:sz w:val="32"/>
        </w:rPr>
      </w:pPr>
      <w:r>
        <w:rPr>
          <w:rFonts w:ascii="Times New Roman" w:hAnsi="Times New Roman" w:eastAsia="方正仿宋_GBK"/>
          <w:sz w:val="32"/>
        </w:rPr>
        <w:t>（二）支出预算：</w:t>
      </w:r>
      <w:r>
        <w:rPr>
          <w:rFonts w:hint="eastAsia" w:ascii="Times New Roman" w:hAnsi="Times New Roman" w:eastAsia="方正仿宋_GBK"/>
          <w:sz w:val="32"/>
          <w:lang w:eastAsia="zh-CN"/>
        </w:rPr>
        <w:t>2025年</w:t>
      </w:r>
      <w:r>
        <w:rPr>
          <w:rFonts w:ascii="Times New Roman" w:hAnsi="Times New Roman" w:eastAsia="方正仿宋_GBK"/>
          <w:sz w:val="32"/>
        </w:rPr>
        <w:t>年初预算数</w:t>
      </w:r>
      <w:r>
        <w:rPr>
          <w:rFonts w:hint="eastAsia" w:ascii="Times New Roman" w:hAnsi="Times New Roman" w:eastAsia="方正仿宋_GBK"/>
          <w:sz w:val="32"/>
        </w:rPr>
        <w:t>51,367.49</w:t>
      </w:r>
      <w:r>
        <w:rPr>
          <w:rFonts w:ascii="Times New Roman" w:hAnsi="Times New Roman" w:eastAsia="方正仿宋_GBK"/>
          <w:sz w:val="32"/>
        </w:rPr>
        <w:t>万元，其中：社会保障和就业支出预算</w:t>
      </w:r>
      <w:r>
        <w:rPr>
          <w:rFonts w:hint="eastAsia" w:ascii="Times New Roman" w:hAnsi="Times New Roman" w:eastAsia="方正仿宋_GBK"/>
          <w:sz w:val="32"/>
        </w:rPr>
        <w:t>123.53</w:t>
      </w:r>
      <w:r>
        <w:rPr>
          <w:rFonts w:ascii="Times New Roman" w:hAnsi="Times New Roman" w:eastAsia="方正仿宋_GBK"/>
          <w:sz w:val="32"/>
        </w:rPr>
        <w:t>万元，卫生健康支出预算</w:t>
      </w:r>
      <w:r>
        <w:rPr>
          <w:rFonts w:hint="eastAsia" w:ascii="Times New Roman" w:hAnsi="Times New Roman" w:eastAsia="方正仿宋_GBK"/>
          <w:sz w:val="32"/>
        </w:rPr>
        <w:t>25.84</w:t>
      </w:r>
      <w:r>
        <w:rPr>
          <w:rFonts w:ascii="Times New Roman" w:hAnsi="Times New Roman" w:eastAsia="方正仿宋_GBK"/>
          <w:sz w:val="32"/>
        </w:rPr>
        <w:t>万元，</w:t>
      </w:r>
      <w:r>
        <w:rPr>
          <w:rFonts w:hint="eastAsia" w:ascii="Times New Roman" w:hAnsi="Times New Roman" w:eastAsia="方正仿宋_GBK"/>
          <w:sz w:val="32"/>
        </w:rPr>
        <w:t>节能环保支出</w:t>
      </w:r>
      <w:r>
        <w:rPr>
          <w:rFonts w:ascii="Times New Roman" w:hAnsi="Times New Roman" w:eastAsia="方正仿宋_GBK"/>
          <w:sz w:val="32"/>
        </w:rPr>
        <w:t>预算</w:t>
      </w:r>
      <w:r>
        <w:rPr>
          <w:rFonts w:hint="eastAsia" w:ascii="Times New Roman" w:hAnsi="Times New Roman" w:eastAsia="方正仿宋_GBK"/>
          <w:sz w:val="32"/>
        </w:rPr>
        <w:t>500.00</w:t>
      </w:r>
      <w:r>
        <w:rPr>
          <w:rFonts w:ascii="Times New Roman" w:hAnsi="Times New Roman" w:eastAsia="方正仿宋_GBK"/>
          <w:sz w:val="32"/>
        </w:rPr>
        <w:t>万元，</w:t>
      </w:r>
      <w:r>
        <w:rPr>
          <w:rFonts w:hint="eastAsia" w:ascii="Times New Roman" w:hAnsi="Times New Roman" w:eastAsia="方正仿宋_GBK"/>
          <w:sz w:val="32"/>
        </w:rPr>
        <w:t>城乡社区支出</w:t>
      </w:r>
      <w:r>
        <w:rPr>
          <w:rFonts w:ascii="Times New Roman" w:hAnsi="Times New Roman" w:eastAsia="方正仿宋_GBK"/>
          <w:sz w:val="32"/>
        </w:rPr>
        <w:t>预算</w:t>
      </w:r>
      <w:r>
        <w:rPr>
          <w:rFonts w:hint="eastAsia" w:ascii="Times New Roman" w:hAnsi="Times New Roman" w:eastAsia="方正仿宋_GBK"/>
          <w:sz w:val="32"/>
        </w:rPr>
        <w:t>5,364.36</w:t>
      </w:r>
      <w:r>
        <w:rPr>
          <w:rFonts w:ascii="Times New Roman" w:hAnsi="Times New Roman" w:eastAsia="方正仿宋_GBK"/>
          <w:sz w:val="32"/>
        </w:rPr>
        <w:t>万元，</w:t>
      </w:r>
      <w:r>
        <w:rPr>
          <w:rFonts w:hint="eastAsia" w:ascii="Times New Roman" w:hAnsi="Times New Roman" w:eastAsia="方正仿宋_GBK"/>
          <w:sz w:val="32"/>
        </w:rPr>
        <w:t>农林水支出</w:t>
      </w:r>
      <w:r>
        <w:rPr>
          <w:rFonts w:ascii="Times New Roman" w:hAnsi="Times New Roman" w:eastAsia="方正仿宋_GBK"/>
          <w:sz w:val="32"/>
        </w:rPr>
        <w:t>预算</w:t>
      </w:r>
      <w:r>
        <w:rPr>
          <w:rFonts w:hint="eastAsia" w:ascii="Times New Roman" w:hAnsi="Times New Roman" w:eastAsia="方正仿宋_GBK"/>
          <w:sz w:val="32"/>
        </w:rPr>
        <w:t>45,323.37</w:t>
      </w:r>
      <w:r>
        <w:rPr>
          <w:rFonts w:ascii="Times New Roman" w:hAnsi="Times New Roman" w:eastAsia="方正仿宋_GBK"/>
          <w:sz w:val="32"/>
        </w:rPr>
        <w:t>万元，住房保障支出预算</w:t>
      </w:r>
      <w:r>
        <w:rPr>
          <w:rFonts w:hint="eastAsia" w:ascii="Times New Roman" w:hAnsi="Times New Roman" w:eastAsia="方正仿宋_GBK"/>
          <w:sz w:val="32"/>
        </w:rPr>
        <w:t>30.39</w:t>
      </w:r>
      <w:r>
        <w:rPr>
          <w:rFonts w:ascii="Times New Roman" w:hAnsi="Times New Roman" w:eastAsia="方正仿宋_GBK"/>
          <w:sz w:val="32"/>
        </w:rPr>
        <w:t>万元。支出预算较</w:t>
      </w:r>
      <w:r>
        <w:rPr>
          <w:rFonts w:hint="eastAsia" w:ascii="Times New Roman" w:hAnsi="Times New Roman" w:eastAsia="方正仿宋_GBK"/>
          <w:sz w:val="32"/>
          <w:lang w:eastAsia="zh-CN"/>
        </w:rPr>
        <w:t>2024年</w:t>
      </w:r>
      <w:r>
        <w:rPr>
          <w:rFonts w:hint="eastAsia" w:ascii="Times New Roman" w:hAnsi="Times New Roman" w:eastAsia="方正仿宋_GBK"/>
          <w:sz w:val="32"/>
        </w:rPr>
        <w:t>减少81,627.09</w:t>
      </w:r>
      <w:r>
        <w:rPr>
          <w:rFonts w:hint="eastAsia" w:ascii="方正仿宋_GBK" w:hAnsi="仿宋_GB2312" w:eastAsia="方正仿宋_GBK" w:cs="仿宋_GB2312"/>
          <w:sz w:val="32"/>
        </w:rPr>
        <w:t>万元，主要是基本支出预算</w:t>
      </w:r>
      <w:r>
        <w:rPr>
          <w:rFonts w:hint="eastAsia" w:ascii="Times New Roman" w:hAnsi="Times New Roman" w:eastAsia="方正仿宋_GBK"/>
          <w:sz w:val="32"/>
        </w:rPr>
        <w:t>减少</w:t>
      </w:r>
      <w:r>
        <w:rPr>
          <w:rFonts w:hint="eastAsia" w:ascii="Times New Roman" w:hAnsi="Times New Roman" w:eastAsia="方正仿宋_GBK"/>
          <w:sz w:val="32"/>
          <w:lang w:val="en-US" w:eastAsia="zh-CN"/>
        </w:rPr>
        <w:t>2.99</w:t>
      </w:r>
      <w:r>
        <w:rPr>
          <w:rFonts w:hint="eastAsia" w:ascii="方正仿宋_GBK" w:hAnsi="仿宋_GB2312" w:eastAsia="方正仿宋_GBK" w:cs="仿宋_GB2312"/>
          <w:sz w:val="32"/>
        </w:rPr>
        <w:t>万元，项目支出预算</w:t>
      </w:r>
      <w:r>
        <w:rPr>
          <w:rFonts w:hint="eastAsia" w:ascii="Times New Roman" w:hAnsi="Times New Roman" w:eastAsia="方正仿宋_GBK"/>
          <w:sz w:val="32"/>
        </w:rPr>
        <w:t>减少81,624.</w:t>
      </w:r>
      <w:r>
        <w:rPr>
          <w:rFonts w:hint="eastAsia" w:ascii="Times New Roman" w:hAnsi="Times New Roman" w:eastAsia="方正仿宋_GBK"/>
          <w:sz w:val="32"/>
          <w:lang w:val="en-US" w:eastAsia="zh-CN"/>
        </w:rPr>
        <w:t>09</w:t>
      </w:r>
      <w:r>
        <w:rPr>
          <w:rFonts w:hint="eastAsia" w:ascii="方正仿宋_GBK" w:hAnsi="仿宋_GB2312" w:eastAsia="方正仿宋_GBK" w:cs="仿宋_GB2312"/>
          <w:sz w:val="32"/>
        </w:rPr>
        <w:t>万元。</w:t>
      </w:r>
    </w:p>
    <w:p w14:paraId="48232AA0">
      <w:pPr>
        <w:keepNext w:val="0"/>
        <w:keepLines w:val="0"/>
        <w:pageBreakBefore w:val="0"/>
        <w:widowControl w:val="0"/>
        <w:kinsoku/>
        <w:wordWrap/>
        <w:overflowPunct/>
        <w:topLinePunct w:val="0"/>
        <w:autoSpaceDE/>
        <w:autoSpaceDN/>
        <w:bidi w:val="0"/>
        <w:adjustRightInd/>
        <w:snapToGrid/>
        <w:spacing w:line="600" w:lineRule="exact"/>
        <w:ind w:left="640"/>
        <w:textAlignment w:val="auto"/>
        <w:rPr>
          <w:rFonts w:hint="eastAsia" w:ascii="方正黑体_GBK" w:hAnsi="黑体" w:eastAsia="方正黑体_GBK" w:cs="仿宋_GB2312"/>
          <w:sz w:val="32"/>
        </w:rPr>
      </w:pPr>
      <w:r>
        <w:rPr>
          <w:rFonts w:hint="eastAsia" w:ascii="方正黑体_GBK" w:hAnsi="黑体" w:eastAsia="方正黑体_GBK" w:cs="仿宋_GB2312"/>
          <w:sz w:val="32"/>
        </w:rPr>
        <w:t>三、部门预算情况说明</w:t>
      </w:r>
    </w:p>
    <w:p w14:paraId="31CAE2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rPr>
      </w:pPr>
      <w:r>
        <w:rPr>
          <w:rFonts w:hint="eastAsia" w:ascii="Times New Roman" w:hAnsi="Times New Roman" w:eastAsia="方正仿宋_GBK"/>
          <w:sz w:val="32"/>
          <w:lang w:eastAsia="zh-CN"/>
        </w:rPr>
        <w:t>2025年</w:t>
      </w:r>
      <w:r>
        <w:rPr>
          <w:rFonts w:ascii="Times New Roman" w:hAnsi="Times New Roman" w:eastAsia="方正仿宋_GBK"/>
          <w:sz w:val="32"/>
        </w:rPr>
        <w:t>一般公共预算财政拨款收入</w:t>
      </w:r>
      <w:r>
        <w:rPr>
          <w:rFonts w:hint="eastAsia" w:ascii="Times New Roman" w:hAnsi="Times New Roman" w:eastAsia="方正仿宋_GBK"/>
          <w:sz w:val="32"/>
        </w:rPr>
        <w:t>45,427.84</w:t>
      </w:r>
      <w:r>
        <w:rPr>
          <w:rFonts w:ascii="Times New Roman" w:hAnsi="Times New Roman" w:eastAsia="方正仿宋_GBK"/>
          <w:sz w:val="32"/>
        </w:rPr>
        <w:t>万元，一般公共预算财政拨款支出</w:t>
      </w:r>
      <w:r>
        <w:rPr>
          <w:rFonts w:hint="eastAsia" w:ascii="Times New Roman" w:hAnsi="Times New Roman" w:eastAsia="方正仿宋_GBK"/>
          <w:sz w:val="32"/>
        </w:rPr>
        <w:t>45,427.84</w:t>
      </w:r>
      <w:r>
        <w:rPr>
          <w:rFonts w:ascii="Times New Roman" w:hAnsi="Times New Roman" w:eastAsia="方正仿宋_GBK"/>
          <w:sz w:val="32"/>
        </w:rPr>
        <w:t>万元，比</w:t>
      </w:r>
      <w:r>
        <w:rPr>
          <w:rFonts w:hint="eastAsia" w:ascii="Times New Roman" w:hAnsi="Times New Roman" w:eastAsia="方正仿宋_GBK"/>
          <w:sz w:val="32"/>
          <w:lang w:eastAsia="zh-CN"/>
        </w:rPr>
        <w:t>2024年</w:t>
      </w:r>
      <w:r>
        <w:rPr>
          <w:rFonts w:ascii="Times New Roman" w:hAnsi="Times New Roman" w:eastAsia="方正仿宋_GBK"/>
          <w:sz w:val="32"/>
        </w:rPr>
        <w:t>减少</w:t>
      </w:r>
      <w:r>
        <w:rPr>
          <w:rFonts w:hint="eastAsia" w:ascii="Times New Roman" w:hAnsi="Times New Roman" w:eastAsia="方正仿宋_GBK"/>
          <w:sz w:val="32"/>
        </w:rPr>
        <w:t>86,916.02</w:t>
      </w:r>
      <w:r>
        <w:rPr>
          <w:rFonts w:ascii="Times New Roman" w:hAnsi="Times New Roman" w:eastAsia="方正仿宋_GBK"/>
          <w:sz w:val="32"/>
        </w:rPr>
        <w:t>万元。其中：基本支出</w:t>
      </w:r>
      <w:r>
        <w:rPr>
          <w:rFonts w:hint="eastAsia" w:ascii="Times New Roman" w:hAnsi="Times New Roman" w:eastAsia="方正仿宋_GBK"/>
          <w:sz w:val="32"/>
        </w:rPr>
        <w:t>539.41</w:t>
      </w:r>
      <w:r>
        <w:rPr>
          <w:rFonts w:ascii="Times New Roman" w:hAnsi="Times New Roman" w:eastAsia="方正仿宋_GBK"/>
          <w:sz w:val="32"/>
        </w:rPr>
        <w:t>万元，比</w:t>
      </w:r>
      <w:r>
        <w:rPr>
          <w:rFonts w:hint="eastAsia" w:ascii="Times New Roman" w:hAnsi="Times New Roman" w:eastAsia="方正仿宋_GBK"/>
          <w:sz w:val="32"/>
          <w:lang w:eastAsia="zh-CN"/>
        </w:rPr>
        <w:t>2024年</w:t>
      </w:r>
      <w:r>
        <w:rPr>
          <w:rFonts w:ascii="Times New Roman" w:hAnsi="Times New Roman" w:eastAsia="方正仿宋_GBK"/>
          <w:sz w:val="32"/>
        </w:rPr>
        <w:t>减少</w:t>
      </w:r>
      <w:r>
        <w:rPr>
          <w:rFonts w:hint="eastAsia" w:ascii="Times New Roman" w:hAnsi="Times New Roman" w:eastAsia="方正仿宋_GBK"/>
          <w:sz w:val="32"/>
          <w:lang w:val="en-US" w:eastAsia="zh-CN"/>
        </w:rPr>
        <w:t>2.99</w:t>
      </w:r>
      <w:r>
        <w:rPr>
          <w:rFonts w:ascii="Times New Roman" w:hAnsi="Times New Roman" w:eastAsia="方正仿宋_GBK"/>
          <w:sz w:val="32"/>
        </w:rPr>
        <w:t>万元，主要原因是</w:t>
      </w:r>
      <w:r>
        <w:rPr>
          <w:rFonts w:hint="eastAsia" w:ascii="Times New Roman" w:hAnsi="Times New Roman" w:eastAsia="方正仿宋_GBK"/>
          <w:sz w:val="32"/>
        </w:rPr>
        <w:t>运转性项目-独立运行补丁</w:t>
      </w:r>
      <w:r>
        <w:rPr>
          <w:rFonts w:hint="eastAsia" w:ascii="Times New Roman" w:hAnsi="Times New Roman" w:eastAsia="方正仿宋_GBK"/>
          <w:sz w:val="32"/>
          <w:lang w:val="en-US" w:eastAsia="zh-CN"/>
        </w:rPr>
        <w:t>减少10.00万元</w:t>
      </w:r>
      <w:r>
        <w:rPr>
          <w:rFonts w:ascii="Times New Roman" w:hAnsi="Times New Roman" w:eastAsia="方正仿宋_GBK"/>
          <w:sz w:val="32"/>
        </w:rPr>
        <w:t>，主要用于保障在职人员工资福利及社会保险缴费，离休人员离休费，退休人员补助等，保障部门正常运转的各项商品服务支出；项目支出</w:t>
      </w:r>
      <w:r>
        <w:rPr>
          <w:rFonts w:hint="eastAsia" w:ascii="Times New Roman" w:hAnsi="Times New Roman" w:eastAsia="方正仿宋_GBK"/>
          <w:sz w:val="32"/>
        </w:rPr>
        <w:t>44,888.43</w:t>
      </w:r>
      <w:r>
        <w:rPr>
          <w:rFonts w:ascii="Times New Roman" w:hAnsi="Times New Roman" w:eastAsia="方正仿宋_GBK"/>
          <w:sz w:val="32"/>
        </w:rPr>
        <w:t>万元，比</w:t>
      </w:r>
      <w:r>
        <w:rPr>
          <w:rFonts w:hint="eastAsia" w:ascii="Times New Roman" w:hAnsi="Times New Roman" w:eastAsia="方正仿宋_GBK"/>
          <w:sz w:val="32"/>
          <w:lang w:eastAsia="zh-CN"/>
        </w:rPr>
        <w:t>2024年</w:t>
      </w:r>
      <w:r>
        <w:rPr>
          <w:rFonts w:ascii="Times New Roman" w:hAnsi="Times New Roman" w:eastAsia="方正仿宋_GBK"/>
          <w:sz w:val="32"/>
        </w:rPr>
        <w:t>减少</w:t>
      </w:r>
      <w:r>
        <w:rPr>
          <w:rFonts w:hint="eastAsia" w:ascii="Times New Roman" w:hAnsi="Times New Roman" w:eastAsia="方正仿宋_GBK"/>
          <w:sz w:val="32"/>
        </w:rPr>
        <w:t>86,913.03</w:t>
      </w:r>
      <w:r>
        <w:rPr>
          <w:rFonts w:ascii="Times New Roman" w:hAnsi="Times New Roman" w:eastAsia="方正仿宋_GBK"/>
          <w:sz w:val="32"/>
        </w:rPr>
        <w:t>万元，主要原因是</w:t>
      </w:r>
      <w:r>
        <w:rPr>
          <w:rFonts w:hint="eastAsia" w:ascii="Times New Roman" w:hAnsi="Times New Roman" w:eastAsia="方正仿宋_GBK"/>
          <w:sz w:val="32"/>
          <w:lang w:val="en-US" w:eastAsia="zh-CN"/>
        </w:rPr>
        <w:t>2024年</w:t>
      </w:r>
      <w:r>
        <w:rPr>
          <w:rFonts w:hint="eastAsia" w:ascii="Times New Roman" w:hAnsi="Times New Roman" w:eastAsia="方正仿宋_GBK"/>
          <w:sz w:val="32"/>
        </w:rPr>
        <w:t>增发国债水利领域项目</w:t>
      </w:r>
      <w:r>
        <w:rPr>
          <w:rFonts w:hint="eastAsia" w:eastAsia="方正仿宋_GBK"/>
          <w:sz w:val="32"/>
          <w:highlight w:val="none"/>
        </w:rPr>
        <w:t>上年结转预算82,760.90</w:t>
      </w:r>
      <w:r>
        <w:rPr>
          <w:rFonts w:ascii="Times New Roman" w:hAnsi="Times New Roman" w:eastAsia="方正仿宋_GBK"/>
          <w:sz w:val="32"/>
        </w:rPr>
        <w:t>万元，主要用于</w:t>
      </w:r>
      <w:r>
        <w:rPr>
          <w:rFonts w:hint="eastAsia" w:ascii="Times New Roman" w:hAnsi="Times New Roman" w:eastAsia="方正仿宋_GBK"/>
          <w:sz w:val="32"/>
          <w:lang w:val="en-US" w:eastAsia="zh-CN"/>
        </w:rPr>
        <w:t>水利工程建设、</w:t>
      </w:r>
      <w:r>
        <w:rPr>
          <w:rFonts w:hint="eastAsia" w:ascii="Times New Roman" w:hAnsi="Times New Roman" w:eastAsia="方正仿宋_GBK"/>
          <w:sz w:val="32"/>
        </w:rPr>
        <w:t>其他重点防洪工程</w:t>
      </w:r>
      <w:r>
        <w:rPr>
          <w:rFonts w:hint="eastAsia" w:ascii="Times New Roman" w:hAnsi="Times New Roman" w:eastAsia="方正仿宋_GBK"/>
          <w:sz w:val="32"/>
          <w:lang w:eastAsia="zh-CN"/>
        </w:rPr>
        <w:t>、灌区建设改造和重点水土流失治理工程</w:t>
      </w:r>
      <w:r>
        <w:rPr>
          <w:rFonts w:ascii="Times New Roman" w:hAnsi="Times New Roman" w:eastAsia="方正仿宋_GBK"/>
          <w:sz w:val="32"/>
        </w:rPr>
        <w:t>等重点工作。</w:t>
      </w:r>
    </w:p>
    <w:p w14:paraId="165408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仿宋_GB2312" w:eastAsia="方正仿宋_GBK" w:cs="仿宋_GB2312"/>
          <w:sz w:val="32"/>
        </w:rPr>
      </w:pPr>
      <w:r>
        <w:rPr>
          <w:rFonts w:hint="eastAsia" w:ascii="Times New Roman" w:hAnsi="Times New Roman" w:eastAsia="方正仿宋_GBK"/>
          <w:sz w:val="32"/>
          <w:lang w:eastAsia="zh-CN"/>
        </w:rPr>
        <w:t>2025年</w:t>
      </w:r>
      <w:r>
        <w:rPr>
          <w:rFonts w:hint="eastAsia" w:ascii="方正仿宋_GBK" w:hAnsi="仿宋_GB2312" w:eastAsia="方正仿宋_GBK" w:cs="仿宋_GB2312"/>
          <w:sz w:val="32"/>
        </w:rPr>
        <w:t>政府性基金预算收入5,939.66万元，政府性基金预算支出5,939.66万元，比</w:t>
      </w:r>
      <w:r>
        <w:rPr>
          <w:rFonts w:hint="eastAsia" w:ascii="Times New Roman" w:hAnsi="Times New Roman" w:eastAsia="方正仿宋_GBK"/>
          <w:sz w:val="32"/>
          <w:lang w:eastAsia="zh-CN"/>
        </w:rPr>
        <w:t>2024年</w:t>
      </w:r>
      <w:r>
        <w:rPr>
          <w:rFonts w:hint="eastAsia" w:ascii="方正仿宋_GBK" w:hAnsi="仿宋_GB2312" w:eastAsia="方正仿宋_GBK" w:cs="仿宋_GB2312"/>
          <w:sz w:val="32"/>
        </w:rPr>
        <w:t>增加5,288.94万元，主要原因是福林水库土地成本</w:t>
      </w:r>
      <w:r>
        <w:rPr>
          <w:rFonts w:hint="eastAsia" w:ascii="方正仿宋_GBK" w:hAnsi="仿宋_GB2312" w:eastAsia="方正仿宋_GBK" w:cs="仿宋_GB2312"/>
          <w:sz w:val="32"/>
          <w:lang w:val="en-US" w:eastAsia="zh-CN"/>
        </w:rPr>
        <w:t>2025年年初预算5164.36万元</w:t>
      </w:r>
      <w:r>
        <w:rPr>
          <w:rFonts w:hint="eastAsia" w:ascii="方正仿宋_GBK" w:hAnsi="仿宋_GB2312" w:eastAsia="方正仿宋_GBK" w:cs="仿宋_GB2312"/>
          <w:sz w:val="32"/>
        </w:rPr>
        <w:t>，主要用于福林水库</w:t>
      </w:r>
      <w:r>
        <w:rPr>
          <w:rFonts w:hint="eastAsia" w:ascii="方正仿宋_GBK" w:hAnsi="仿宋_GB2312" w:eastAsia="方正仿宋_GBK" w:cs="仿宋_GB2312"/>
          <w:sz w:val="32"/>
          <w:lang w:val="en-US" w:eastAsia="zh-CN"/>
        </w:rPr>
        <w:t>建设和水库移民后期扶持等</w:t>
      </w:r>
      <w:r>
        <w:rPr>
          <w:rFonts w:hint="eastAsia" w:ascii="方正仿宋_GBK" w:hAnsi="仿宋_GB2312" w:eastAsia="方正仿宋_GBK" w:cs="仿宋_GB2312"/>
          <w:sz w:val="32"/>
        </w:rPr>
        <w:t>。</w:t>
      </w:r>
    </w:p>
    <w:p w14:paraId="423C40C4">
      <w:pPr>
        <w:keepNext w:val="0"/>
        <w:keepLines w:val="0"/>
        <w:pageBreakBefore w:val="0"/>
        <w:widowControl w:val="0"/>
        <w:kinsoku/>
        <w:wordWrap/>
        <w:overflowPunct/>
        <w:topLinePunct w:val="0"/>
        <w:autoSpaceDE/>
        <w:autoSpaceDN/>
        <w:bidi w:val="0"/>
        <w:adjustRightInd/>
        <w:snapToGrid/>
        <w:spacing w:line="600" w:lineRule="exact"/>
        <w:ind w:left="640"/>
        <w:textAlignment w:val="auto"/>
        <w:rPr>
          <w:rFonts w:hint="eastAsia" w:ascii="方正仿宋_GBK" w:hAnsi="黑体" w:eastAsia="方正仿宋_GBK" w:cs="仿宋_GB2312"/>
          <w:sz w:val="32"/>
        </w:rPr>
      </w:pPr>
      <w:r>
        <w:rPr>
          <w:rFonts w:hint="eastAsia" w:ascii="方正黑体_GBK" w:hAnsi="黑体" w:eastAsia="方正黑体_GBK" w:cs="仿宋_GB2312"/>
          <w:sz w:val="32"/>
        </w:rPr>
        <w:t>四、“三公”经费情况说明</w:t>
      </w:r>
    </w:p>
    <w:p w14:paraId="3282DDFE">
      <w:pPr>
        <w:keepNext w:val="0"/>
        <w:keepLines w:val="0"/>
        <w:pageBreakBefore w:val="0"/>
        <w:widowControl w:val="0"/>
        <w:kinsoku/>
        <w:wordWrap/>
        <w:overflowPunct/>
        <w:topLinePunct w:val="0"/>
        <w:autoSpaceDE/>
        <w:autoSpaceDN/>
        <w:bidi w:val="0"/>
        <w:adjustRightInd/>
        <w:snapToGrid/>
        <w:spacing w:line="600" w:lineRule="exact"/>
        <w:ind w:firstLine="600"/>
        <w:textAlignment w:val="auto"/>
        <w:rPr>
          <w:rFonts w:hint="eastAsia" w:ascii="方正仿宋_GBK" w:hAnsi="仿宋_GB2312" w:eastAsia="方正仿宋_GBK" w:cs="仿宋_GB2312"/>
          <w:sz w:val="32"/>
        </w:rPr>
      </w:pPr>
      <w:r>
        <w:rPr>
          <w:rFonts w:hint="eastAsia" w:ascii="Times New Roman" w:hAnsi="Times New Roman" w:eastAsia="方正仿宋_GBK"/>
          <w:sz w:val="32"/>
          <w:lang w:eastAsia="zh-CN"/>
        </w:rPr>
        <w:t>2025年</w:t>
      </w:r>
      <w:r>
        <w:rPr>
          <w:rFonts w:hint="eastAsia" w:ascii="方正仿宋_GBK" w:hAnsi="仿宋_GB2312" w:eastAsia="方正仿宋_GBK" w:cs="仿宋_GB2312"/>
          <w:sz w:val="32"/>
        </w:rPr>
        <w:t>“三公”经费预算14.50万元，比</w:t>
      </w:r>
      <w:r>
        <w:rPr>
          <w:rFonts w:hint="eastAsia" w:ascii="Times New Roman" w:hAnsi="Times New Roman" w:eastAsia="方正仿宋_GBK"/>
          <w:sz w:val="32"/>
          <w:lang w:eastAsia="zh-CN"/>
        </w:rPr>
        <w:t>2024年</w:t>
      </w:r>
      <w:r>
        <w:rPr>
          <w:rFonts w:hint="eastAsia" w:ascii="方正仿宋_GBK" w:hAnsi="仿宋_GB2312" w:eastAsia="方正仿宋_GBK" w:cs="仿宋_GB2312"/>
          <w:sz w:val="32"/>
        </w:rPr>
        <w:t>减少</w:t>
      </w:r>
      <w:r>
        <w:rPr>
          <w:rFonts w:hint="eastAsia" w:ascii="方正仿宋_GBK" w:hAnsi="仿宋_GB2312" w:eastAsia="方正仿宋_GBK" w:cs="仿宋_GB2312"/>
          <w:sz w:val="32"/>
          <w:lang w:val="en-US" w:eastAsia="zh-CN"/>
        </w:rPr>
        <w:t>1.16</w:t>
      </w:r>
      <w:r>
        <w:rPr>
          <w:rFonts w:hint="eastAsia" w:ascii="方正仿宋_GBK" w:hAnsi="仿宋_GB2312" w:eastAsia="方正仿宋_GBK" w:cs="仿宋_GB2312"/>
          <w:sz w:val="32"/>
        </w:rPr>
        <w:t>万元。其中：因公出国（境）费用</w:t>
      </w:r>
      <w:r>
        <w:rPr>
          <w:rFonts w:hint="eastAsia" w:ascii="方正仿宋_GBK" w:hAnsi="仿宋_GB2312" w:eastAsia="方正仿宋_GBK" w:cs="仿宋_GB2312"/>
          <w:sz w:val="32"/>
          <w:lang w:val="en-US" w:eastAsia="zh-CN"/>
        </w:rPr>
        <w:t>0.00</w:t>
      </w:r>
      <w:r>
        <w:rPr>
          <w:rFonts w:hint="eastAsia" w:ascii="方正仿宋_GBK" w:hAnsi="仿宋_GB2312" w:eastAsia="方正仿宋_GBK" w:cs="仿宋_GB2312"/>
          <w:sz w:val="32"/>
        </w:rPr>
        <w:t>万元，</w:t>
      </w:r>
      <w:r>
        <w:rPr>
          <w:rFonts w:hint="eastAsia" w:ascii="方正仿宋_GBK" w:hAnsi="方正仿宋_GBK" w:eastAsia="方正仿宋_GBK" w:cs="方正仿宋_GBK"/>
          <w:kern w:val="0"/>
          <w:sz w:val="32"/>
          <w:szCs w:val="32"/>
          <w:shd w:val="clear" w:color="auto" w:fill="FFFFFF"/>
        </w:rPr>
        <w:t>与上年一致</w:t>
      </w:r>
      <w:r>
        <w:rPr>
          <w:rFonts w:hint="eastAsia" w:ascii="方正仿宋_GBK" w:hAnsi="仿宋_GB2312" w:eastAsia="方正仿宋_GBK" w:cs="仿宋_GB2312"/>
          <w:sz w:val="32"/>
        </w:rPr>
        <w:t>；公务接待费</w:t>
      </w:r>
      <w:r>
        <w:rPr>
          <w:rFonts w:hint="eastAsia" w:ascii="方正仿宋_GBK" w:hAnsi="仿宋_GB2312" w:eastAsia="方正仿宋_GBK" w:cs="仿宋_GB2312"/>
          <w:sz w:val="32"/>
          <w:lang w:val="en-US" w:eastAsia="zh-CN"/>
        </w:rPr>
        <w:t>8.00</w:t>
      </w:r>
      <w:r>
        <w:rPr>
          <w:rFonts w:hint="eastAsia" w:ascii="方正仿宋_GBK" w:hAnsi="仿宋_GB2312" w:eastAsia="方正仿宋_GBK" w:cs="仿宋_GB2312"/>
          <w:sz w:val="32"/>
        </w:rPr>
        <w:t>万元，比</w:t>
      </w:r>
      <w:r>
        <w:rPr>
          <w:rFonts w:hint="eastAsia" w:ascii="Times New Roman" w:hAnsi="Times New Roman" w:eastAsia="方正仿宋_GBK"/>
          <w:sz w:val="32"/>
          <w:lang w:eastAsia="zh-CN"/>
        </w:rPr>
        <w:t>2024年</w:t>
      </w:r>
      <w:r>
        <w:rPr>
          <w:rFonts w:hint="eastAsia" w:ascii="方正仿宋_GBK" w:hAnsi="仿宋_GB2312" w:eastAsia="方正仿宋_GBK" w:cs="仿宋_GB2312"/>
          <w:sz w:val="32"/>
        </w:rPr>
        <w:t>减少</w:t>
      </w:r>
      <w:r>
        <w:rPr>
          <w:rFonts w:hint="eastAsia" w:ascii="方正仿宋_GBK" w:hAnsi="仿宋_GB2312" w:eastAsia="方正仿宋_GBK" w:cs="仿宋_GB2312"/>
          <w:sz w:val="32"/>
          <w:lang w:val="en-US" w:eastAsia="zh-CN"/>
        </w:rPr>
        <w:t>1.16</w:t>
      </w:r>
      <w:r>
        <w:rPr>
          <w:rFonts w:hint="eastAsia" w:ascii="方正仿宋_GBK" w:hAnsi="仿宋_GB2312" w:eastAsia="方正仿宋_GBK" w:cs="仿宋_GB2312"/>
          <w:sz w:val="32"/>
        </w:rPr>
        <w:t>万元，主要原因是强化公务接待支出管理，严格遵守公务接待开支范围和开支标准，严格控制陪餐人数，对应由接待对象承担的费用一律由接待对象自行支付，公务接待费大幅下降；公务用车运行维护费</w:t>
      </w:r>
      <w:r>
        <w:rPr>
          <w:rFonts w:hint="eastAsia" w:ascii="方正仿宋_GBK" w:hAnsi="仿宋_GB2312" w:eastAsia="方正仿宋_GBK" w:cs="仿宋_GB2312"/>
          <w:sz w:val="32"/>
          <w:lang w:val="en-US" w:eastAsia="zh-CN"/>
        </w:rPr>
        <w:t>6.50</w:t>
      </w:r>
      <w:r>
        <w:rPr>
          <w:rFonts w:hint="eastAsia" w:ascii="方正仿宋_GBK" w:hAnsi="仿宋_GB2312" w:eastAsia="方正仿宋_GBK" w:cs="仿宋_GB2312"/>
          <w:sz w:val="32"/>
        </w:rPr>
        <w:t>万元，</w:t>
      </w:r>
      <w:r>
        <w:rPr>
          <w:rFonts w:hint="eastAsia" w:ascii="方正仿宋_GBK" w:hAnsi="方正仿宋_GBK" w:eastAsia="方正仿宋_GBK" w:cs="方正仿宋_GBK"/>
          <w:kern w:val="0"/>
          <w:sz w:val="32"/>
          <w:szCs w:val="32"/>
          <w:shd w:val="clear" w:color="auto" w:fill="FFFFFF"/>
        </w:rPr>
        <w:t>与上年一致</w:t>
      </w:r>
      <w:r>
        <w:rPr>
          <w:rFonts w:hint="eastAsia" w:ascii="方正仿宋_GBK" w:hAnsi="仿宋_GB2312" w:eastAsia="方正仿宋_GBK" w:cs="仿宋_GB2312"/>
          <w:sz w:val="32"/>
        </w:rPr>
        <w:t>；公务用车购置费</w:t>
      </w:r>
      <w:r>
        <w:rPr>
          <w:rFonts w:hint="eastAsia" w:ascii="方正仿宋_GBK" w:hAnsi="仿宋_GB2312" w:eastAsia="方正仿宋_GBK" w:cs="仿宋_GB2312"/>
          <w:sz w:val="32"/>
          <w:lang w:val="en-US" w:eastAsia="zh-CN"/>
        </w:rPr>
        <w:t>0.00</w:t>
      </w:r>
      <w:r>
        <w:rPr>
          <w:rFonts w:hint="eastAsia" w:ascii="方正仿宋_GBK" w:hAnsi="仿宋_GB2312" w:eastAsia="方正仿宋_GBK" w:cs="仿宋_GB2312"/>
          <w:sz w:val="32"/>
        </w:rPr>
        <w:t>万元，</w:t>
      </w:r>
      <w:r>
        <w:rPr>
          <w:rFonts w:hint="eastAsia" w:ascii="方正仿宋_GBK" w:hAnsi="方正仿宋_GBK" w:eastAsia="方正仿宋_GBK" w:cs="方正仿宋_GBK"/>
          <w:kern w:val="0"/>
          <w:sz w:val="32"/>
          <w:szCs w:val="32"/>
          <w:shd w:val="clear" w:color="auto" w:fill="FFFFFF"/>
        </w:rPr>
        <w:t>与上年一致</w:t>
      </w:r>
      <w:r>
        <w:rPr>
          <w:rFonts w:hint="eastAsia" w:ascii="方正仿宋_GBK" w:hAnsi="仿宋_GB2312" w:eastAsia="方正仿宋_GBK" w:cs="仿宋_GB2312"/>
          <w:sz w:val="32"/>
        </w:rPr>
        <w:t>。</w:t>
      </w:r>
    </w:p>
    <w:p w14:paraId="6F31FA84">
      <w:pPr>
        <w:keepNext w:val="0"/>
        <w:keepLines w:val="0"/>
        <w:pageBreakBefore w:val="0"/>
        <w:widowControl w:val="0"/>
        <w:kinsoku/>
        <w:wordWrap/>
        <w:overflowPunct/>
        <w:topLinePunct w:val="0"/>
        <w:autoSpaceDE/>
        <w:autoSpaceDN/>
        <w:bidi w:val="0"/>
        <w:adjustRightInd/>
        <w:snapToGrid/>
        <w:spacing w:line="600" w:lineRule="exact"/>
        <w:ind w:left="640"/>
        <w:textAlignment w:val="auto"/>
        <w:rPr>
          <w:rFonts w:hint="eastAsia" w:ascii="方正黑体_GBK" w:hAnsi="黑体" w:eastAsia="方正黑体_GBK" w:cs="仿宋_GB2312"/>
          <w:sz w:val="32"/>
        </w:rPr>
      </w:pPr>
      <w:r>
        <w:rPr>
          <w:rFonts w:hint="eastAsia" w:ascii="方正黑体_GBK" w:hAnsi="黑体" w:eastAsia="方正黑体_GBK" w:cs="仿宋_GB2312"/>
          <w:sz w:val="32"/>
        </w:rPr>
        <w:t>五、其他重要事项的情况说明</w:t>
      </w:r>
    </w:p>
    <w:p w14:paraId="054297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仿宋_GB2312" w:eastAsia="方正仿宋_GBK" w:cs="仿宋_GB2312"/>
          <w:sz w:val="32"/>
        </w:rPr>
      </w:pPr>
      <w:r>
        <w:rPr>
          <w:rFonts w:hint="eastAsia" w:ascii="Times New Roman" w:hAnsi="Times New Roman" w:eastAsia="方正仿宋_GBK"/>
          <w:sz w:val="32"/>
        </w:rPr>
        <w:t>1.</w:t>
      </w:r>
      <w:r>
        <w:rPr>
          <w:rFonts w:hint="eastAsia" w:ascii="方正仿宋_GBK" w:hAnsi="仿宋_GB2312" w:eastAsia="方正仿宋_GBK" w:cs="仿宋_GB2312"/>
          <w:sz w:val="32"/>
        </w:rPr>
        <w:t xml:space="preserve"> 机关运行经费。</w:t>
      </w:r>
      <w:r>
        <w:rPr>
          <w:rFonts w:hint="eastAsia" w:ascii="Times New Roman" w:hAnsi="Times New Roman" w:eastAsia="方正仿宋_GBK"/>
          <w:sz w:val="32"/>
          <w:lang w:eastAsia="zh-CN"/>
        </w:rPr>
        <w:t>2025年</w:t>
      </w:r>
      <w:r>
        <w:rPr>
          <w:rFonts w:hint="eastAsia" w:ascii="方正仿宋_GBK" w:hAnsi="仿宋_GB2312" w:eastAsia="方正仿宋_GBK" w:cs="仿宋_GB2312"/>
          <w:sz w:val="32"/>
        </w:rPr>
        <w:t>一般公共预算财政拨款运行经费105.02万元，比上年</w:t>
      </w:r>
      <w:r>
        <w:rPr>
          <w:rFonts w:hint="eastAsia" w:ascii="方正仿宋_GBK" w:hAnsi="仿宋_GB2312" w:eastAsia="方正仿宋_GBK" w:cs="仿宋_GB2312"/>
          <w:sz w:val="32"/>
          <w:lang w:val="en-US" w:eastAsia="zh-CN"/>
        </w:rPr>
        <w:t>减少11.02</w:t>
      </w:r>
      <w:r>
        <w:rPr>
          <w:rFonts w:hint="eastAsia" w:ascii="方正仿宋_GBK" w:hAnsi="仿宋_GB2312" w:eastAsia="方正仿宋_GBK" w:cs="仿宋_GB2312"/>
          <w:sz w:val="32"/>
        </w:rPr>
        <w:t>万</w:t>
      </w:r>
      <w:r>
        <w:rPr>
          <w:rFonts w:hint="eastAsia" w:ascii="Times New Roman" w:hAnsi="Times New Roman" w:eastAsia="方正仿宋_GBK"/>
          <w:sz w:val="32"/>
        </w:rPr>
        <w:t>元，主要原因为运转性</w:t>
      </w:r>
      <w:r>
        <w:rPr>
          <w:rFonts w:hint="eastAsia" w:ascii="方正仿宋_GBK" w:hAnsi="仿宋_GB2312" w:eastAsia="方正仿宋_GBK" w:cs="仿宋_GB2312"/>
          <w:sz w:val="32"/>
        </w:rPr>
        <w:t>项目-独立运行补丁</w:t>
      </w:r>
      <w:r>
        <w:rPr>
          <w:rFonts w:hint="eastAsia" w:ascii="方正仿宋_GBK" w:hAnsi="仿宋_GB2312" w:eastAsia="方正仿宋_GBK" w:cs="仿宋_GB2312"/>
          <w:sz w:val="32"/>
          <w:lang w:val="en-US" w:eastAsia="zh-CN"/>
        </w:rPr>
        <w:t>减少10.00万</w:t>
      </w:r>
      <w:r>
        <w:rPr>
          <w:rFonts w:hint="eastAsia" w:ascii="Times New Roman" w:hAnsi="Times New Roman" w:eastAsia="方正仿宋_GBK"/>
          <w:sz w:val="32"/>
          <w:lang w:val="en-US" w:eastAsia="zh-CN"/>
        </w:rPr>
        <w:t>元</w:t>
      </w:r>
      <w:r>
        <w:rPr>
          <w:rFonts w:hint="eastAsia" w:ascii="Times New Roman" w:hAnsi="Times New Roman" w:eastAsia="方正仿宋_GBK"/>
          <w:sz w:val="32"/>
        </w:rPr>
        <w:t>。主要用于办公费、印刷费、邮电费、水</w:t>
      </w:r>
      <w:r>
        <w:rPr>
          <w:rFonts w:hint="eastAsia" w:ascii="方正仿宋_GBK" w:hAnsi="仿宋_GB2312" w:eastAsia="方正仿宋_GBK" w:cs="仿宋_GB2312"/>
          <w:sz w:val="32"/>
        </w:rPr>
        <w:t>电费、物管费、差旅费、会议费、培训费及其他商品和服务支出等。</w:t>
      </w:r>
    </w:p>
    <w:p w14:paraId="585E776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仿宋_GB2312" w:eastAsia="方正仿宋_GBK" w:cs="仿宋_GB2312"/>
          <w:sz w:val="32"/>
        </w:rPr>
      </w:pPr>
      <w:r>
        <w:rPr>
          <w:rFonts w:hint="eastAsia" w:ascii="Times New Roman" w:hAnsi="Times New Roman" w:eastAsia="方正仿宋_GBK"/>
          <w:sz w:val="32"/>
        </w:rPr>
        <w:t xml:space="preserve">2. </w:t>
      </w:r>
      <w:r>
        <w:rPr>
          <w:rFonts w:hint="eastAsia" w:ascii="方正仿宋_GBK" w:hAnsi="仿宋_GB2312" w:eastAsia="方正仿宋_GBK" w:cs="仿宋_GB2312"/>
          <w:sz w:val="32"/>
        </w:rPr>
        <w:t>政府采购情况。所属各预算单位政府采购预算总额</w:t>
      </w:r>
      <w:r>
        <w:rPr>
          <w:rFonts w:hint="eastAsia" w:ascii="方正仿宋_GBK" w:hAnsi="仿宋_GB2312" w:eastAsia="方正仿宋_GBK" w:cs="仿宋_GB2312"/>
          <w:sz w:val="32"/>
          <w:lang w:val="en-US" w:eastAsia="zh-CN"/>
        </w:rPr>
        <w:t>4</w:t>
      </w:r>
      <w:r>
        <w:rPr>
          <w:rFonts w:hint="eastAsia" w:ascii="方正仿宋_GBK" w:hAnsi="仿宋_GB2312" w:eastAsia="方正仿宋_GBK" w:cs="仿宋_GB2312"/>
          <w:sz w:val="32"/>
        </w:rPr>
        <w:t>万元：政府采购货物预算</w:t>
      </w:r>
      <w:r>
        <w:rPr>
          <w:rFonts w:hint="eastAsia" w:ascii="方正仿宋_GBK" w:hAnsi="仿宋_GB2312" w:eastAsia="方正仿宋_GBK" w:cs="仿宋_GB2312"/>
          <w:sz w:val="32"/>
          <w:lang w:val="en-US" w:eastAsia="zh-CN"/>
        </w:rPr>
        <w:t>4</w:t>
      </w:r>
      <w:r>
        <w:rPr>
          <w:rFonts w:hint="eastAsia" w:ascii="方正仿宋_GBK" w:hAnsi="仿宋_GB2312" w:eastAsia="方正仿宋_GBK" w:cs="仿宋_GB2312"/>
          <w:sz w:val="32"/>
        </w:rPr>
        <w:t>万元、政府采购工程预算</w:t>
      </w:r>
      <w:r>
        <w:rPr>
          <w:rFonts w:hint="eastAsia" w:ascii="方正仿宋_GBK" w:hAnsi="仿宋_GB2312" w:eastAsia="方正仿宋_GBK" w:cs="仿宋_GB2312"/>
          <w:sz w:val="32"/>
          <w:lang w:val="en-US" w:eastAsia="zh-CN"/>
        </w:rPr>
        <w:t>0.00</w:t>
      </w:r>
      <w:r>
        <w:rPr>
          <w:rFonts w:hint="eastAsia" w:ascii="方正仿宋_GBK" w:hAnsi="仿宋_GB2312" w:eastAsia="方正仿宋_GBK" w:cs="仿宋_GB2312"/>
          <w:sz w:val="32"/>
        </w:rPr>
        <w:t>万元、政府采购服务预算</w:t>
      </w:r>
      <w:r>
        <w:rPr>
          <w:rFonts w:hint="eastAsia" w:ascii="方正仿宋_GBK" w:hAnsi="仿宋_GB2312" w:eastAsia="方正仿宋_GBK" w:cs="仿宋_GB2312"/>
          <w:sz w:val="32"/>
          <w:lang w:val="en-US" w:eastAsia="zh-CN"/>
        </w:rPr>
        <w:t>0.00</w:t>
      </w:r>
      <w:r>
        <w:rPr>
          <w:rFonts w:hint="eastAsia" w:ascii="方正仿宋_GBK" w:hAnsi="仿宋_GB2312" w:eastAsia="方正仿宋_GBK" w:cs="仿宋_GB2312"/>
          <w:sz w:val="32"/>
        </w:rPr>
        <w:t>万元；其中一般公共预算拨款政府采购</w:t>
      </w:r>
      <w:r>
        <w:rPr>
          <w:rFonts w:hint="eastAsia" w:ascii="方正仿宋_GBK" w:hAnsi="仿宋_GB2312" w:eastAsia="方正仿宋_GBK" w:cs="仿宋_GB2312"/>
          <w:sz w:val="32"/>
          <w:lang w:val="en-US" w:eastAsia="zh-CN"/>
        </w:rPr>
        <w:t>4</w:t>
      </w:r>
      <w:r>
        <w:rPr>
          <w:rFonts w:hint="eastAsia" w:ascii="方正仿宋_GBK" w:hAnsi="仿宋_GB2312" w:eastAsia="方正仿宋_GBK" w:cs="仿宋_GB2312"/>
          <w:sz w:val="32"/>
        </w:rPr>
        <w:t>万元：政府采购货物预算</w:t>
      </w:r>
      <w:r>
        <w:rPr>
          <w:rFonts w:hint="eastAsia" w:ascii="方正仿宋_GBK" w:hAnsi="仿宋_GB2312" w:eastAsia="方正仿宋_GBK" w:cs="仿宋_GB2312"/>
          <w:sz w:val="32"/>
          <w:lang w:val="en-US" w:eastAsia="zh-CN"/>
        </w:rPr>
        <w:t>4</w:t>
      </w:r>
      <w:r>
        <w:rPr>
          <w:rFonts w:hint="eastAsia" w:ascii="方正仿宋_GBK" w:hAnsi="仿宋_GB2312" w:eastAsia="方正仿宋_GBK" w:cs="仿宋_GB2312"/>
          <w:sz w:val="32"/>
        </w:rPr>
        <w:t>万元、政府采购工程预算</w:t>
      </w:r>
      <w:r>
        <w:rPr>
          <w:rFonts w:hint="eastAsia" w:ascii="方正仿宋_GBK" w:hAnsi="仿宋_GB2312" w:eastAsia="方正仿宋_GBK" w:cs="仿宋_GB2312"/>
          <w:sz w:val="32"/>
          <w:lang w:val="en-US" w:eastAsia="zh-CN"/>
        </w:rPr>
        <w:t>0.00</w:t>
      </w:r>
      <w:r>
        <w:rPr>
          <w:rFonts w:hint="eastAsia" w:ascii="方正仿宋_GBK" w:hAnsi="仿宋_GB2312" w:eastAsia="方正仿宋_GBK" w:cs="仿宋_GB2312"/>
          <w:sz w:val="32"/>
        </w:rPr>
        <w:t>万元、政府采购服务预算</w:t>
      </w:r>
      <w:r>
        <w:rPr>
          <w:rFonts w:hint="eastAsia" w:ascii="方正仿宋_GBK" w:hAnsi="仿宋_GB2312" w:eastAsia="方正仿宋_GBK" w:cs="仿宋_GB2312"/>
          <w:sz w:val="32"/>
          <w:lang w:val="en-US" w:eastAsia="zh-CN"/>
        </w:rPr>
        <w:t>0.00</w:t>
      </w:r>
      <w:r>
        <w:rPr>
          <w:rFonts w:hint="eastAsia" w:ascii="方正仿宋_GBK" w:hAnsi="仿宋_GB2312" w:eastAsia="方正仿宋_GBK" w:cs="仿宋_GB2312"/>
          <w:sz w:val="32"/>
        </w:rPr>
        <w:t>万元。</w:t>
      </w:r>
    </w:p>
    <w:p w14:paraId="5872091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仿宋_GB2312" w:eastAsia="方正仿宋_GBK" w:cs="仿宋_GB2312"/>
          <w:color w:val="000000"/>
          <w:sz w:val="32"/>
        </w:rPr>
      </w:pPr>
      <w:r>
        <w:rPr>
          <w:rFonts w:hint="eastAsia" w:ascii="Times New Roman" w:hAnsi="Times New Roman" w:eastAsia="方正仿宋_GBK"/>
          <w:sz w:val="32"/>
        </w:rPr>
        <w:t xml:space="preserve">3. </w:t>
      </w:r>
      <w:r>
        <w:rPr>
          <w:rFonts w:hint="eastAsia" w:ascii="方正仿宋_GBK" w:hAnsi="仿宋_GB2312" w:eastAsia="方正仿宋_GBK" w:cs="仿宋_GB2312"/>
          <w:sz w:val="32"/>
        </w:rPr>
        <w:t>绩效目标设置情况。</w:t>
      </w:r>
      <w:r>
        <w:rPr>
          <w:rFonts w:hint="eastAsia" w:ascii="Times New Roman" w:hAnsi="Times New Roman" w:eastAsia="方正仿宋_GBK"/>
          <w:sz w:val="32"/>
          <w:lang w:eastAsia="zh-CN"/>
        </w:rPr>
        <w:t>2025年</w:t>
      </w:r>
      <w:r>
        <w:rPr>
          <w:rFonts w:hint="eastAsia" w:ascii="方正仿宋_GBK" w:hAnsi="仿宋_GB2312" w:eastAsia="方正仿宋_GBK" w:cs="仿宋_GB2312"/>
          <w:color w:val="000000"/>
          <w:sz w:val="32"/>
        </w:rPr>
        <w:t>项目支出均实行了绩效目标管理，涉及一般公共预算当年财政拨款44,888.43万元。</w:t>
      </w:r>
    </w:p>
    <w:p w14:paraId="312E7F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仿宋_GB2312" w:eastAsia="方正仿宋_GBK" w:cs="仿宋_GB2312"/>
          <w:color w:val="000000"/>
          <w:sz w:val="32"/>
        </w:rPr>
      </w:pPr>
      <w:r>
        <w:rPr>
          <w:rFonts w:hint="eastAsia" w:ascii="Times New Roman" w:hAnsi="Times New Roman" w:eastAsia="方正仿宋_GBK"/>
          <w:sz w:val="32"/>
        </w:rPr>
        <w:t xml:space="preserve">4. </w:t>
      </w:r>
      <w:r>
        <w:rPr>
          <w:rFonts w:hint="eastAsia" w:ascii="方正仿宋_GBK" w:hAnsi="仿宋_GB2312" w:eastAsia="方正仿宋_GBK" w:cs="仿宋_GB2312"/>
          <w:color w:val="000000"/>
          <w:sz w:val="32"/>
        </w:rPr>
        <w:t>国有资产占有使用情况。</w:t>
      </w:r>
      <w:r>
        <w:rPr>
          <w:rFonts w:hint="eastAsia" w:ascii="Times New Roman" w:hAnsi="Times New Roman" w:eastAsia="方正仿宋_GBK"/>
          <w:sz w:val="32"/>
        </w:rPr>
        <w:t>截止</w:t>
      </w:r>
      <w:r>
        <w:rPr>
          <w:rFonts w:hint="eastAsia" w:ascii="Times New Roman" w:hAnsi="Times New Roman" w:eastAsia="方正仿宋_GBK"/>
          <w:sz w:val="32"/>
          <w:lang w:eastAsia="zh-CN"/>
        </w:rPr>
        <w:t>2024年</w:t>
      </w:r>
      <w:r>
        <w:rPr>
          <w:rFonts w:hint="eastAsia" w:ascii="Times New Roman" w:hAnsi="Times New Roman" w:eastAsia="方正仿宋_GBK"/>
          <w:sz w:val="32"/>
        </w:rPr>
        <w:t>12月</w:t>
      </w:r>
      <w:r>
        <w:rPr>
          <w:rFonts w:hint="eastAsia" w:ascii="方正仿宋_GBK" w:hAnsi="仿宋_GB2312" w:eastAsia="方正仿宋_GBK" w:cs="仿宋_GB2312"/>
          <w:color w:val="000000"/>
          <w:sz w:val="32"/>
        </w:rPr>
        <w:t>，所属各预算单位共有车辆</w:t>
      </w:r>
      <w:r>
        <w:rPr>
          <w:rFonts w:hint="eastAsia" w:ascii="方正仿宋_GBK" w:hAnsi="仿宋_GB2312" w:eastAsia="方正仿宋_GBK" w:cs="仿宋_GB2312"/>
          <w:color w:val="000000"/>
          <w:sz w:val="32"/>
          <w:lang w:val="en-US" w:eastAsia="zh-CN"/>
        </w:rPr>
        <w:t>1</w:t>
      </w:r>
      <w:r>
        <w:rPr>
          <w:rFonts w:hint="eastAsia" w:ascii="方正仿宋_GBK" w:hAnsi="仿宋_GB2312" w:eastAsia="方正仿宋_GBK" w:cs="仿宋_GB2312"/>
          <w:color w:val="000000"/>
          <w:sz w:val="32"/>
        </w:rPr>
        <w:t>辆，其中一般公务用车</w:t>
      </w:r>
      <w:r>
        <w:rPr>
          <w:rFonts w:hint="eastAsia" w:ascii="方正仿宋_GBK" w:hAnsi="仿宋_GB2312" w:eastAsia="方正仿宋_GBK" w:cs="仿宋_GB2312"/>
          <w:color w:val="000000"/>
          <w:sz w:val="32"/>
          <w:lang w:val="en-US" w:eastAsia="zh-CN"/>
        </w:rPr>
        <w:t>0</w:t>
      </w:r>
      <w:r>
        <w:rPr>
          <w:rFonts w:hint="eastAsia" w:ascii="方正仿宋_GBK" w:hAnsi="仿宋_GB2312" w:eastAsia="方正仿宋_GBK" w:cs="仿宋_GB2312"/>
          <w:color w:val="000000"/>
          <w:sz w:val="32"/>
        </w:rPr>
        <w:t>辆、执勤执法用车</w:t>
      </w:r>
      <w:r>
        <w:rPr>
          <w:rFonts w:hint="eastAsia" w:ascii="方正仿宋_GBK" w:hAnsi="仿宋_GB2312" w:eastAsia="方正仿宋_GBK" w:cs="仿宋_GB2312"/>
          <w:color w:val="000000"/>
          <w:sz w:val="32"/>
          <w:lang w:val="en-US" w:eastAsia="zh-CN"/>
        </w:rPr>
        <w:t>0</w:t>
      </w:r>
      <w:r>
        <w:rPr>
          <w:rFonts w:hint="eastAsia" w:ascii="方正仿宋_GBK" w:hAnsi="仿宋_GB2312" w:eastAsia="方正仿宋_GBK" w:cs="仿宋_GB2312"/>
          <w:color w:val="000000"/>
          <w:sz w:val="32"/>
        </w:rPr>
        <w:t>辆</w:t>
      </w:r>
      <w:r>
        <w:rPr>
          <w:rFonts w:hint="eastAsia" w:ascii="方正仿宋_GBK" w:hAnsi="仿宋_GB2312" w:eastAsia="方正仿宋_GBK" w:cs="仿宋_GB2312"/>
          <w:color w:val="000000"/>
          <w:sz w:val="32"/>
          <w:lang w:eastAsia="zh-CN"/>
        </w:rPr>
        <w:t>、</w:t>
      </w:r>
      <w:r>
        <w:rPr>
          <w:rFonts w:hint="eastAsia" w:ascii="方正仿宋_GBK" w:hAnsi="仿宋_GB2312" w:eastAsia="方正仿宋_GBK" w:cs="仿宋_GB2312"/>
          <w:color w:val="000000"/>
          <w:sz w:val="32"/>
        </w:rPr>
        <w:t>应急保障用车</w:t>
      </w:r>
      <w:r>
        <w:rPr>
          <w:rFonts w:hint="eastAsia" w:ascii="方正仿宋_GBK" w:hAnsi="仿宋_GB2312" w:eastAsia="方正仿宋_GBK" w:cs="仿宋_GB2312"/>
          <w:color w:val="000000"/>
          <w:sz w:val="32"/>
          <w:lang w:val="en-US" w:eastAsia="zh-CN"/>
        </w:rPr>
        <w:t>1</w:t>
      </w:r>
      <w:r>
        <w:rPr>
          <w:rFonts w:hint="eastAsia" w:ascii="方正仿宋_GBK" w:hAnsi="仿宋_GB2312" w:eastAsia="方正仿宋_GBK" w:cs="仿宋_GB2312"/>
          <w:color w:val="000000"/>
          <w:sz w:val="32"/>
        </w:rPr>
        <w:t>辆。</w:t>
      </w:r>
      <w:r>
        <w:rPr>
          <w:rFonts w:hint="eastAsia" w:ascii="Times New Roman" w:hAnsi="Times New Roman" w:eastAsia="方正仿宋_GBK"/>
          <w:sz w:val="32"/>
          <w:lang w:eastAsia="zh-CN"/>
        </w:rPr>
        <w:t>2025年</w:t>
      </w:r>
      <w:r>
        <w:rPr>
          <w:rFonts w:hint="eastAsia" w:ascii="方正仿宋_GBK" w:hAnsi="仿宋_GB2312" w:eastAsia="方正仿宋_GBK" w:cs="仿宋_GB2312"/>
          <w:color w:val="000000"/>
          <w:sz w:val="32"/>
        </w:rPr>
        <w:t>一般公共预算安排购置车辆</w:t>
      </w:r>
      <w:r>
        <w:rPr>
          <w:rFonts w:hint="eastAsia" w:ascii="方正仿宋_GBK" w:hAnsi="仿宋_GB2312" w:eastAsia="方正仿宋_GBK" w:cs="仿宋_GB2312"/>
          <w:color w:val="000000"/>
          <w:sz w:val="32"/>
          <w:lang w:val="en-US" w:eastAsia="zh-CN"/>
        </w:rPr>
        <w:t>0</w:t>
      </w:r>
      <w:r>
        <w:rPr>
          <w:rFonts w:hint="eastAsia" w:ascii="方正仿宋_GBK" w:hAnsi="仿宋_GB2312" w:eastAsia="方正仿宋_GBK" w:cs="仿宋_GB2312"/>
          <w:color w:val="000000"/>
          <w:sz w:val="32"/>
        </w:rPr>
        <w:t>辆，其中一般公务用车</w:t>
      </w:r>
      <w:r>
        <w:rPr>
          <w:rFonts w:hint="eastAsia" w:ascii="方正仿宋_GBK" w:hAnsi="仿宋_GB2312" w:eastAsia="方正仿宋_GBK" w:cs="仿宋_GB2312"/>
          <w:color w:val="000000"/>
          <w:sz w:val="32"/>
          <w:lang w:val="en-US" w:eastAsia="zh-CN"/>
        </w:rPr>
        <w:t>0</w:t>
      </w:r>
      <w:r>
        <w:rPr>
          <w:rFonts w:hint="eastAsia" w:ascii="方正仿宋_GBK" w:hAnsi="仿宋_GB2312" w:eastAsia="方正仿宋_GBK" w:cs="仿宋_GB2312"/>
          <w:color w:val="000000"/>
          <w:sz w:val="32"/>
        </w:rPr>
        <w:t>辆、执勤执法用车</w:t>
      </w:r>
      <w:r>
        <w:rPr>
          <w:rFonts w:hint="eastAsia" w:ascii="方正仿宋_GBK" w:hAnsi="仿宋_GB2312" w:eastAsia="方正仿宋_GBK" w:cs="仿宋_GB2312"/>
          <w:color w:val="000000"/>
          <w:sz w:val="32"/>
          <w:lang w:val="en-US" w:eastAsia="zh-CN"/>
        </w:rPr>
        <w:t>0</w:t>
      </w:r>
      <w:r>
        <w:rPr>
          <w:rFonts w:hint="eastAsia" w:ascii="方正仿宋_GBK" w:hAnsi="仿宋_GB2312" w:eastAsia="方正仿宋_GBK" w:cs="仿宋_GB2312"/>
          <w:color w:val="000000"/>
          <w:sz w:val="32"/>
        </w:rPr>
        <w:t>辆。</w:t>
      </w:r>
    </w:p>
    <w:p w14:paraId="005B5EE8">
      <w:pPr>
        <w:pStyle w:val="11"/>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firstLine="640"/>
        <w:jc w:val="left"/>
        <w:textAlignment w:val="auto"/>
        <w:rPr>
          <w:rFonts w:hint="eastAsia" w:ascii="方正仿宋_GBK" w:eastAsia="方正仿宋_GBK"/>
          <w:sz w:val="32"/>
          <w:szCs w:val="32"/>
        </w:rPr>
      </w:pPr>
      <w:r>
        <w:rPr>
          <w:rFonts w:hint="eastAsia" w:ascii="方正黑体_GBK" w:hAnsi="黑体" w:eastAsia="方正黑体_GBK" w:cs="仿宋_GB2312"/>
          <w:sz w:val="32"/>
        </w:rPr>
        <w:t>六、专业性名词解释</w:t>
      </w:r>
    </w:p>
    <w:p w14:paraId="7E57EC15">
      <w:pPr>
        <w:pStyle w:val="11"/>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firstLine="640"/>
        <w:jc w:val="left"/>
        <w:textAlignment w:val="auto"/>
        <w:rPr>
          <w:rFonts w:hint="eastAsia" w:ascii="方正仿宋_GBK" w:eastAsia="方正仿宋_GBK"/>
          <w:sz w:val="32"/>
          <w:szCs w:val="32"/>
        </w:rPr>
      </w:pPr>
      <w:r>
        <w:rPr>
          <w:rFonts w:hint="eastAsia" w:ascii="方正仿宋_GBK" w:eastAsia="方正仿宋_GBK"/>
          <w:sz w:val="32"/>
          <w:szCs w:val="32"/>
        </w:rPr>
        <w:t>（一）财政拨款收入：指本年度从本级财政部门取得的财政拨款，包括一般公共预算财政拨款和政府性基金预算财政拨款。</w:t>
      </w:r>
    </w:p>
    <w:p w14:paraId="45EDD242">
      <w:pPr>
        <w:pStyle w:val="11"/>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firstLine="640"/>
        <w:jc w:val="left"/>
        <w:textAlignment w:val="auto"/>
        <w:rPr>
          <w:rFonts w:hint="eastAsia" w:ascii="方正仿宋_GBK" w:eastAsia="方正仿宋_GBK"/>
          <w:sz w:val="32"/>
          <w:szCs w:val="32"/>
        </w:rPr>
      </w:pPr>
      <w:r>
        <w:rPr>
          <w:rFonts w:hint="eastAsia" w:ascii="方正仿宋_GBK" w:eastAsia="方正仿宋_GBK"/>
          <w:sz w:val="32"/>
          <w:szCs w:val="32"/>
        </w:rPr>
        <w:t>（二）其他收入：指单位取得的除“财政拨款收入”、“事业收入”、“经营收入”等以外的收入。</w:t>
      </w:r>
    </w:p>
    <w:p w14:paraId="685823A3">
      <w:pPr>
        <w:pStyle w:val="11"/>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firstLine="640"/>
        <w:jc w:val="left"/>
        <w:textAlignment w:val="auto"/>
        <w:rPr>
          <w:rFonts w:hint="eastAsia" w:ascii="方正仿宋_GBK" w:eastAsia="方正仿宋_GBK"/>
          <w:sz w:val="32"/>
          <w:szCs w:val="32"/>
        </w:rPr>
      </w:pPr>
      <w:r>
        <w:rPr>
          <w:rFonts w:hint="eastAsia" w:ascii="方正仿宋_GBK" w:eastAsia="方正仿宋_GBK"/>
          <w:sz w:val="32"/>
          <w:szCs w:val="32"/>
        </w:rPr>
        <w:t>（三）基本支出：指为保障机构正常运转、完成日常工作任务而发生的人员经费和公用经费。</w:t>
      </w:r>
    </w:p>
    <w:p w14:paraId="56A1B836">
      <w:pPr>
        <w:pStyle w:val="11"/>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firstLine="640"/>
        <w:jc w:val="left"/>
        <w:textAlignment w:val="auto"/>
        <w:rPr>
          <w:rFonts w:hint="eastAsia" w:ascii="方正仿宋_GBK" w:eastAsia="方正仿宋_GBK"/>
          <w:sz w:val="32"/>
          <w:szCs w:val="32"/>
        </w:rPr>
      </w:pPr>
      <w:r>
        <w:rPr>
          <w:rFonts w:hint="eastAsia" w:ascii="方正仿宋_GBK" w:eastAsia="方正仿宋_GBK"/>
          <w:sz w:val="32"/>
          <w:szCs w:val="32"/>
        </w:rPr>
        <w:t>（四）项目支出：指在基本支出之外为完成特定行政任务和事业发展目标所发生的支出。</w:t>
      </w:r>
    </w:p>
    <w:p w14:paraId="0A1B6A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仿宋_GB2312" w:eastAsia="方正仿宋_GBK" w:cs="仿宋_GB2312"/>
          <w:color w:val="000000"/>
          <w:sz w:val="32"/>
        </w:rPr>
      </w:pPr>
      <w:r>
        <w:rPr>
          <w:rFonts w:hint="eastAsia" w:ascii="方正仿宋_GBK"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58F1C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sz w:val="32"/>
        </w:rPr>
      </w:pPr>
      <w:r>
        <w:rPr>
          <w:rFonts w:hint="eastAsia" w:ascii="方正仿宋_GBK" w:hAnsi="仿宋_GB2312" w:eastAsia="方正仿宋_GBK" w:cs="仿宋_GB2312"/>
          <w:b/>
          <w:sz w:val="32"/>
        </w:rPr>
        <w:t>部门预算公开联系人：黄登茂，联系方式：023-48610136</w:t>
      </w:r>
    </w:p>
    <w:bookmarkEnd w:id="0"/>
    <w:sectPr>
      <w:footerReference r:id="rId3" w:type="default"/>
      <w:pgSz w:w="11906" w:h="16838"/>
      <w:pgMar w:top="1474" w:right="1474" w:bottom="1474" w:left="1531"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285EACB-6AA4-4573-BEC2-2EEBF49DABB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A8D15025-8BB9-4FEA-BEA4-C6A8C044049F}"/>
  </w:font>
  <w:font w:name="华文中宋">
    <w:altName w:val="宋体"/>
    <w:panose1 w:val="02010600040101010101"/>
    <w:charset w:val="86"/>
    <w:family w:val="auto"/>
    <w:pitch w:val="default"/>
    <w:sig w:usb0="00000000" w:usb1="00000000" w:usb2="00000000" w:usb3="00000000" w:csb0="0004009F" w:csb1="DFD70000"/>
    <w:embedRegular r:id="rId3" w:fontKey="{8B47290A-52AC-4D43-AA9C-524E8BC838A6}"/>
  </w:font>
  <w:font w:name="方正仿宋_GBK">
    <w:altName w:val="微软雅黑"/>
    <w:panose1 w:val="03000509000000000000"/>
    <w:charset w:val="86"/>
    <w:family w:val="auto"/>
    <w:pitch w:val="default"/>
    <w:sig w:usb0="00000000" w:usb1="00000000" w:usb2="00000000" w:usb3="00000000" w:csb0="00040000" w:csb1="00000000"/>
    <w:embedRegular r:id="rId4" w:fontKey="{FAAF0756-7DD2-4F79-A229-9B516BFCA53F}"/>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embedRegular r:id="rId5" w:fontKey="{03743AAC-0F15-4AC2-844E-DAA4F9321D31}"/>
  </w:font>
  <w:font w:name="仿宋">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embedRegular r:id="rId6" w:fontKey="{423D1C8F-37DA-4605-9B89-340A710A1D5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21D8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D15203">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03D15203">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D1D"/>
    <w:rsid w:val="0000223B"/>
    <w:rsid w:val="00006FB1"/>
    <w:rsid w:val="0001271B"/>
    <w:rsid w:val="00023A4C"/>
    <w:rsid w:val="00042219"/>
    <w:rsid w:val="00047C7A"/>
    <w:rsid w:val="00053834"/>
    <w:rsid w:val="000551A4"/>
    <w:rsid w:val="000624D8"/>
    <w:rsid w:val="0007330D"/>
    <w:rsid w:val="00074317"/>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424B0"/>
    <w:rsid w:val="0014404E"/>
    <w:rsid w:val="001525DD"/>
    <w:rsid w:val="00161474"/>
    <w:rsid w:val="00165A74"/>
    <w:rsid w:val="00186100"/>
    <w:rsid w:val="00191ADC"/>
    <w:rsid w:val="001957F9"/>
    <w:rsid w:val="001C0A7C"/>
    <w:rsid w:val="001D0CAA"/>
    <w:rsid w:val="001D4937"/>
    <w:rsid w:val="001E1AED"/>
    <w:rsid w:val="001E31D9"/>
    <w:rsid w:val="00202E0A"/>
    <w:rsid w:val="002132E9"/>
    <w:rsid w:val="00213635"/>
    <w:rsid w:val="00216BF6"/>
    <w:rsid w:val="00226F1D"/>
    <w:rsid w:val="00230754"/>
    <w:rsid w:val="00242727"/>
    <w:rsid w:val="00246006"/>
    <w:rsid w:val="00246AA4"/>
    <w:rsid w:val="00252849"/>
    <w:rsid w:val="002605A5"/>
    <w:rsid w:val="0026529F"/>
    <w:rsid w:val="0027005A"/>
    <w:rsid w:val="002773F0"/>
    <w:rsid w:val="00280A93"/>
    <w:rsid w:val="00286440"/>
    <w:rsid w:val="002911AA"/>
    <w:rsid w:val="002959B6"/>
    <w:rsid w:val="002B41F1"/>
    <w:rsid w:val="002C4122"/>
    <w:rsid w:val="002D2A88"/>
    <w:rsid w:val="002E46A9"/>
    <w:rsid w:val="0030024E"/>
    <w:rsid w:val="003019D9"/>
    <w:rsid w:val="00341606"/>
    <w:rsid w:val="00346387"/>
    <w:rsid w:val="0034700C"/>
    <w:rsid w:val="00350F80"/>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17C8B"/>
    <w:rsid w:val="00430B72"/>
    <w:rsid w:val="00437D88"/>
    <w:rsid w:val="004417DC"/>
    <w:rsid w:val="00445520"/>
    <w:rsid w:val="00460979"/>
    <w:rsid w:val="00462595"/>
    <w:rsid w:val="004756B4"/>
    <w:rsid w:val="0049017F"/>
    <w:rsid w:val="00492FB3"/>
    <w:rsid w:val="004B1650"/>
    <w:rsid w:val="004C42ED"/>
    <w:rsid w:val="004C60BD"/>
    <w:rsid w:val="004D1E02"/>
    <w:rsid w:val="004E082A"/>
    <w:rsid w:val="004E34FD"/>
    <w:rsid w:val="004E592A"/>
    <w:rsid w:val="004E6E1A"/>
    <w:rsid w:val="004F1853"/>
    <w:rsid w:val="004F7D1D"/>
    <w:rsid w:val="00500B1D"/>
    <w:rsid w:val="00506DF4"/>
    <w:rsid w:val="00507823"/>
    <w:rsid w:val="005174B9"/>
    <w:rsid w:val="00536713"/>
    <w:rsid w:val="00543257"/>
    <w:rsid w:val="00572736"/>
    <w:rsid w:val="0058350C"/>
    <w:rsid w:val="00595C24"/>
    <w:rsid w:val="005A1227"/>
    <w:rsid w:val="005A4606"/>
    <w:rsid w:val="005A4AD7"/>
    <w:rsid w:val="005B0F11"/>
    <w:rsid w:val="005D120C"/>
    <w:rsid w:val="005E18A6"/>
    <w:rsid w:val="005F1960"/>
    <w:rsid w:val="006115F1"/>
    <w:rsid w:val="00620BCE"/>
    <w:rsid w:val="0066585E"/>
    <w:rsid w:val="006809FA"/>
    <w:rsid w:val="006C01C3"/>
    <w:rsid w:val="006C24D3"/>
    <w:rsid w:val="006D0C33"/>
    <w:rsid w:val="006D1609"/>
    <w:rsid w:val="006E0BEC"/>
    <w:rsid w:val="006E455F"/>
    <w:rsid w:val="006F043E"/>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458DC"/>
    <w:rsid w:val="0085394A"/>
    <w:rsid w:val="008560C6"/>
    <w:rsid w:val="00876439"/>
    <w:rsid w:val="00880920"/>
    <w:rsid w:val="00893BF5"/>
    <w:rsid w:val="008A13B7"/>
    <w:rsid w:val="008A622D"/>
    <w:rsid w:val="008C395F"/>
    <w:rsid w:val="008D2570"/>
    <w:rsid w:val="008E3C27"/>
    <w:rsid w:val="008E5A19"/>
    <w:rsid w:val="008E7590"/>
    <w:rsid w:val="008F1CA6"/>
    <w:rsid w:val="008F599D"/>
    <w:rsid w:val="008F731A"/>
    <w:rsid w:val="00905727"/>
    <w:rsid w:val="00914195"/>
    <w:rsid w:val="00926FE2"/>
    <w:rsid w:val="00933A24"/>
    <w:rsid w:val="00936EDC"/>
    <w:rsid w:val="00940465"/>
    <w:rsid w:val="0094655E"/>
    <w:rsid w:val="009561D9"/>
    <w:rsid w:val="009653AE"/>
    <w:rsid w:val="00972AB0"/>
    <w:rsid w:val="00983001"/>
    <w:rsid w:val="0098712E"/>
    <w:rsid w:val="009B77D4"/>
    <w:rsid w:val="009E6734"/>
    <w:rsid w:val="009F01A9"/>
    <w:rsid w:val="00A04AD2"/>
    <w:rsid w:val="00A05F72"/>
    <w:rsid w:val="00A07288"/>
    <w:rsid w:val="00A15ABA"/>
    <w:rsid w:val="00A174AB"/>
    <w:rsid w:val="00A21DCD"/>
    <w:rsid w:val="00A33F5E"/>
    <w:rsid w:val="00A35F07"/>
    <w:rsid w:val="00A45A23"/>
    <w:rsid w:val="00A52D34"/>
    <w:rsid w:val="00A64A71"/>
    <w:rsid w:val="00A712EA"/>
    <w:rsid w:val="00A8020D"/>
    <w:rsid w:val="00A802E9"/>
    <w:rsid w:val="00A80B6C"/>
    <w:rsid w:val="00AA324B"/>
    <w:rsid w:val="00AB25DF"/>
    <w:rsid w:val="00AC6F85"/>
    <w:rsid w:val="00AE0A20"/>
    <w:rsid w:val="00AE4156"/>
    <w:rsid w:val="00B01225"/>
    <w:rsid w:val="00B1352B"/>
    <w:rsid w:val="00B24FA7"/>
    <w:rsid w:val="00B257E3"/>
    <w:rsid w:val="00B54CE7"/>
    <w:rsid w:val="00B558CC"/>
    <w:rsid w:val="00B63DCF"/>
    <w:rsid w:val="00B65450"/>
    <w:rsid w:val="00B72347"/>
    <w:rsid w:val="00B86388"/>
    <w:rsid w:val="00B91A35"/>
    <w:rsid w:val="00BB3B39"/>
    <w:rsid w:val="00BC2C3D"/>
    <w:rsid w:val="00BD0BB9"/>
    <w:rsid w:val="00BD5FA5"/>
    <w:rsid w:val="00BE572E"/>
    <w:rsid w:val="00BE573E"/>
    <w:rsid w:val="00BF67E7"/>
    <w:rsid w:val="00C2696C"/>
    <w:rsid w:val="00C427D3"/>
    <w:rsid w:val="00C47446"/>
    <w:rsid w:val="00C5758E"/>
    <w:rsid w:val="00C601F9"/>
    <w:rsid w:val="00C7602D"/>
    <w:rsid w:val="00C827DC"/>
    <w:rsid w:val="00C95346"/>
    <w:rsid w:val="00C97F70"/>
    <w:rsid w:val="00CA4340"/>
    <w:rsid w:val="00CB0296"/>
    <w:rsid w:val="00CC4A96"/>
    <w:rsid w:val="00CD1C4A"/>
    <w:rsid w:val="00CD2B20"/>
    <w:rsid w:val="00CE1014"/>
    <w:rsid w:val="00CF42ED"/>
    <w:rsid w:val="00D0143D"/>
    <w:rsid w:val="00D10AB7"/>
    <w:rsid w:val="00D160DD"/>
    <w:rsid w:val="00D21CDE"/>
    <w:rsid w:val="00D40ADE"/>
    <w:rsid w:val="00D411DD"/>
    <w:rsid w:val="00D46486"/>
    <w:rsid w:val="00D4665A"/>
    <w:rsid w:val="00D64C2C"/>
    <w:rsid w:val="00D66063"/>
    <w:rsid w:val="00D77D37"/>
    <w:rsid w:val="00D80BC2"/>
    <w:rsid w:val="00D8620E"/>
    <w:rsid w:val="00DA4844"/>
    <w:rsid w:val="00DA7788"/>
    <w:rsid w:val="00DA7FE6"/>
    <w:rsid w:val="00DB0EC5"/>
    <w:rsid w:val="00DB4539"/>
    <w:rsid w:val="00DE3685"/>
    <w:rsid w:val="00DE5805"/>
    <w:rsid w:val="00E00D68"/>
    <w:rsid w:val="00E01CEB"/>
    <w:rsid w:val="00E11FB2"/>
    <w:rsid w:val="00E275D0"/>
    <w:rsid w:val="00E40ED1"/>
    <w:rsid w:val="00E4747D"/>
    <w:rsid w:val="00E712B9"/>
    <w:rsid w:val="00E90FE1"/>
    <w:rsid w:val="00E96899"/>
    <w:rsid w:val="00EC09E7"/>
    <w:rsid w:val="00ED74F6"/>
    <w:rsid w:val="00EE21B6"/>
    <w:rsid w:val="00EF1B14"/>
    <w:rsid w:val="00EF782E"/>
    <w:rsid w:val="00EF7D6B"/>
    <w:rsid w:val="00F11A07"/>
    <w:rsid w:val="00F258CE"/>
    <w:rsid w:val="00F605C0"/>
    <w:rsid w:val="00F60C0F"/>
    <w:rsid w:val="00F66710"/>
    <w:rsid w:val="00F84112"/>
    <w:rsid w:val="00F86A3C"/>
    <w:rsid w:val="00F90464"/>
    <w:rsid w:val="00F9492F"/>
    <w:rsid w:val="00FB0F72"/>
    <w:rsid w:val="00FC2169"/>
    <w:rsid w:val="00FC2267"/>
    <w:rsid w:val="00FE12C3"/>
    <w:rsid w:val="00FE28C5"/>
    <w:rsid w:val="03BE06E9"/>
    <w:rsid w:val="03C279D9"/>
    <w:rsid w:val="07013750"/>
    <w:rsid w:val="0B8416DA"/>
    <w:rsid w:val="136479B6"/>
    <w:rsid w:val="1729409D"/>
    <w:rsid w:val="18CC21E2"/>
    <w:rsid w:val="19D75DEA"/>
    <w:rsid w:val="1DE153E8"/>
    <w:rsid w:val="1EE74E77"/>
    <w:rsid w:val="224976EE"/>
    <w:rsid w:val="26650806"/>
    <w:rsid w:val="26D31C78"/>
    <w:rsid w:val="358A68A2"/>
    <w:rsid w:val="3BC5739B"/>
    <w:rsid w:val="40C318B9"/>
    <w:rsid w:val="421C7239"/>
    <w:rsid w:val="47DE621E"/>
    <w:rsid w:val="48310C7F"/>
    <w:rsid w:val="4B1735E2"/>
    <w:rsid w:val="4CDE4EB5"/>
    <w:rsid w:val="501212FA"/>
    <w:rsid w:val="51281453"/>
    <w:rsid w:val="52026216"/>
    <w:rsid w:val="530026E0"/>
    <w:rsid w:val="534E12E6"/>
    <w:rsid w:val="542602BE"/>
    <w:rsid w:val="5AA900EF"/>
    <w:rsid w:val="63477795"/>
    <w:rsid w:val="66796353"/>
    <w:rsid w:val="6DF45748"/>
    <w:rsid w:val="73AE7B06"/>
    <w:rsid w:val="740318CF"/>
    <w:rsid w:val="7491168D"/>
    <w:rsid w:val="785726D7"/>
    <w:rsid w:val="78B104FE"/>
    <w:rsid w:val="7BC97BEE"/>
    <w:rsid w:val="7E4C2A3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页脚 Char"/>
    <w:link w:val="3"/>
    <w:qFormat/>
    <w:uiPriority w:val="0"/>
    <w:rPr>
      <w:kern w:val="2"/>
      <w:sz w:val="18"/>
      <w:szCs w:val="18"/>
    </w:rPr>
  </w:style>
  <w:style w:type="character" w:customStyle="1" w:styleId="9">
    <w:name w:val="页眉 Char"/>
    <w:link w:val="4"/>
    <w:qFormat/>
    <w:uiPriority w:val="0"/>
    <w:rPr>
      <w:kern w:val="2"/>
      <w:sz w:val="18"/>
      <w:szCs w:val="18"/>
    </w:rPr>
  </w:style>
  <w:style w:type="character" w:customStyle="1" w:styleId="10">
    <w:name w:val="批注框文本 Char"/>
    <w:link w:val="2"/>
    <w:qFormat/>
    <w:uiPriority w:val="0"/>
    <w:rPr>
      <w:kern w:val="2"/>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3296</Words>
  <Characters>3634</Characters>
  <Lines>15</Lines>
  <Paragraphs>4</Paragraphs>
  <TotalTime>13</TotalTime>
  <ScaleCrop>false</ScaleCrop>
  <LinksUpToDate>false</LinksUpToDate>
  <CharactersWithSpaces>3638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2018-12-17T06:47:00Z</dcterms:created>
  <dc:creator>Administrator</dc:creator>
  <cp:lastModifiedBy>周游</cp:lastModifiedBy>
  <cp:lastPrinted>2021-02-01T09:10:00Z</cp:lastPrinted>
  <dcterms:modified xsi:type="dcterms:W3CDTF">2025-02-17T09:19:22Z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6397F1CD85E549348D2084BCA7D11148_13</vt:lpwstr>
  </property>
  <property fmtid="{D5CDD505-2E9C-101B-9397-08002B2CF9AE}" pid="4" name="KSOTemplateDocerSaveRecord">
    <vt:lpwstr>eyJoZGlkIjoiZGQ4N2RmZGRkY2U0ODE1NTQzNDljYjYyYmQyZWRmNGMiLCJ1c2VySWQiOiIyNjIwNzUxNTgifQ==</vt:lpwstr>
  </property>
</Properties>
</file>