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华文中宋"/>
          <w:spacing w:val="-10"/>
          <w:sz w:val="44"/>
          <w:szCs w:val="44"/>
          <w:lang w:eastAsia="zh-CN"/>
        </w:rPr>
      </w:pPr>
      <w:r>
        <w:rPr>
          <w:rFonts w:hint="eastAsia" w:ascii="Times New Roman" w:hAnsi="Times New Roman" w:eastAsia="方正小标宋_GBK" w:cs="华文中宋"/>
          <w:spacing w:val="-10"/>
          <w:sz w:val="44"/>
          <w:szCs w:val="44"/>
          <w:lang w:eastAsia="zh-CN"/>
        </w:rPr>
        <w:t>重庆市綦江区审计中心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华文中宋"/>
          <w:spacing w:val="-10"/>
          <w:sz w:val="44"/>
          <w:szCs w:val="44"/>
        </w:rPr>
      </w:pPr>
      <w:r>
        <w:rPr>
          <w:rFonts w:hint="eastAsia" w:ascii="Times New Roman" w:hAnsi="Times New Roman" w:eastAsia="方正小标宋_GBK" w:cs="华文中宋"/>
          <w:spacing w:val="-10"/>
          <w:sz w:val="44"/>
          <w:szCs w:val="44"/>
        </w:rPr>
        <w:t>202</w:t>
      </w:r>
      <w:r>
        <w:rPr>
          <w:rFonts w:hint="eastAsia" w:ascii="Times New Roman" w:hAnsi="Times New Roman" w:eastAsia="方正小标宋_GBK" w:cs="华文中宋"/>
          <w:spacing w:val="-10"/>
          <w:sz w:val="44"/>
          <w:szCs w:val="44"/>
          <w:lang w:val="en-US" w:eastAsia="zh-CN"/>
        </w:rPr>
        <w:t>6</w:t>
      </w:r>
      <w:r>
        <w:rPr>
          <w:rFonts w:hint="eastAsia" w:ascii="Times New Roman" w:hAnsi="Times New Roman" w:eastAsia="方正小标宋_GBK" w:cs="华文中宋"/>
          <w:spacing w:val="-10"/>
          <w:sz w:val="44"/>
          <w:szCs w:val="44"/>
        </w:rPr>
        <w:t>年单位预算情况说明</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hint="eastAsia" w:ascii="Times New Roman" w:hAnsi="Times New Roman" w:eastAsia="方正黑体_GBK" w:cs="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黑体_GBK" w:cs="仿宋_GB2312"/>
          <w:sz w:val="32"/>
        </w:rPr>
      </w:pPr>
      <w:r>
        <w:rPr>
          <w:rFonts w:hint="eastAsia" w:ascii="Times New Roman" w:hAnsi="Times New Roman" w:eastAsia="方正黑体_GBK" w:cs="仿宋_GB2312"/>
          <w:sz w:val="32"/>
        </w:rPr>
        <w:t>一、单位基本情况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（一）</w:t>
      </w:r>
      <w:r>
        <w:rPr>
          <w:rFonts w:hint="eastAsia" w:ascii="方正楷体_GBK" w:hAnsi="方正楷体_GBK" w:eastAsia="方正楷体_GBK" w:cs="方正楷体_GBK"/>
          <w:sz w:val="32"/>
          <w:lang w:eastAsia="zh-CN"/>
        </w:rPr>
        <w:t>职能</w:t>
      </w:r>
      <w:r>
        <w:rPr>
          <w:rFonts w:hint="eastAsia" w:ascii="方正楷体_GBK" w:hAnsi="方正楷体_GBK" w:eastAsia="方正楷体_GBK" w:cs="方正楷体_GBK"/>
          <w:sz w:val="32"/>
        </w:rPr>
        <w:t>职责</w:t>
      </w:r>
    </w:p>
    <w:p>
      <w:pPr>
        <w:pStyle w:val="7"/>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2"/>
          <w:sz w:val="32"/>
          <w:szCs w:val="32"/>
          <w:lang w:val="en-US" w:eastAsia="zh-CN" w:bidi="ar-SA"/>
        </w:rPr>
        <w:t xml:space="preserve">1. </w:t>
      </w:r>
      <w:r>
        <w:rPr>
          <w:rFonts w:hint="eastAsia" w:ascii="方正仿宋_GBK" w:hAnsi="方正仿宋_GBK" w:eastAsia="方正仿宋_GBK" w:cs="方正仿宋_GBK"/>
          <w:kern w:val="0"/>
          <w:sz w:val="32"/>
          <w:szCs w:val="32"/>
          <w:shd w:val="clear" w:fill="FFFFFF"/>
        </w:rPr>
        <w:t>承担审计业务的事务性工作。主要包括承担主管部</w:t>
      </w:r>
      <w:r>
        <w:rPr>
          <w:rFonts w:hint="eastAsia" w:ascii="方正仿宋_GBK" w:hAnsi="方正仿宋_GBK" w:eastAsia="方正仿宋_GBK" w:cs="方正仿宋_GBK"/>
          <w:kern w:val="0"/>
          <w:sz w:val="32"/>
          <w:szCs w:val="32"/>
        </w:rPr>
        <w:t>门安排的投资类、行政及企事业类、专项调查类等审计业务的事务性工作</w:t>
      </w:r>
      <w:r>
        <w:rPr>
          <w:rFonts w:hint="eastAsia" w:ascii="Times New Roman" w:hAnsi="Times New Roman" w:eastAsia="方正仿宋_GBK" w:cs="Times New Roman"/>
          <w:kern w:val="0"/>
          <w:sz w:val="32"/>
          <w:szCs w:val="32"/>
        </w:rPr>
        <w:t>；</w:t>
      </w:r>
    </w:p>
    <w:p>
      <w:pPr>
        <w:pStyle w:val="7"/>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2. </w:t>
      </w:r>
      <w:r>
        <w:rPr>
          <w:rFonts w:hint="eastAsia" w:ascii="方正仿宋_GBK" w:hAnsi="方正仿宋_GBK" w:eastAsia="方正仿宋_GBK" w:cs="方正仿宋_GBK"/>
          <w:kern w:val="0"/>
          <w:sz w:val="32"/>
          <w:szCs w:val="32"/>
          <w:shd w:val="clear" w:fill="FFFFFF"/>
        </w:rPr>
        <w:t>承担审计信息数据工作。主要包括承担审计信息系统建设维护，为审计工作提供大数据技术支持，以及相关数据资料的</w:t>
      </w:r>
      <w:r>
        <w:rPr>
          <w:rFonts w:hint="eastAsia" w:ascii="Times New Roman" w:hAnsi="Times New Roman" w:eastAsia="方正仿宋_GBK" w:cs="Times New Roman"/>
          <w:kern w:val="2"/>
          <w:sz w:val="32"/>
          <w:szCs w:val="32"/>
          <w:lang w:val="en-US" w:eastAsia="zh-CN" w:bidi="ar-SA"/>
        </w:rPr>
        <w:t>采集、整理和分析等工作；</w:t>
      </w:r>
    </w:p>
    <w:p>
      <w:pPr>
        <w:pStyle w:val="7"/>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6" w:lineRule="exact"/>
        <w:ind w:left="0" w:leftChars="0" w:right="0" w:rightChars="0" w:firstLine="640" w:firstLineChars="200"/>
        <w:textAlignment w:val="auto"/>
        <w:rPr>
          <w:rFonts w:hint="eastAsia" w:ascii="Times New Roman" w:hAnsi="Times New Roman" w:eastAsia="方正仿宋_GBK" w:cs="仿宋_GB2312"/>
          <w:sz w:val="32"/>
        </w:rPr>
      </w:pPr>
      <w:r>
        <w:rPr>
          <w:rFonts w:hint="eastAsia" w:ascii="Times New Roman" w:hAnsi="Times New Roman" w:eastAsia="方正仿宋_GBK" w:cs="Times New Roman"/>
          <w:kern w:val="2"/>
          <w:sz w:val="32"/>
          <w:szCs w:val="32"/>
          <w:lang w:val="en-US" w:eastAsia="zh-CN" w:bidi="ar-SA"/>
        </w:rPr>
        <w:t xml:space="preserve">3. </w:t>
      </w:r>
      <w:r>
        <w:rPr>
          <w:rFonts w:hint="eastAsia" w:ascii="方正仿宋_GBK" w:hAnsi="方正仿宋_GBK" w:eastAsia="方正仿宋_GBK" w:cs="方正仿宋_GBK"/>
          <w:kern w:val="0"/>
          <w:sz w:val="32"/>
          <w:szCs w:val="32"/>
          <w:shd w:val="clear" w:fill="FFFFFF"/>
        </w:rPr>
        <w:t>为审计计划提供技术保障。主要包括为审计规划和年度审计项目计划的编制提供技术保障服务。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lang w:eastAsia="zh-CN"/>
        </w:rPr>
      </w:pPr>
      <w:r>
        <w:rPr>
          <w:rFonts w:hint="eastAsia" w:ascii="方正楷体_GBK" w:hAnsi="方正楷体_GBK" w:eastAsia="方正楷体_GBK" w:cs="方正楷体_GBK"/>
          <w:sz w:val="32"/>
        </w:rPr>
        <w:t>（二）</w:t>
      </w:r>
      <w:r>
        <w:rPr>
          <w:rFonts w:hint="eastAsia" w:ascii="方正楷体_GBK" w:hAnsi="方正楷体_GBK" w:eastAsia="方正楷体_GBK" w:cs="方正楷体_GBK"/>
          <w:sz w:val="32"/>
          <w:lang w:eastAsia="zh-CN"/>
        </w:rPr>
        <w:t>机构设置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rPr>
      </w:pPr>
      <w:r>
        <w:rPr>
          <w:rFonts w:hint="eastAsia" w:ascii="Times New Roman" w:hAnsi="Times New Roman" w:eastAsia="方正仿宋_GBK" w:cs="仿宋_GB2312"/>
          <w:sz w:val="32"/>
          <w:lang w:val="en-US" w:eastAsia="zh-CN"/>
        </w:rPr>
        <w:t>重庆市綦江区审计中心为重庆市綦江区审计局管理的参公事业单位。</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黑体_GBK" w:cs="仿宋_GB2312"/>
          <w:sz w:val="32"/>
        </w:rPr>
      </w:pPr>
      <w:r>
        <w:rPr>
          <w:rFonts w:hint="eastAsia" w:ascii="Times New Roman" w:hAnsi="Times New Roman" w:eastAsia="方正黑体_GBK" w:cs="仿宋_GB2312"/>
          <w:sz w:val="32"/>
        </w:rPr>
        <w:t>单位收支总体情况</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rPr>
        <w:t>收入预算</w:t>
      </w:r>
      <w:r>
        <w:rPr>
          <w:rFonts w:hint="eastAsia" w:ascii="Times New Roman" w:hAnsi="Times New Roman" w:eastAsia="方正仿宋_GBK" w:cs="仿宋_GB2312"/>
          <w:sz w:val="32"/>
        </w:rPr>
        <w:t>：</w:t>
      </w:r>
      <w:r>
        <w:rPr>
          <w:rFonts w:hint="eastAsia" w:ascii="Times New Roman" w:hAnsi="Times New Roman" w:eastAsia="方正仿宋_GBK" w:cs="Times New Roman"/>
          <w:sz w:val="32"/>
          <w:szCs w:val="32"/>
          <w:lang w:eastAsia="zh-CN"/>
        </w:rPr>
        <w:t>2026年</w:t>
      </w:r>
      <w:r>
        <w:rPr>
          <w:rFonts w:hint="default" w:ascii="Times New Roman" w:hAnsi="Times New Roman" w:eastAsia="方正仿宋_GBK" w:cs="Times New Roman"/>
          <w:sz w:val="32"/>
          <w:szCs w:val="32"/>
        </w:rPr>
        <w:t>年初预算数704.16万元，其中：一般公共预算拨款704.16万元，政府性基金预算拨款</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万元，国有资本经营预算拨款</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万元，财政专户管理资金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万元，事业收入资金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万元，上级补助收入资金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万元，附属单位上缴收入资金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万元，事业单位经营收入资金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万元，其他收入资金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万元；收入</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增加30.58万元，主要是一般公共预算拨款增加30.58万元。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rPr>
        <w:t>（二）支出预算</w:t>
      </w:r>
      <w:r>
        <w:rPr>
          <w:rFonts w:hint="eastAsia" w:ascii="Times New Roman" w:hAnsi="Times New Roman" w:eastAsia="方正仿宋_GBK" w:cs="仿宋_GB2312"/>
          <w:sz w:val="32"/>
        </w:rPr>
        <w:t>：</w:t>
      </w:r>
      <w:r>
        <w:rPr>
          <w:rFonts w:hint="eastAsia" w:ascii="Times New Roman" w:hAnsi="Times New Roman" w:eastAsia="方正仿宋_GBK" w:cs="Times New Roman"/>
          <w:sz w:val="32"/>
          <w:szCs w:val="32"/>
          <w:lang w:eastAsia="zh-CN"/>
        </w:rPr>
        <w:t>2026年</w:t>
      </w:r>
      <w:r>
        <w:rPr>
          <w:rFonts w:hint="default" w:ascii="Times New Roman" w:hAnsi="Times New Roman" w:eastAsia="方正仿宋_GBK" w:cs="Times New Roman"/>
          <w:sz w:val="32"/>
          <w:szCs w:val="32"/>
        </w:rPr>
        <w:t>年初预算数704.16万元，按支出功能分类，包括一般公共服务支出</w:t>
      </w:r>
      <w:r>
        <w:rPr>
          <w:rFonts w:hint="eastAsia" w:ascii="Times New Roman" w:hAnsi="Times New Roman" w:eastAsia="方正仿宋_GBK" w:cs="Times New Roman"/>
          <w:sz w:val="32"/>
          <w:szCs w:val="32"/>
          <w:lang w:val="en-US" w:eastAsia="zh-CN"/>
        </w:rPr>
        <w:t>553.09</w:t>
      </w:r>
      <w:r>
        <w:rPr>
          <w:rFonts w:hint="default" w:ascii="Times New Roman" w:hAnsi="Times New Roman" w:eastAsia="方正仿宋_GBK" w:cs="Times New Roman"/>
          <w:sz w:val="32"/>
          <w:szCs w:val="32"/>
        </w:rPr>
        <w:t>万元，社会保障和就业支出553.09万元，卫生健康支出33.53万元，住房保障支出42.95万元；支出</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增加30.58万元，主要是基本支出增加33.58万元，项目支出</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rPr>
      </w:pPr>
      <w:r>
        <w:rPr>
          <w:rFonts w:hint="eastAsia" w:ascii="Times New Roman" w:hAnsi="Times New Roman" w:eastAsia="方正黑体_GBK" w:cs="仿宋_GB2312"/>
          <w:sz w:val="32"/>
        </w:rPr>
        <w:t>三</w:t>
      </w:r>
      <w:r>
        <w:rPr>
          <w:rFonts w:ascii="Times New Roman" w:hAnsi="Times New Roman" w:eastAsia="方正黑体_GBK" w:cs="仿宋_GB2312"/>
          <w:sz w:val="32"/>
        </w:rPr>
        <w:t>、</w:t>
      </w:r>
      <w:r>
        <w:rPr>
          <w:rFonts w:hint="eastAsia" w:ascii="Times New Roman" w:hAnsi="Times New Roman" w:eastAsia="方正黑体_GBK" w:cs="Times New Roman"/>
          <w:sz w:val="32"/>
          <w:szCs w:val="32"/>
          <w:lang w:eastAsia="zh-CN"/>
        </w:rPr>
        <w:t>财政拨款</w:t>
      </w:r>
      <w:r>
        <w:rPr>
          <w:rFonts w:hint="default" w:ascii="Times New Roman" w:hAnsi="Times New Roman" w:eastAsia="方正黑体_GBK" w:cs="Times New Roman"/>
          <w:sz w:val="32"/>
          <w:szCs w:val="32"/>
        </w:rPr>
        <w:t>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2026年</w:t>
      </w:r>
      <w:r>
        <w:rPr>
          <w:rFonts w:hint="default" w:ascii="Times New Roman" w:hAnsi="Times New Roman" w:eastAsia="方正仿宋_GBK" w:cs="Times New Roman"/>
          <w:sz w:val="32"/>
          <w:szCs w:val="32"/>
        </w:rPr>
        <w:t>一般公共预算财政拨款收入704.16万元，一般公共预算财政拨款支出704.16万元，比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增加30.58万元。其中：基本支出629.16万元，主要用于保障在职人员工资福利及社会保险缴费、离休人员离休费、退休人员补助等，保障部门正常运转的各项商品服务支出，比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增加3</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.58万元，主要原因是</w:t>
      </w:r>
      <w:r>
        <w:rPr>
          <w:rFonts w:hint="eastAsia" w:ascii="Times New Roman" w:hAnsi="Times New Roman" w:eastAsia="方正仿宋_GBK" w:cs="Times New Roman"/>
          <w:sz w:val="32"/>
          <w:szCs w:val="32"/>
          <w:lang w:eastAsia="zh-CN"/>
        </w:rPr>
        <w:t>人员</w:t>
      </w:r>
      <w:r>
        <w:rPr>
          <w:rFonts w:hint="default" w:ascii="Times New Roman" w:hAnsi="Times New Roman" w:eastAsia="方正仿宋_GBK" w:cs="Times New Roman"/>
          <w:sz w:val="32"/>
          <w:szCs w:val="32"/>
        </w:rPr>
        <w:t>工资</w:t>
      </w:r>
      <w:r>
        <w:rPr>
          <w:rFonts w:hint="eastAsia" w:ascii="Times New Roman" w:hAnsi="Times New Roman" w:eastAsia="方正仿宋_GBK" w:cs="Times New Roman"/>
          <w:sz w:val="32"/>
          <w:szCs w:val="32"/>
          <w:lang w:eastAsia="zh-CN"/>
        </w:rPr>
        <w:t>晋级晋档、社会保险缴费基数调增</w:t>
      </w:r>
      <w:r>
        <w:rPr>
          <w:rFonts w:hint="default"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lang w:val="en-US" w:eastAsia="zh-CN"/>
        </w:rPr>
        <w:t>75</w:t>
      </w:r>
      <w:r>
        <w:rPr>
          <w:rFonts w:hint="default" w:ascii="Times New Roman" w:hAnsi="Times New Roman" w:eastAsia="方正仿宋_GBK" w:cs="Times New Roman"/>
          <w:sz w:val="32"/>
          <w:szCs w:val="32"/>
        </w:rPr>
        <w:t>万元，主要用于</w:t>
      </w:r>
      <w:r>
        <w:rPr>
          <w:rFonts w:hint="eastAsia" w:ascii="Times New Roman" w:hAnsi="Times New Roman" w:eastAsia="方正仿宋_GBK"/>
          <w:sz w:val="32"/>
          <w:szCs w:val="32"/>
          <w:lang w:eastAsia="zh-CN"/>
        </w:rPr>
        <w:t>预算执行审计、经济责任审计等</w:t>
      </w:r>
      <w:r>
        <w:rPr>
          <w:rFonts w:hint="default" w:ascii="Times New Roman" w:hAnsi="Times New Roman" w:eastAsia="方正仿宋_GBK" w:cs="Times New Roman"/>
          <w:sz w:val="32"/>
          <w:szCs w:val="32"/>
        </w:rPr>
        <w:t>重点工作，比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eastAsia="zh-CN"/>
        </w:rPr>
        <w:t>转任调出人员</w:t>
      </w:r>
      <w:r>
        <w:rPr>
          <w:rFonts w:hint="eastAsia" w:ascii="Times New Roman" w:hAnsi="Times New Roman" w:eastAsia="方正仿宋_GBK" w:cs="Times New Roman"/>
          <w:sz w:val="32"/>
          <w:szCs w:val="32"/>
          <w:lang w:val="en-US" w:eastAsia="zh-CN"/>
        </w:rPr>
        <w:t>1名，审计工作相关支出减少</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b w:val="0"/>
          <w:bCs w:val="0"/>
          <w:sz w:val="32"/>
          <w:lang w:eastAsia="zh-CN"/>
        </w:rPr>
      </w:pPr>
      <w:r>
        <w:rPr>
          <w:rFonts w:hint="eastAsia" w:ascii="Times New Roman" w:hAnsi="Times New Roman" w:eastAsia="方正仿宋_GBK" w:cs="Times New Roman"/>
          <w:b w:val="0"/>
          <w:bCs w:val="0"/>
          <w:sz w:val="32"/>
          <w:lang w:eastAsia="zh-CN"/>
        </w:rPr>
        <w:t>2026年</w:t>
      </w:r>
      <w:r>
        <w:rPr>
          <w:rFonts w:hint="default" w:ascii="Times New Roman" w:hAnsi="Times New Roman" w:eastAsia="方正仿宋_GBK" w:cs="Times New Roman"/>
          <w:b w:val="0"/>
          <w:bCs w:val="0"/>
          <w:sz w:val="32"/>
        </w:rPr>
        <w:t>无使用政府性基金预算拨款安排的支出，与上年保持一致</w:t>
      </w:r>
      <w:r>
        <w:rPr>
          <w:rFonts w:hint="eastAsia" w:ascii="Times New Roman" w:hAnsi="Times New Roman" w:eastAsia="方正仿宋_GBK" w:cs="Times New Roman"/>
          <w:b w:val="0"/>
          <w:bCs w:val="0"/>
          <w:sz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rPr>
      </w:pPr>
      <w:r>
        <w:rPr>
          <w:rFonts w:hint="eastAsia" w:ascii="Times New Roman" w:hAnsi="Times New Roman" w:eastAsia="方正黑体_GBK" w:cs="仿宋_GB2312"/>
          <w:sz w:val="32"/>
        </w:rPr>
        <w:t>四</w:t>
      </w:r>
      <w:r>
        <w:rPr>
          <w:rFonts w:ascii="Times New Roman" w:hAnsi="Times New Roman" w:eastAsia="方正黑体_GBK" w:cs="仿宋_GB2312"/>
          <w:sz w:val="32"/>
        </w:rPr>
        <w:t>、</w:t>
      </w:r>
      <w:r>
        <w:rPr>
          <w:rFonts w:hint="eastAsia" w:ascii="Times New Roman" w:hAnsi="Times New Roman" w:eastAsia="方正黑体_GBK" w:cs="仿宋_GB2312"/>
          <w:sz w:val="32"/>
        </w:rPr>
        <w:t>“三公”经费情况说明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2026年</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三公</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经费预算</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与202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年保持一致</w:t>
      </w:r>
      <w:r>
        <w:rPr>
          <w:rFonts w:hint="default" w:ascii="Times New Roman" w:hAnsi="Times New Roman" w:eastAsia="方正仿宋_GBK" w:cs="Times New Roman"/>
          <w:sz w:val="32"/>
          <w:szCs w:val="32"/>
        </w:rPr>
        <w:t>。其中：因公出国（境）费用</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与上年持平</w:t>
      </w:r>
      <w:r>
        <w:rPr>
          <w:rFonts w:hint="default" w:ascii="Times New Roman" w:hAnsi="Times New Roman" w:eastAsia="方正仿宋_GBK" w:cs="Times New Roman"/>
          <w:sz w:val="32"/>
          <w:szCs w:val="32"/>
        </w:rPr>
        <w:t>；公务接待费</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与上年持平</w:t>
      </w:r>
      <w:r>
        <w:rPr>
          <w:rFonts w:hint="default" w:ascii="Times New Roman" w:hAnsi="Times New Roman" w:eastAsia="方正仿宋_GBK" w:cs="Times New Roman"/>
          <w:sz w:val="32"/>
          <w:szCs w:val="32"/>
        </w:rPr>
        <w:t>；公务用车运行维护费</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与上年持平</w:t>
      </w:r>
      <w:r>
        <w:rPr>
          <w:rFonts w:hint="default" w:ascii="Times New Roman" w:hAnsi="Times New Roman" w:eastAsia="方正仿宋_GBK" w:cs="Times New Roman"/>
          <w:sz w:val="32"/>
          <w:szCs w:val="32"/>
        </w:rPr>
        <w:t>；公务用车购置费</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与上年持平</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黑体_GBK" w:cs="仿宋_GB2312"/>
          <w:sz w:val="32"/>
        </w:rPr>
      </w:pPr>
      <w:r>
        <w:rPr>
          <w:rFonts w:hint="eastAsia" w:ascii="Times New Roman" w:hAnsi="Times New Roman" w:eastAsia="方正黑体_GBK" w:cs="仿宋_GB2312"/>
          <w:sz w:val="32"/>
        </w:rPr>
        <w:t>五、其他重要事项的情况说明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
          <w:bCs/>
          <w:sz w:val="32"/>
        </w:rPr>
      </w:pPr>
      <w:r>
        <w:rPr>
          <w:rFonts w:hint="eastAsia" w:ascii="方正楷体_GBK" w:hAnsi="方正楷体_GBK" w:eastAsia="方正楷体_GBK" w:cs="方正楷体_GBK"/>
          <w:sz w:val="32"/>
        </w:rPr>
        <w:t>（一）机关运行经费</w:t>
      </w:r>
      <w:r>
        <w:rPr>
          <w:rFonts w:hint="eastAsia" w:ascii="Times New Roman" w:hAnsi="Times New Roman" w:eastAsia="方正仿宋_GBK" w:cs="仿宋_GB2312"/>
          <w:sz w:val="32"/>
        </w:rPr>
        <w:t>。</w:t>
      </w:r>
      <w:r>
        <w:rPr>
          <w:rFonts w:hint="eastAsia" w:ascii="Times New Roman" w:hAnsi="Times New Roman" w:eastAsia="方正仿宋_GBK" w:cs="Times New Roman"/>
          <w:sz w:val="32"/>
          <w:szCs w:val="32"/>
          <w:lang w:eastAsia="zh-CN"/>
        </w:rPr>
        <w:t>2026年</w:t>
      </w:r>
      <w:r>
        <w:rPr>
          <w:rFonts w:hint="default" w:ascii="Times New Roman" w:hAnsi="Times New Roman" w:eastAsia="方正仿宋_GBK" w:cs="Times New Roman"/>
          <w:sz w:val="32"/>
          <w:szCs w:val="32"/>
        </w:rPr>
        <w:t>一般公共预算财政拨款运行经费114.26万元，</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增加3.13万元，主要原因为</w:t>
      </w:r>
      <w:r>
        <w:rPr>
          <w:rFonts w:hint="eastAsia" w:ascii="Times New Roman" w:hAnsi="Times New Roman" w:eastAsia="方正仿宋_GBK" w:cs="Times New Roman"/>
          <w:sz w:val="32"/>
          <w:szCs w:val="32"/>
          <w:lang w:val="en-US" w:eastAsia="zh-CN"/>
        </w:rPr>
        <w:t>2026年审计计划增多，相关费用支出增加</w:t>
      </w:r>
      <w:r>
        <w:rPr>
          <w:rFonts w:hint="default" w:ascii="Times New Roman" w:hAnsi="Times New Roman" w:eastAsia="方正仿宋_GBK" w:cs="Times New Roman"/>
          <w:sz w:val="32"/>
          <w:szCs w:val="32"/>
        </w:rPr>
        <w:t>；主要用于办公费、印刷费、邮电费、水电</w:t>
      </w:r>
      <w:r>
        <w:rPr>
          <w:rFonts w:hint="default" w:ascii="Times New Roman" w:hAnsi="Times New Roman" w:eastAsia="方正仿宋_GBK" w:cs="Times New Roman"/>
          <w:sz w:val="32"/>
        </w:rPr>
        <w:t>费、物管费、差旅费、会议费、培训费及其他商品和服务支出等。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rPr>
      </w:pPr>
      <w:r>
        <w:rPr>
          <w:rFonts w:hint="eastAsia" w:ascii="方正楷体_GBK" w:hAnsi="方正楷体_GBK" w:eastAsia="方正楷体_GBK" w:cs="方正楷体_GBK"/>
          <w:sz w:val="32"/>
        </w:rPr>
        <w:t>（二）政府采购情况</w:t>
      </w:r>
      <w:r>
        <w:rPr>
          <w:rFonts w:hint="eastAsia" w:ascii="Times New Roman" w:hAnsi="Times New Roman" w:eastAsia="方正仿宋_GBK" w:cs="仿宋_GB2312"/>
          <w:sz w:val="32"/>
        </w:rPr>
        <w:t>。本单位政府采购预算总额</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万元：政府采购货物预算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万元、政府采购工程预算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万元、政府采购服务预算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万元；其中一般公共预算拨款政府采购</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万元：政府采购货物预算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万元、政府采购工程预算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万元、政府采购服务预算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color w:val="000000"/>
          <w:sz w:val="32"/>
        </w:rPr>
      </w:pPr>
      <w:r>
        <w:rPr>
          <w:rFonts w:hint="eastAsia" w:ascii="方正楷体_GBK" w:hAnsi="方正楷体_GBK" w:eastAsia="方正楷体_GBK" w:cs="方正楷体_GBK"/>
          <w:sz w:val="32"/>
        </w:rPr>
        <w:t>（三）绩效目标设置情况</w:t>
      </w:r>
      <w:r>
        <w:rPr>
          <w:rFonts w:hint="eastAsia" w:ascii="Times New Roman" w:hAnsi="Times New Roman" w:eastAsia="方正仿宋_GBK" w:cs="仿宋_GB2312"/>
          <w:sz w:val="32"/>
        </w:rPr>
        <w:t>。</w:t>
      </w:r>
      <w:r>
        <w:rPr>
          <w:rFonts w:hint="eastAsia" w:ascii="Times New Roman" w:hAnsi="Times New Roman" w:eastAsia="方正仿宋_GBK" w:cs="仿宋_GB2312"/>
          <w:color w:val="000000"/>
          <w:sz w:val="32"/>
          <w:lang w:eastAsia="zh-CN"/>
        </w:rPr>
        <w:t>2026年</w:t>
      </w:r>
      <w:r>
        <w:rPr>
          <w:rFonts w:hint="eastAsia" w:ascii="Times New Roman" w:hAnsi="Times New Roman" w:eastAsia="方正仿宋_GBK" w:cs="仿宋_GB2312"/>
          <w:color w:val="000000"/>
          <w:sz w:val="32"/>
        </w:rPr>
        <w:t>项目支出均实行了绩效目标管理，涉及一般公共预算财政拨款</w:t>
      </w:r>
      <w:r>
        <w:rPr>
          <w:rFonts w:hint="eastAsia" w:ascii="Times New Roman" w:hAnsi="Times New Roman" w:eastAsia="方正仿宋_GBK" w:cs="仿宋_GB2312"/>
          <w:color w:val="000000"/>
          <w:sz w:val="32"/>
          <w:lang w:val="en-US" w:eastAsia="zh-CN"/>
        </w:rPr>
        <w:t>75</w:t>
      </w:r>
      <w:r>
        <w:rPr>
          <w:rFonts w:hint="eastAsia" w:ascii="Times New Roman" w:hAnsi="Times New Roman" w:eastAsia="方正仿宋_GBK" w:cs="仿宋_GB2312"/>
          <w:color w:val="000000"/>
          <w:sz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color w:val="000000"/>
          <w:sz w:val="32"/>
        </w:rPr>
      </w:pPr>
      <w:r>
        <w:rPr>
          <w:rFonts w:hint="eastAsia" w:ascii="方正楷体_GBK" w:hAnsi="方正楷体_GBK" w:eastAsia="方正楷体_GBK" w:cs="方正楷体_GBK"/>
          <w:sz w:val="32"/>
        </w:rPr>
        <w:t>（四）国有资产占有使用情况</w:t>
      </w:r>
      <w:r>
        <w:rPr>
          <w:rFonts w:hint="eastAsia" w:ascii="Times New Roman" w:hAnsi="Times New Roman" w:eastAsia="方正仿宋_GBK" w:cs="仿宋_GB2312"/>
          <w:color w:val="000000"/>
          <w:sz w:val="32"/>
        </w:rPr>
        <w:t>。截</w:t>
      </w:r>
      <w:r>
        <w:rPr>
          <w:rFonts w:hint="eastAsia" w:ascii="Times New Roman" w:hAnsi="Times New Roman" w:eastAsia="方正仿宋_GBK" w:cs="仿宋_GB2312"/>
          <w:color w:val="000000"/>
          <w:sz w:val="32"/>
          <w:lang w:eastAsia="zh-CN"/>
        </w:rPr>
        <w:t>至202</w:t>
      </w:r>
      <w:r>
        <w:rPr>
          <w:rFonts w:hint="eastAsia" w:ascii="Times New Roman" w:hAnsi="Times New Roman" w:eastAsia="方正仿宋_GBK" w:cs="仿宋_GB2312"/>
          <w:color w:val="000000"/>
          <w:sz w:val="32"/>
          <w:lang w:val="en-US" w:eastAsia="zh-CN"/>
        </w:rPr>
        <w:t>5</w:t>
      </w:r>
      <w:r>
        <w:rPr>
          <w:rFonts w:hint="eastAsia" w:ascii="Times New Roman" w:hAnsi="Times New Roman" w:eastAsia="方正仿宋_GBK" w:cs="仿宋_GB2312"/>
          <w:color w:val="000000"/>
          <w:sz w:val="32"/>
          <w:lang w:eastAsia="zh-CN"/>
        </w:rPr>
        <w:t>年</w:t>
      </w:r>
      <w:r>
        <w:rPr>
          <w:rFonts w:hint="eastAsia" w:ascii="Times New Roman" w:hAnsi="Times New Roman" w:eastAsia="方正仿宋_GBK" w:cs="仿宋_GB2312"/>
          <w:color w:val="000000"/>
          <w:sz w:val="32"/>
        </w:rPr>
        <w:t>12月，本单位共有车辆</w:t>
      </w:r>
      <w:r>
        <w:rPr>
          <w:rFonts w:hint="eastAsia" w:ascii="Times New Roman" w:hAnsi="Times New Roman" w:eastAsia="方正仿宋_GBK" w:cs="Times New Roman"/>
          <w:sz w:val="32"/>
          <w:szCs w:val="32"/>
          <w:lang w:val="en-US" w:eastAsia="zh-CN"/>
        </w:rPr>
        <w:t>0</w:t>
      </w:r>
      <w:r>
        <w:rPr>
          <w:rFonts w:hint="eastAsia" w:ascii="Times New Roman" w:hAnsi="Times New Roman" w:eastAsia="方正仿宋_GBK" w:cs="仿宋_GB2312"/>
          <w:color w:val="000000"/>
          <w:sz w:val="32"/>
        </w:rPr>
        <w:t>辆，其中业务用车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辆，机要通信用车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辆，应急保障用车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辆，特种专业技术用车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辆，执法执勤用车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辆，其他按照规定配备的公务用车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w:t>
      </w:r>
      <w:r>
        <w:rPr>
          <w:rFonts w:hint="eastAsia" w:ascii="Times New Roman" w:hAnsi="Times New Roman" w:eastAsia="方正仿宋_GBK" w:cs="仿宋_GB2312"/>
          <w:color w:val="000000"/>
          <w:sz w:val="32"/>
          <w:lang w:eastAsia="zh-CN"/>
        </w:rPr>
        <w:t>2026年</w:t>
      </w:r>
      <w:r>
        <w:rPr>
          <w:rFonts w:hint="eastAsia" w:ascii="Times New Roman" w:hAnsi="Times New Roman" w:eastAsia="方正仿宋_GBK" w:cs="仿宋_GB2312"/>
          <w:color w:val="000000"/>
          <w:sz w:val="32"/>
        </w:rPr>
        <w:t>一般公共预算安排购置车辆</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辆，其中业务用车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辆，机要通信用车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辆，应急保障用车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辆，特种专业技术用车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辆，执法执勤用车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辆，其他按照规定配备的公务用车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color w:val="000000"/>
          <w:sz w:val="32"/>
        </w:rPr>
      </w:pPr>
      <w:r>
        <w:rPr>
          <w:rFonts w:hint="eastAsia" w:ascii="方正楷体_GBK" w:hAnsi="方正楷体_GBK" w:eastAsia="方正楷体_GBK" w:cs="方正楷体_GBK"/>
          <w:sz w:val="32"/>
          <w:szCs w:val="32"/>
          <w:lang w:val="en-US" w:eastAsia="zh-CN"/>
        </w:rPr>
        <w:t>（五）委托业务费情况。</w:t>
      </w:r>
      <w:r>
        <w:rPr>
          <w:rFonts w:hint="eastAsia" w:ascii="Times New Roman" w:hAnsi="Times New Roman" w:eastAsia="方正仿宋_GBK" w:cs="Times New Roman"/>
          <w:color w:val="auto"/>
          <w:sz w:val="32"/>
          <w:szCs w:val="32"/>
          <w:highlight w:val="none"/>
          <w:lang w:val="en-US" w:eastAsia="zh-CN"/>
        </w:rPr>
        <w:t>2026年委托业务费涉及</w:t>
      </w:r>
      <w:r>
        <w:rPr>
          <w:rFonts w:hint="eastAsia" w:ascii="Times New Roman" w:hAnsi="Times New Roman" w:eastAsia="方正仿宋_GBK" w:cs="Times New Roman"/>
          <w:sz w:val="32"/>
          <w:szCs w:val="32"/>
        </w:rPr>
        <w:t>财政拨款</w:t>
      </w:r>
      <w:r>
        <w:rPr>
          <w:rFonts w:hint="eastAsia" w:ascii="Times New Roman" w:hAnsi="Times New Roman" w:eastAsia="方正仿宋_GBK" w:cs="Times New Roman"/>
          <w:color w:val="auto"/>
          <w:sz w:val="32"/>
          <w:szCs w:val="32"/>
          <w:highlight w:val="none"/>
          <w:lang w:val="en-US" w:eastAsia="zh-CN"/>
        </w:rPr>
        <w:t>资金0万元。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黑体_GBK" w:cs="仿宋_GB2312"/>
          <w:sz w:val="32"/>
        </w:rPr>
      </w:pPr>
      <w:r>
        <w:rPr>
          <w:rFonts w:hint="default" w:ascii="Times New Roman" w:hAnsi="Times New Roman" w:eastAsia="方正黑体_GBK" w:cs="Times New Roman"/>
          <w:sz w:val="32"/>
        </w:rPr>
        <w:t>六、专业性名词解释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（一）财政拨款收入</w:t>
      </w:r>
      <w:r>
        <w:rPr>
          <w:rFonts w:hint="eastAsia" w:ascii="Times New Roman" w:hAnsi="Times New Roman" w:eastAsia="方正仿宋_GBK" w:cs="Times New Roman"/>
          <w:sz w:val="32"/>
          <w:szCs w:val="32"/>
        </w:rPr>
        <w:t>：指单位从同级财政部门取得的各类财政拨款</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包括一般公共预算财政拨款、政府性基金预算财政拨款、国有资本经营预算财政拨款。单位根据以前年度预算安排、项目需求等情况合理预计。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（二）财政专户管理资金收入</w:t>
      </w:r>
      <w:r>
        <w:rPr>
          <w:rFonts w:hint="eastAsia" w:ascii="Times New Roman" w:hAnsi="Times New Roman" w:eastAsia="方正仿宋_GBK" w:cs="Times New Roman"/>
          <w:sz w:val="32"/>
          <w:szCs w:val="32"/>
        </w:rPr>
        <w:t>：指缴入财政专户、实行专项管理的高中以上学费、住宿费、高校委托培养费、函大、电大、夜大及短训班培训费等教育收费。单位根据教育收费标准、学生人数等合理预计。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（三）事业收入（不含教育收费）</w:t>
      </w:r>
      <w:r>
        <w:rPr>
          <w:rFonts w:hint="eastAsia" w:ascii="Times New Roman" w:hAnsi="Times New Roman" w:eastAsia="方正仿宋_GBK" w:cs="Times New Roman"/>
          <w:sz w:val="32"/>
          <w:szCs w:val="32"/>
        </w:rPr>
        <w:t>：指事业单位开展专业业务活动及其辅助活动取得的收入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不包括教育收费。单位根据本年度事业单位开展专业业务活动及其辅助活动计划</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结合上年度收入等情况进行预计。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（四）上级补助收入</w:t>
      </w:r>
      <w:r>
        <w:rPr>
          <w:rFonts w:hint="eastAsia" w:ascii="Times New Roman" w:hAnsi="Times New Roman" w:eastAsia="方正仿宋_GBK" w:cs="Times New Roman"/>
          <w:sz w:val="32"/>
          <w:szCs w:val="32"/>
        </w:rPr>
        <w:t>：指从主管部门或上级单位取得的财政拨款以外的其他补助收入。单位结合上年度上级补助收入等情况进行预计。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（五）附属单位上缴收入</w:t>
      </w:r>
      <w:r>
        <w:rPr>
          <w:rFonts w:hint="eastAsia" w:ascii="Times New Roman" w:hAnsi="Times New Roman" w:eastAsia="方正仿宋_GBK" w:cs="Times New Roman"/>
          <w:sz w:val="32"/>
          <w:szCs w:val="32"/>
        </w:rPr>
        <w:t>：指本单位所属下级单位上缴给本单位的全部收入（包括下级事业单位上缴的事业收入、其他收入和下级企业单位上缴的利润等）。单位结合上年度附属单位上缴收入等情况商附属单位进行预计。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（六）事业单位经营收入</w:t>
      </w:r>
      <w:r>
        <w:rPr>
          <w:rFonts w:hint="eastAsia" w:ascii="Times New Roman" w:hAnsi="Times New Roman" w:eastAsia="方正仿宋_GBK" w:cs="Times New Roman"/>
          <w:sz w:val="32"/>
          <w:szCs w:val="32"/>
        </w:rPr>
        <w:t>：指事业单位在专业业务活动及其辅助活动之外开展非独立核算经营活动取得的收入。单位应当根据本年度事业单位经营活动计划</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结合上年度事业单位经营收入规模、经营状况和市场行情等因素进行预计。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（七）其他收入</w:t>
      </w:r>
      <w:r>
        <w:rPr>
          <w:rFonts w:hint="eastAsia" w:ascii="Times New Roman" w:hAnsi="Times New Roman" w:eastAsia="方正仿宋_GBK" w:cs="Times New Roman"/>
          <w:sz w:val="32"/>
          <w:szCs w:val="32"/>
        </w:rPr>
        <w:t>：指债务收入、投资收益等收入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单位根据情况合理预计</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全部编入预算。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（八）上年结转结余资金</w:t>
      </w:r>
      <w:r>
        <w:rPr>
          <w:rFonts w:hint="eastAsia" w:ascii="Times New Roman" w:hAnsi="Times New Roman" w:eastAsia="方正仿宋_GBK" w:cs="Times New Roman"/>
          <w:sz w:val="32"/>
          <w:szCs w:val="32"/>
        </w:rPr>
        <w:t>：包括财政拨款结转、财政拨款结余、财政专户管理资金结转结余和单位资金结转结余。财政拨款结转是指项目实施周期内</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年度预算执行结束时</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预算未全部执行或因故未执行</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下年需要按照原用途继续使用的财政拨款资金。财政拨款结余是指当年预算工作目标已完成</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或者因故终止</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当年剩余的财政拨款资金。财政专户管理资金结转结余、单位资金结转结余是指年度预算执行结束时</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当年实际剩余的财政专户资金、单位资金。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（九）基本支出</w:t>
      </w:r>
      <w:r>
        <w:rPr>
          <w:rFonts w:hint="eastAsia"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（十）项目支出</w:t>
      </w:r>
      <w:r>
        <w:rPr>
          <w:rFonts w:hint="eastAsia"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color w:val="auto"/>
          <w:sz w:val="32"/>
          <w:szCs w:val="32"/>
        </w:rPr>
      </w:pPr>
      <w:r>
        <w:rPr>
          <w:rFonts w:hint="eastAsia" w:ascii="Times New Roman" w:hAnsi="Times New Roman" w:eastAsia="方正楷体_GBK" w:cs="Times New Roman"/>
          <w:color w:val="auto"/>
          <w:sz w:val="32"/>
          <w:szCs w:val="24"/>
        </w:rPr>
        <w:t>（十一）“三公”经费</w:t>
      </w:r>
      <w:r>
        <w:rPr>
          <w:rFonts w:hint="eastAsia" w:ascii="Times New Roman" w:hAnsi="Times New Roman" w:eastAsia="方正仿宋_GBK" w:cs="Times New Roman"/>
          <w:color w:val="auto"/>
          <w:sz w:val="32"/>
          <w:szCs w:val="32"/>
        </w:rPr>
        <w:t>：指用财政拨款安排的因公出国（境）费、公务用车购置及运行维护费、公务接待费。其中</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因公出国（境）费反映单位公务出国（境）的国际旅费、国外城市间交通费、住宿费、伙食费、培训费、公杂费等支出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公务用车购置费反映单位公务用车购置支出（含车辆购置税）</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公务用车运行维护费反映单位按规定保留的公务用车燃料费</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维修费</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过路过桥费、保险费、安全奖励费用等支出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（十二）机关运行经费</w:t>
      </w:r>
      <w:r>
        <w:rPr>
          <w:rFonts w:hint="eastAsia" w:ascii="Times New Roman" w:hAnsi="Times New Roman" w:eastAsia="方正仿宋_GBK" w:cs="Times New Roman"/>
          <w:sz w:val="32"/>
          <w:szCs w:val="32"/>
        </w:rPr>
        <w:t>：为保障行政单位（含参照公务员法管理的事业单位）运行用于购买货物和服务等的各项公用经费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包括办公及印刷费、邮电费、差旅费、会议费、福利费、日常维护费、专用材料及一般设备购置费、办公用房水电费、办公用房物业管理费、公务用车运行维护费以及其他费用。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（十三）工资福利支出（支出经济分类科目类级）</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反映单位开支的在职职工和编制外长期聘用人员的各类劳动报酬</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（十四）商品和服务支出（支出经济分类科目类级）</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（十五）对个人和家庭的补助（支出经济分类科目类级）</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反映用于对个人和家庭的补助支出。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24"/>
        </w:rPr>
        <w:t>（十六）其他资本性支出（支出经济分类科目类级）</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反映非本级发展与改革部门集中安排的用于购置固定资产、战略性和应急性储备、土地和无形资产</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预算公开联系人：</w:t>
      </w:r>
      <w:r>
        <w:rPr>
          <w:rFonts w:hint="eastAsia" w:ascii="Times New Roman" w:hAnsi="Times New Roman" w:eastAsia="方正仿宋_GBK" w:cs="Times New Roman"/>
          <w:sz w:val="32"/>
          <w:szCs w:val="32"/>
          <w:lang w:val="en-US" w:eastAsia="zh-CN"/>
        </w:rPr>
        <w:t>雒宋豪</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联系方式：</w:t>
      </w:r>
      <w:r>
        <w:rPr>
          <w:rFonts w:hint="default" w:ascii="Times New Roman" w:hAnsi="Times New Roman" w:eastAsia="方正仿宋_GBK" w:cs="Times New Roman"/>
          <w:sz w:val="32"/>
          <w:szCs w:val="32"/>
          <w:highlight w:val="none"/>
          <w:lang w:val="en-US" w:eastAsia="zh-CN"/>
        </w:rPr>
        <w:t>023-</w:t>
      </w:r>
      <w:r>
        <w:rPr>
          <w:rFonts w:hint="eastAsia" w:ascii="Times New Roman" w:hAnsi="Times New Roman" w:eastAsia="方正仿宋_GBK" w:cs="Times New Roman"/>
          <w:sz w:val="32"/>
          <w:szCs w:val="32"/>
          <w:highlight w:val="none"/>
          <w:lang w:val="en-US" w:eastAsia="zh-CN"/>
        </w:rPr>
        <w:t>48678900</w:t>
      </w:r>
      <w:bookmarkStart w:id="0" w:name="_GoBack"/>
      <w:bookmarkEnd w:id="0"/>
    </w:p>
    <w:sectPr>
      <w:footerReference r:id="rId3" w:type="default"/>
      <w:pgSz w:w="11906" w:h="16838"/>
      <w:pgMar w:top="2098" w:right="1531" w:bottom="1985" w:left="1531"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黑体_GBK">
    <w:panose1 w:val="02000000000000000000"/>
    <w:charset w:val="86"/>
    <w:family w:val="script"/>
    <w:pitch w:val="default"/>
    <w:sig w:usb0="00000001" w:usb1="08000000" w:usb2="00000000" w:usb3="00000000" w:csb0="00040000" w:csb1="00000000"/>
  </w:font>
  <w:font w:name="仿宋_GB2312">
    <w:altName w:val="宋体"/>
    <w:panose1 w:val="02010609030101010101"/>
    <w:charset w:val="86"/>
    <w:family w:val="modern"/>
    <w:pitch w:val="default"/>
    <w:sig w:usb0="00000000" w:usb1="00000000" w:usb2="00000010" w:usb3="00000000" w:csb0="00040000" w:csb1="00000000"/>
  </w:font>
  <w:font w:name="方正楷体_GBK">
    <w:panose1 w:val="02000000000000000000"/>
    <w:charset w:val="86"/>
    <w:family w:val="script"/>
    <w:pitch w:val="default"/>
    <w:sig w:usb0="00000001" w:usb1="08000000" w:usb2="00000000" w:usb3="00000000" w:csb0="00040000" w:csb1="00000000"/>
  </w:font>
  <w:font w:name="WenQuanYi Micro Hei">
    <w:altName w:val="方正宋体S-超大字符集(SIP)"/>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ascii="Times New Roman" w:hAnsi="Times New Roman" w:eastAsia="方正楷体_GBK"/>
        <w:sz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FE26D"/>
    <w:multiLevelType w:val="singleLevel"/>
    <w:tmpl w:val="9E8FE26D"/>
    <w:lvl w:ilvl="0" w:tentative="0">
      <w:start w:val="1"/>
      <w:numFmt w:val="chineseCounting"/>
      <w:suff w:val="nothing"/>
      <w:lvlText w:val="（%1）"/>
      <w:lvlJc w:val="left"/>
      <w:rPr>
        <w:rFonts w:hint="eastAsia"/>
      </w:rPr>
    </w:lvl>
  </w:abstractNum>
  <w:abstractNum w:abstractNumId="1">
    <w:nsid w:val="69E064B4"/>
    <w:multiLevelType w:val="singleLevel"/>
    <w:tmpl w:val="69E064B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3640E"/>
    <w:rsid w:val="050304C8"/>
    <w:rsid w:val="0E5C4A5A"/>
    <w:rsid w:val="16EC6919"/>
    <w:rsid w:val="4803640E"/>
    <w:rsid w:val="5BCF3167"/>
    <w:rsid w:val="5EFF1589"/>
    <w:rsid w:val="68C063D0"/>
    <w:rsid w:val="6BDF239D"/>
    <w:rsid w:val="703B9698"/>
    <w:rsid w:val="71306040"/>
    <w:rsid w:val="7B7D6690"/>
    <w:rsid w:val="7D730B36"/>
    <w:rsid w:val="7E1FE6B3"/>
    <w:rsid w:val="7EFF3C08"/>
    <w:rsid w:val="7F1D9E97"/>
    <w:rsid w:val="8F7B2FF6"/>
    <w:rsid w:val="967DA5F4"/>
    <w:rsid w:val="A2BF1BC8"/>
    <w:rsid w:val="ADDB6BF7"/>
    <w:rsid w:val="B2FDEF08"/>
    <w:rsid w:val="BFB542C3"/>
    <w:rsid w:val="C2F20A04"/>
    <w:rsid w:val="C6FA815A"/>
    <w:rsid w:val="CFF6862B"/>
    <w:rsid w:val="DBEF0D23"/>
    <w:rsid w:val="EF4D6E4F"/>
    <w:rsid w:val="FA6E8E49"/>
    <w:rsid w:val="FF7766B0"/>
    <w:rsid w:val="FF8DF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unhideWhenUsed/>
    <w:qFormat/>
    <w:uiPriority w:val="0"/>
  </w:style>
  <w:style w:type="paragraph" w:customStyle="1" w:styleId="7">
    <w:name w:val="普通(网站) Char"/>
    <w:basedOn w:val="1"/>
    <w:qFormat/>
    <w:uiPriority w:val="0"/>
    <w:pPr>
      <w:keepNext w:val="0"/>
      <w:keepLines w:val="0"/>
      <w:widowControl w:val="0"/>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8">
    <w:name w:val="font01"/>
    <w:basedOn w:val="5"/>
    <w:qFormat/>
    <w:uiPriority w:val="0"/>
    <w:rPr>
      <w:rFonts w:hint="eastAsia" w:ascii="方正仿宋_GBK" w:hAnsi="方正仿宋_GBK" w:eastAsia="方正仿宋_GBK" w:cs="方正仿宋_GBK"/>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2026-01-17T01:32:00Z</dcterms:created>
  <dc:creator>马小铜</dc:creator>
  <cp:lastModifiedBy>guest</cp:lastModifiedBy>
  <dcterms:modified xsi:type="dcterms:W3CDTF">2026-03-02T12:37:06Z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