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ascii="Times New Roman" w:hAnsi="Times New Roman" w:eastAsia="方正仿宋_GBK" w:cs="华文中宋"/>
          <w:b/>
          <w:sz w:val="32"/>
          <w:szCs w:val="32"/>
        </w:rPr>
      </w:pPr>
    </w:p>
    <w:p>
      <w:pPr>
        <w:spacing w:line="600" w:lineRule="exact"/>
        <w:jc w:val="center"/>
        <w:rPr>
          <w:rFonts w:hint="eastAsia"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lang w:val="en-US" w:eastAsia="zh-CN"/>
        </w:rPr>
        <w:t>重庆市綦江区审计局</w:t>
      </w:r>
    </w:p>
    <w:p>
      <w:pPr>
        <w:spacing w:line="600" w:lineRule="exact"/>
        <w:jc w:val="center"/>
        <w:rPr>
          <w:rFonts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2025年单位预算情况说明</w:t>
      </w:r>
    </w:p>
    <w:p>
      <w:pPr>
        <w:spacing w:line="600" w:lineRule="exact"/>
        <w:ind w:firstLine="640" w:firstLineChars="200"/>
        <w:rPr>
          <w:rFonts w:ascii="Times New Roman" w:hAnsi="Times New Roman" w:eastAsia="方正黑体_GBK" w:cs="仿宋_GB2312"/>
          <w:sz w:val="32"/>
        </w:rPr>
      </w:pPr>
    </w:p>
    <w:p>
      <w:p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一、单位基本情况</w:t>
      </w:r>
    </w:p>
    <w:p>
      <w:pPr>
        <w:spacing w:line="600" w:lineRule="exact"/>
        <w:ind w:firstLine="640" w:firstLineChars="200"/>
        <w:rPr>
          <w:rFonts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pPr>
        <w:spacing w:line="600" w:lineRule="exact"/>
        <w:ind w:firstLine="640" w:firstLineChars="200"/>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1. 重庆市綦江区审计局主要职能职责有：</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1</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负责对法律</w:t>
      </w:r>
      <w:r>
        <w:rPr>
          <w:rFonts w:hint="eastAsia" w:ascii="方正仿宋_GBK" w:hAnsi="方正仿宋_GBK" w:eastAsia="方正仿宋_GBK" w:cs="方正仿宋_GBK"/>
          <w:kern w:val="0"/>
          <w:sz w:val="32"/>
          <w:szCs w:val="32"/>
          <w:shd w:val="clear" w:fill="FFFFFF"/>
          <w:lang w:val="en-US" w:eastAsia="zh-CN" w:bidi="ar"/>
        </w:rPr>
        <w:t>法规规定属于审计监督范围的财政收支和财务收支的真实、合法和效益进行审计监督，维护财政经济秩序，提高财政资金使用效益，促进廉政建设。</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2</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负责对国家重大政策措施和宏观调控部署落实情况进行跟踪审计。</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3</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负责对本级财政预算执行情况和其他财政收支情况、本级决算（草案）编制情况进行审计监督；对下级财政预算执行情况、决算以及其他财政收支情况进行审计监督；对财政收支有关事项进行专项审计调查。</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4</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负责对本级各部门预算执行情况、决算和其他财政收支情况进行审计监督；对组织和使用财政资金的事业单位、社会团体的财务收支进行审计监督。</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5</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负责对区属国有和国有资本占控股或主导地位的企业资产、负债、损益进行审计监督；对国有企业有关事项进行专项审计调查。</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6</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负责对区政府投资和以区政府投资为主的建设项目的预</w:t>
      </w:r>
      <w:r>
        <w:rPr>
          <w:rFonts w:hint="eastAsia" w:ascii="方正仿宋_GBK" w:hAnsi="方正仿宋_GBK" w:eastAsia="方正仿宋_GBK" w:cs="方正仿宋_GBK"/>
          <w:kern w:val="0"/>
          <w:sz w:val="32"/>
          <w:szCs w:val="32"/>
          <w:shd w:val="clear" w:fill="FFFFFF"/>
          <w:lang w:val="en-US" w:eastAsia="zh-CN" w:bidi="ar"/>
        </w:rPr>
        <w:t>算执行情况和决算进行审计监督。</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7</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根据干部管理权限，负责对党政机关主要领导干部和国有企业领导人员经济责任履行情况进行审计监督；对领导干部实行自然资源资产离任审计。</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8</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负责对区级管理的社会保障基金、社会捐赠资金及其他有关基金、资金的财务收支进行审计监督；受托对国际组织和外国政府援助、贷款项目的财务收支进行审计监督。</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9</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依法检查审计决定执行情况，督促纠正和按法定权限处理审计发现的问题，依法办理被审计单位对审计决定提请行政复议、行政诉讼或区人民政府裁决中的有关事项。</w:t>
      </w:r>
      <w:bookmarkStart w:id="0" w:name="_GoBack"/>
      <w:bookmarkEnd w:id="0"/>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10</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指导和监督内部审计工作，核查社会审计机构对依法属于审计监督对象的单位出具的相关审计报告。</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11</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自然资源资产管理、污染防治和生态保护与修复的审计职责。</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12</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重大项目稽察职责。</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13</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本级预算执行情况和其他财政收支情况的监督检查职责。</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14</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区国资管理部门国有企业领导干部经济责任审计和国有企业监事会的职责。</w:t>
      </w:r>
    </w:p>
    <w:p>
      <w:pPr>
        <w:pStyle w:val="5"/>
        <w:keepNext w:val="0"/>
        <w:keepLines w:val="0"/>
        <w:widowControl w:val="0"/>
        <w:suppressLineNumbers w:val="0"/>
        <w:autoSpaceDE w:val="0"/>
        <w:autoSpaceDN/>
        <w:spacing w:before="0" w:beforeAutospacing="0" w:after="0" w:afterAutospacing="0" w:line="560" w:lineRule="exact"/>
        <w:ind w:left="0" w:right="0" w:rightChars="0" w:firstLine="640" w:firstLineChars="200"/>
        <w:jc w:val="left"/>
        <w:rPr>
          <w:rFonts w:hint="eastAsia" w:ascii="Times New Roman" w:hAnsi="Times New Roman" w:eastAsia="方正仿宋_GBK" w:cs="Times New Roman"/>
          <w:kern w:val="2"/>
          <w:sz w:val="32"/>
          <w:szCs w:val="32"/>
          <w:shd w:val="clear" w:fill="FFFFFF"/>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15</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2"/>
          <w:sz w:val="32"/>
          <w:szCs w:val="32"/>
          <w:shd w:val="clear" w:fill="FFFFFF"/>
          <w:lang w:val="en-US" w:eastAsia="zh-CN" w:bidi="ar"/>
        </w:rPr>
        <w:t>承担上级审计机关和区人民政府交办的其他事项。</w:t>
      </w:r>
    </w:p>
    <w:p>
      <w:pPr>
        <w:spacing w:line="600" w:lineRule="exact"/>
        <w:ind w:firstLine="640" w:firstLineChars="200"/>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2. 重庆市綦江区审计中心的职能职责有：</w:t>
      </w:r>
    </w:p>
    <w:p>
      <w:pPr>
        <w:pStyle w:val="15"/>
        <w:keepNext w:val="0"/>
        <w:keepLines w:val="0"/>
        <w:widowControl w:val="0"/>
        <w:suppressLineNumbers w:val="0"/>
        <w:autoSpaceDE w:val="0"/>
        <w:autoSpaceDN/>
        <w:spacing w:before="0" w:beforeAutospacing="0" w:after="0" w:afterAutospacing="0"/>
        <w:ind w:left="0" w:leftChars="0" w:right="0" w:rightChars="0" w:firstLine="640" w:firstLineChars="200"/>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2"/>
          <w:sz w:val="32"/>
          <w:szCs w:val="32"/>
          <w:shd w:val="clear" w:fill="FFFFFF"/>
          <w:lang w:val="en-US" w:eastAsia="zh-CN" w:bidi="ar"/>
        </w:rPr>
        <w:t>（</w:t>
      </w:r>
      <w:r>
        <w:rPr>
          <w:rFonts w:hint="default" w:ascii="Times New Roman" w:hAnsi="Times New Roman" w:eastAsia="方正仿宋_GBK" w:cs="Times New Roman"/>
          <w:kern w:val="2"/>
          <w:sz w:val="32"/>
          <w:szCs w:val="32"/>
          <w:shd w:val="clear" w:fill="FFFFFF"/>
          <w:lang w:val="en-US" w:eastAsia="zh-CN" w:bidi="ar"/>
        </w:rPr>
        <w:t>1</w:t>
      </w:r>
      <w:r>
        <w:rPr>
          <w:rFonts w:hint="eastAsia" w:ascii="Times New Roman" w:hAnsi="Times New Roman" w:eastAsia="方正仿宋_GBK" w:cs="Times New Roman"/>
          <w:kern w:val="2"/>
          <w:sz w:val="32"/>
          <w:szCs w:val="32"/>
          <w:shd w:val="clear" w:fill="FFFFFF"/>
          <w:lang w:val="en-US" w:eastAsia="zh-CN" w:bidi="ar"/>
        </w:rPr>
        <w:t>）</w:t>
      </w:r>
      <w:r>
        <w:rPr>
          <w:rFonts w:hint="eastAsia" w:ascii="方正仿宋_GBK" w:hAnsi="方正仿宋_GBK" w:eastAsia="方正仿宋_GBK" w:cs="方正仿宋_GBK"/>
          <w:kern w:val="0"/>
          <w:sz w:val="32"/>
          <w:szCs w:val="32"/>
          <w:shd w:val="clear" w:fill="FFFFFF"/>
        </w:rPr>
        <w:t>承担审计业务的事务性工作。主要包括承担主管部</w:t>
      </w:r>
      <w:r>
        <w:rPr>
          <w:rFonts w:hint="eastAsia" w:ascii="方正仿宋_GBK" w:hAnsi="方正仿宋_GBK" w:eastAsia="方正仿宋_GBK" w:cs="方正仿宋_GBK"/>
          <w:kern w:val="0"/>
          <w:sz w:val="32"/>
          <w:szCs w:val="32"/>
        </w:rPr>
        <w:t>门安排的投资类、行政及企事业类、专项调查类等审计业务的事务性工作</w:t>
      </w:r>
      <w:r>
        <w:rPr>
          <w:rFonts w:hint="eastAsia" w:ascii="方正仿宋_GBK" w:hAnsi="方正仿宋_GBK" w:eastAsia="方正仿宋_GBK" w:cs="方正仿宋_GBK"/>
          <w:kern w:val="0"/>
          <w:sz w:val="32"/>
          <w:szCs w:val="32"/>
          <w:lang w:eastAsia="zh-CN"/>
        </w:rPr>
        <w:t>。</w:t>
      </w:r>
    </w:p>
    <w:p>
      <w:pPr>
        <w:pStyle w:val="15"/>
        <w:keepNext w:val="0"/>
        <w:keepLines w:val="0"/>
        <w:widowControl w:val="0"/>
        <w:suppressLineNumbers w:val="0"/>
        <w:autoSpaceDE w:val="0"/>
        <w:autoSpaceDN/>
        <w:spacing w:before="0" w:beforeAutospacing="0" w:after="0" w:afterAutospacing="0"/>
        <w:ind w:left="0" w:leftChars="0" w:right="0" w:rightChars="0" w:firstLine="640" w:firstLineChars="200"/>
        <w:rPr>
          <w:rFonts w:hint="eastAsia" w:ascii="Times New Roman" w:hAnsi="Times New Roman" w:eastAsia="方正仿宋_GBK" w:cs="Times New Roman"/>
          <w:kern w:val="0"/>
          <w:sz w:val="32"/>
          <w:szCs w:val="32"/>
          <w:shd w:val="clear" w:fill="FFFFFF"/>
          <w:lang w:eastAsia="zh-CN"/>
        </w:rPr>
      </w:pPr>
      <w:r>
        <w:rPr>
          <w:rFonts w:hint="eastAsia" w:ascii="Times New Roman" w:hAnsi="Times New Roman" w:eastAsia="方正仿宋_GBK" w:cs="Times New Roman"/>
          <w:kern w:val="2"/>
          <w:sz w:val="32"/>
          <w:szCs w:val="32"/>
          <w:shd w:val="clear" w:fill="FFFFFF"/>
          <w:lang w:val="en-US" w:eastAsia="zh-CN" w:bidi="ar"/>
        </w:rPr>
        <w:t>（2）</w:t>
      </w:r>
      <w:r>
        <w:rPr>
          <w:rFonts w:hint="eastAsia" w:ascii="方正仿宋_GBK" w:hAnsi="方正仿宋_GBK" w:eastAsia="方正仿宋_GBK" w:cs="方正仿宋_GBK"/>
          <w:kern w:val="0"/>
          <w:sz w:val="32"/>
          <w:szCs w:val="32"/>
          <w:shd w:val="clear" w:fill="FFFFFF"/>
        </w:rPr>
        <w:t>承担审计信息数据工作。主要包括承担审计信息系统建设维护，为审计工作提供大数据技术支持，以及相关数据资料的采集、整理和分析等工作</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widowControl w:val="0"/>
        <w:suppressLineNumbers w:val="0"/>
        <w:autoSpaceDE w:val="0"/>
        <w:autoSpaceDN/>
        <w:spacing w:before="0" w:beforeAutospacing="0" w:after="0" w:afterAutospacing="0"/>
        <w:ind w:left="0" w:leftChars="0" w:right="0" w:rightChars="0" w:firstLine="640" w:firstLineChars="200"/>
        <w:rPr>
          <w:rFonts w:hint="default" w:ascii="Times New Roman" w:hAnsi="Times New Roman" w:eastAsia="方正仿宋_GBK" w:cs="仿宋_GB2312"/>
          <w:sz w:val="32"/>
          <w:lang w:val="en-US" w:eastAsia="zh-CN"/>
        </w:rPr>
      </w:pPr>
      <w:r>
        <w:rPr>
          <w:rFonts w:hint="eastAsia" w:ascii="Times New Roman" w:hAnsi="Times New Roman" w:eastAsia="方正仿宋_GBK" w:cs="Times New Roman"/>
          <w:kern w:val="2"/>
          <w:sz w:val="32"/>
          <w:szCs w:val="32"/>
          <w:shd w:val="clear" w:fill="FFFFFF"/>
          <w:lang w:val="en-US" w:eastAsia="zh-CN" w:bidi="ar"/>
        </w:rPr>
        <w:t>（3）</w:t>
      </w:r>
      <w:r>
        <w:rPr>
          <w:rFonts w:hint="eastAsia" w:ascii="方正仿宋_GBK" w:hAnsi="方正仿宋_GBK" w:eastAsia="方正仿宋_GBK" w:cs="方正仿宋_GBK"/>
          <w:kern w:val="0"/>
          <w:sz w:val="32"/>
          <w:szCs w:val="32"/>
          <w:shd w:val="clear" w:fill="FFFFFF"/>
        </w:rPr>
        <w:t>为审计计划提供技术保障。主要包括为审计规划和年度审计项目计划的编制提供技术保障服务。</w:t>
      </w:r>
    </w:p>
    <w:p>
      <w:pPr>
        <w:spacing w:line="600" w:lineRule="exact"/>
        <w:ind w:firstLine="640" w:firstLineChars="200"/>
        <w:rPr>
          <w:rFonts w:ascii="方正楷体_GBK" w:hAnsi="方正楷体_GBK" w:eastAsia="方正楷体_GBK" w:cs="方正楷体_GBK"/>
          <w:sz w:val="32"/>
        </w:rPr>
      </w:pPr>
      <w:r>
        <w:rPr>
          <w:rFonts w:hint="eastAsia" w:ascii="方正楷体_GBK" w:hAnsi="方正楷体_GBK" w:eastAsia="方正楷体_GBK" w:cs="方正楷体_GBK"/>
          <w:sz w:val="32"/>
        </w:rPr>
        <w:t>（二）单位构成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kern w:val="2"/>
          <w:sz w:val="32"/>
          <w:szCs w:val="32"/>
          <w:lang w:val="en-US" w:eastAsia="zh-CN" w:bidi="ar"/>
        </w:rPr>
      </w:pPr>
      <w:r>
        <w:rPr>
          <w:rFonts w:hint="eastAsia" w:ascii="Times New Roman" w:hAnsi="Times New Roman" w:eastAsia="方正仿宋_GBK" w:cs="仿宋_GB2312"/>
          <w:kern w:val="2"/>
          <w:sz w:val="32"/>
          <w:szCs w:val="32"/>
          <w:lang w:val="en-US" w:eastAsia="zh-CN" w:bidi="ar"/>
        </w:rPr>
        <w:t>单位内设机构</w:t>
      </w:r>
      <w:r>
        <w:rPr>
          <w:rFonts w:hint="default" w:ascii="Times New Roman" w:hAnsi="Times New Roman" w:eastAsia="方正仿宋_GBK" w:cs="Times New Roman"/>
          <w:kern w:val="2"/>
          <w:sz w:val="32"/>
          <w:szCs w:val="32"/>
          <w:lang w:val="en-US" w:eastAsia="zh-CN" w:bidi="ar"/>
        </w:rPr>
        <w:t>9</w:t>
      </w:r>
      <w:r>
        <w:rPr>
          <w:rFonts w:hint="eastAsia" w:ascii="方正仿宋_GBK" w:hAnsi="方正仿宋_GBK" w:eastAsia="方正仿宋_GBK" w:cs="方正仿宋_GBK"/>
          <w:kern w:val="2"/>
          <w:sz w:val="32"/>
          <w:szCs w:val="32"/>
          <w:lang w:val="en-US" w:eastAsia="zh-CN" w:bidi="ar"/>
        </w:rPr>
        <w:t>个，分别是办公室、法规审理科、整改督查与内审管理科、重大政策执行审计科、财政审计科、企事业审计科、投资审计科、经济责任审计科（重庆市綦江区经济责任审计工作联席会议办公室）、电子数据科。</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从预算单位构成看，纳入本年度预算编制的单位包括重庆市綦江区审计局机关本级及其下属独立核算参公事业单位重庆市綦江区审计中心。</w:t>
      </w:r>
    </w:p>
    <w:p>
      <w:pPr>
        <w:numPr>
          <w:ilvl w:val="0"/>
          <w:numId w:val="1"/>
        </w:num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单位收支总体情况</w:t>
      </w:r>
    </w:p>
    <w:p>
      <w:pPr>
        <w:numPr>
          <w:ilvl w:val="0"/>
          <w:numId w:val="2"/>
        </w:num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rPr>
        <w:t>收入预算</w:t>
      </w:r>
      <w:r>
        <w:rPr>
          <w:rFonts w:hint="eastAsia" w:ascii="Times New Roman" w:hAnsi="Times New Roman" w:eastAsia="方正仿宋_GBK" w:cs="仿宋_GB2312"/>
          <w:sz w:val="32"/>
        </w:rPr>
        <w:t>：</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年年初预算数</w:t>
      </w:r>
      <w:r>
        <w:rPr>
          <w:rFonts w:hint="eastAsia" w:ascii="Times New Roman" w:hAnsi="Times New Roman" w:eastAsia="方正仿宋_GBK"/>
          <w:sz w:val="32"/>
          <w:szCs w:val="32"/>
        </w:rPr>
        <w:t>1467.39</w:t>
      </w:r>
      <w:r>
        <w:rPr>
          <w:rFonts w:ascii="Times New Roman" w:hAnsi="Times New Roman" w:eastAsia="方正仿宋_GBK"/>
          <w:sz w:val="32"/>
          <w:szCs w:val="32"/>
        </w:rPr>
        <w:t>万元，其中：一般公共预算拨款</w:t>
      </w:r>
      <w:r>
        <w:rPr>
          <w:rFonts w:hint="eastAsia" w:ascii="Times New Roman" w:hAnsi="Times New Roman" w:eastAsia="方正仿宋_GBK"/>
          <w:sz w:val="32"/>
          <w:szCs w:val="32"/>
        </w:rPr>
        <w:t>1367.39</w:t>
      </w:r>
      <w:r>
        <w:rPr>
          <w:rFonts w:ascii="Times New Roman" w:hAnsi="Times New Roman" w:eastAsia="方正仿宋_GBK"/>
          <w:sz w:val="32"/>
          <w:szCs w:val="32"/>
        </w:rPr>
        <w:t>万元，政府性基金预算拨款</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万元，国有资本经营预算拨款</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万元，财政专户管理资金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万元，事业收入资金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万元，上级补助收入资金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万元，附属单位上缴收入资金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万元，事业单位经营收入资金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万元，其他收入资金</w:t>
      </w:r>
      <w:r>
        <w:rPr>
          <w:rFonts w:hint="eastAsia" w:ascii="Times New Roman" w:hAnsi="Times New Roman" w:eastAsia="方正仿宋_GBK"/>
          <w:sz w:val="32"/>
          <w:szCs w:val="32"/>
        </w:rPr>
        <w:t>100</w:t>
      </w:r>
      <w:r>
        <w:rPr>
          <w:rFonts w:ascii="Times New Roman" w:hAnsi="Times New Roman" w:eastAsia="方正仿宋_GBK"/>
          <w:sz w:val="32"/>
          <w:szCs w:val="32"/>
        </w:rPr>
        <w:t>万元；收入</w:t>
      </w:r>
      <w:r>
        <w:rPr>
          <w:rFonts w:hint="eastAsia" w:ascii="Times New Roman" w:hAnsi="Times New Roman" w:eastAsia="方正仿宋_GBK"/>
          <w:sz w:val="32"/>
          <w:szCs w:val="32"/>
        </w:rPr>
        <w:t>比2024年</w:t>
      </w:r>
      <w:r>
        <w:rPr>
          <w:rFonts w:ascii="Times New Roman" w:hAnsi="Times New Roman" w:eastAsia="方正仿宋_GBK"/>
          <w:sz w:val="32"/>
          <w:szCs w:val="32"/>
        </w:rPr>
        <w:t>减少</w:t>
      </w:r>
      <w:r>
        <w:rPr>
          <w:rFonts w:hint="eastAsia" w:ascii="Times New Roman" w:hAnsi="Times New Roman" w:eastAsia="方正仿宋_GBK"/>
          <w:sz w:val="32"/>
          <w:szCs w:val="32"/>
        </w:rPr>
        <w:t>29.05</w:t>
      </w:r>
      <w:r>
        <w:rPr>
          <w:rFonts w:ascii="Times New Roman" w:hAnsi="Times New Roman" w:eastAsia="方正仿宋_GBK"/>
          <w:sz w:val="32"/>
          <w:szCs w:val="32"/>
        </w:rPr>
        <w:t>万元，主要是一般公共预算拨款减少</w:t>
      </w:r>
      <w:r>
        <w:rPr>
          <w:rFonts w:hint="eastAsia" w:ascii="Times New Roman" w:hAnsi="Times New Roman" w:eastAsia="方正仿宋_GBK"/>
          <w:sz w:val="32"/>
          <w:szCs w:val="32"/>
        </w:rPr>
        <w:t>29.05</w:t>
      </w:r>
      <w:r>
        <w:rPr>
          <w:rFonts w:ascii="Times New Roman" w:hAnsi="Times New Roman" w:eastAsia="方正仿宋_GBK"/>
          <w:sz w:val="32"/>
          <w:szCs w:val="32"/>
        </w:rPr>
        <w:t>万元。</w:t>
      </w:r>
    </w:p>
    <w:p>
      <w:p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rPr>
        <w:t>（二）支出预算</w:t>
      </w:r>
      <w:r>
        <w:rPr>
          <w:rFonts w:hint="eastAsia" w:ascii="Times New Roman" w:hAnsi="Times New Roman" w:eastAsia="方正仿宋_GBK" w:cs="仿宋_GB2312"/>
          <w:sz w:val="32"/>
        </w:rPr>
        <w:t>：</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年年初预算数</w:t>
      </w:r>
      <w:r>
        <w:rPr>
          <w:rFonts w:hint="eastAsia" w:ascii="Times New Roman" w:hAnsi="Times New Roman" w:eastAsia="方正仿宋_GBK"/>
          <w:sz w:val="32"/>
          <w:szCs w:val="32"/>
        </w:rPr>
        <w:t>1467.39</w:t>
      </w:r>
      <w:r>
        <w:rPr>
          <w:rFonts w:ascii="Times New Roman" w:hAnsi="Times New Roman" w:eastAsia="方正仿宋_GBK"/>
          <w:sz w:val="32"/>
          <w:szCs w:val="32"/>
        </w:rPr>
        <w:t>万元，其中：一般公共服务支出</w:t>
      </w:r>
      <w:r>
        <w:rPr>
          <w:rFonts w:hint="eastAsia" w:ascii="Times New Roman" w:hAnsi="Times New Roman" w:eastAsia="方正仿宋_GBK"/>
          <w:sz w:val="32"/>
          <w:szCs w:val="32"/>
        </w:rPr>
        <w:t>1143</w:t>
      </w:r>
      <w:r>
        <w:rPr>
          <w:rFonts w:ascii="Times New Roman" w:hAnsi="Times New Roman" w:eastAsia="方正仿宋_GBK"/>
          <w:sz w:val="32"/>
          <w:szCs w:val="32"/>
        </w:rPr>
        <w:t>万元，教育支出</w:t>
      </w:r>
      <w:r>
        <w:rPr>
          <w:rFonts w:hint="eastAsia" w:ascii="Times New Roman" w:hAnsi="Times New Roman" w:eastAsia="方正仿宋_GBK"/>
          <w:sz w:val="32"/>
          <w:szCs w:val="32"/>
        </w:rPr>
        <w:t>1.23</w:t>
      </w:r>
      <w:r>
        <w:rPr>
          <w:rFonts w:ascii="Times New Roman" w:hAnsi="Times New Roman" w:eastAsia="方正仿宋_GBK"/>
          <w:sz w:val="32"/>
          <w:szCs w:val="32"/>
        </w:rPr>
        <w:t>万元，社会保障和就业支出</w:t>
      </w:r>
      <w:r>
        <w:rPr>
          <w:rFonts w:hint="eastAsia" w:ascii="Times New Roman" w:hAnsi="Times New Roman" w:eastAsia="方正仿宋_GBK"/>
          <w:sz w:val="32"/>
          <w:szCs w:val="32"/>
        </w:rPr>
        <w:t>178.53</w:t>
      </w:r>
      <w:r>
        <w:rPr>
          <w:rFonts w:ascii="Times New Roman" w:hAnsi="Times New Roman" w:eastAsia="方正仿宋_GBK"/>
          <w:sz w:val="32"/>
          <w:szCs w:val="32"/>
        </w:rPr>
        <w:t>万元，卫生健康支出</w:t>
      </w:r>
      <w:r>
        <w:rPr>
          <w:rFonts w:hint="eastAsia" w:ascii="Times New Roman" w:hAnsi="Times New Roman" w:eastAsia="方正仿宋_GBK"/>
          <w:sz w:val="32"/>
          <w:szCs w:val="32"/>
        </w:rPr>
        <w:t>64.9</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万元，住房保障支出</w:t>
      </w:r>
      <w:r>
        <w:rPr>
          <w:rFonts w:hint="eastAsia" w:ascii="Times New Roman" w:hAnsi="Times New Roman" w:eastAsia="方正仿宋_GBK"/>
          <w:sz w:val="32"/>
          <w:szCs w:val="32"/>
        </w:rPr>
        <w:t>79.74</w:t>
      </w:r>
      <w:r>
        <w:rPr>
          <w:rFonts w:ascii="Times New Roman" w:hAnsi="Times New Roman" w:eastAsia="方正仿宋_GBK"/>
          <w:sz w:val="32"/>
          <w:szCs w:val="32"/>
        </w:rPr>
        <w:t>万元；支出</w:t>
      </w:r>
      <w:r>
        <w:rPr>
          <w:rFonts w:hint="eastAsia" w:ascii="Times New Roman" w:hAnsi="Times New Roman" w:eastAsia="方正仿宋_GBK"/>
          <w:sz w:val="32"/>
          <w:szCs w:val="32"/>
        </w:rPr>
        <w:t>比2024年</w:t>
      </w:r>
      <w:r>
        <w:rPr>
          <w:rFonts w:ascii="Times New Roman" w:hAnsi="Times New Roman" w:eastAsia="方正仿宋_GBK"/>
          <w:sz w:val="32"/>
          <w:szCs w:val="32"/>
        </w:rPr>
        <w:t>减少</w:t>
      </w:r>
      <w:r>
        <w:rPr>
          <w:rFonts w:hint="eastAsia" w:ascii="Times New Roman" w:hAnsi="Times New Roman" w:eastAsia="方正仿宋_GBK"/>
          <w:sz w:val="32"/>
          <w:szCs w:val="32"/>
        </w:rPr>
        <w:t>29.05</w:t>
      </w:r>
      <w:r>
        <w:rPr>
          <w:rFonts w:ascii="Times New Roman" w:hAnsi="Times New Roman" w:eastAsia="方正仿宋_GBK"/>
          <w:sz w:val="32"/>
          <w:szCs w:val="32"/>
        </w:rPr>
        <w:t>万元，主要是基本支出减少</w:t>
      </w:r>
      <w:r>
        <w:rPr>
          <w:rFonts w:hint="eastAsia" w:ascii="Times New Roman" w:hAnsi="Times New Roman" w:eastAsia="方正仿宋_GBK"/>
          <w:sz w:val="32"/>
          <w:szCs w:val="32"/>
          <w:lang w:val="en-US" w:eastAsia="zh-CN"/>
        </w:rPr>
        <w:t>14.05</w:t>
      </w:r>
      <w:r>
        <w:rPr>
          <w:rFonts w:ascii="Times New Roman" w:hAnsi="Times New Roman" w:eastAsia="方正仿宋_GBK"/>
          <w:sz w:val="32"/>
          <w:szCs w:val="32"/>
        </w:rPr>
        <w:t>万元，项目支出</w:t>
      </w:r>
      <w:r>
        <w:rPr>
          <w:rFonts w:hint="eastAsia" w:ascii="Times New Roman" w:hAnsi="Times New Roman" w:eastAsia="方正仿宋_GBK"/>
          <w:sz w:val="32"/>
          <w:szCs w:val="32"/>
        </w:rPr>
        <w:t>减少</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万元。</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黑体_GBK" w:cs="仿宋_GB2312"/>
          <w:sz w:val="32"/>
        </w:rPr>
        <w:t>三</w:t>
      </w:r>
      <w:r>
        <w:rPr>
          <w:rFonts w:ascii="Times New Roman" w:hAnsi="Times New Roman" w:eastAsia="方正黑体_GBK" w:cs="仿宋_GB2312"/>
          <w:sz w:val="32"/>
        </w:rPr>
        <w:t>、</w:t>
      </w:r>
      <w:r>
        <w:rPr>
          <w:rFonts w:hint="eastAsia" w:ascii="Times New Roman" w:hAnsi="Times New Roman" w:eastAsia="方正黑体_GBK"/>
          <w:sz w:val="32"/>
          <w:szCs w:val="32"/>
        </w:rPr>
        <w:t>财政拨款</w:t>
      </w:r>
      <w:r>
        <w:rPr>
          <w:rFonts w:ascii="Times New Roman" w:hAnsi="Times New Roman" w:eastAsia="方正黑体_GBK"/>
          <w:sz w:val="32"/>
          <w:szCs w:val="32"/>
        </w:rPr>
        <w:t>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年一般公共预算财政拨款收入</w:t>
      </w:r>
      <w:r>
        <w:rPr>
          <w:rFonts w:hint="eastAsia" w:ascii="Times New Roman" w:hAnsi="Times New Roman" w:eastAsia="方正仿宋_GBK"/>
          <w:sz w:val="32"/>
          <w:szCs w:val="32"/>
        </w:rPr>
        <w:t>1367.39</w:t>
      </w:r>
      <w:r>
        <w:rPr>
          <w:rFonts w:ascii="Times New Roman" w:hAnsi="Times New Roman" w:eastAsia="方正仿宋_GBK"/>
          <w:sz w:val="32"/>
          <w:szCs w:val="32"/>
        </w:rPr>
        <w:t>万元，一般公共预算财政拨款支出</w:t>
      </w:r>
      <w:r>
        <w:rPr>
          <w:rFonts w:hint="eastAsia" w:ascii="Times New Roman" w:hAnsi="Times New Roman" w:eastAsia="方正仿宋_GBK"/>
          <w:sz w:val="32"/>
          <w:szCs w:val="32"/>
        </w:rPr>
        <w:t>1367.39</w:t>
      </w:r>
      <w:r>
        <w:rPr>
          <w:rFonts w:ascii="Times New Roman" w:hAnsi="Times New Roman" w:eastAsia="方正仿宋_GBK"/>
          <w:sz w:val="32"/>
          <w:szCs w:val="32"/>
        </w:rPr>
        <w:t>万元，比202</w:t>
      </w:r>
      <w:r>
        <w:rPr>
          <w:rFonts w:hint="eastAsia" w:ascii="Times New Roman" w:hAnsi="Times New Roman" w:eastAsia="方正仿宋_GBK"/>
          <w:sz w:val="32"/>
          <w:szCs w:val="32"/>
        </w:rPr>
        <w:t>4</w:t>
      </w:r>
      <w:r>
        <w:rPr>
          <w:rFonts w:ascii="Times New Roman" w:hAnsi="Times New Roman" w:eastAsia="方正仿宋_GBK"/>
          <w:sz w:val="32"/>
          <w:szCs w:val="32"/>
        </w:rPr>
        <w:t>年减少</w:t>
      </w:r>
      <w:r>
        <w:rPr>
          <w:rFonts w:hint="eastAsia" w:ascii="Times New Roman" w:hAnsi="Times New Roman" w:eastAsia="方正仿宋_GBK"/>
          <w:sz w:val="32"/>
          <w:szCs w:val="32"/>
        </w:rPr>
        <w:t>29.05</w:t>
      </w:r>
      <w:r>
        <w:rPr>
          <w:rFonts w:ascii="Times New Roman" w:hAnsi="Times New Roman" w:eastAsia="方正仿宋_GBK"/>
          <w:sz w:val="32"/>
          <w:szCs w:val="32"/>
        </w:rPr>
        <w:t>万元。其中：基本支出</w:t>
      </w:r>
      <w:r>
        <w:rPr>
          <w:rFonts w:hint="eastAsia" w:ascii="Times New Roman" w:hAnsi="Times New Roman" w:eastAsia="方正仿宋_GBK"/>
          <w:sz w:val="32"/>
          <w:szCs w:val="32"/>
        </w:rPr>
        <w:t>1232.39</w:t>
      </w:r>
      <w:r>
        <w:rPr>
          <w:rFonts w:ascii="Times New Roman" w:hAnsi="Times New Roman" w:eastAsia="方正仿宋_GBK"/>
          <w:sz w:val="32"/>
          <w:szCs w:val="32"/>
        </w:rPr>
        <w:t>万元，主要用于保障在职人员工资福利及社会保险缴费、离休人员离休费、退休人员补助等，保障部门正常运转的各项商品服务支出，比202</w:t>
      </w:r>
      <w:r>
        <w:rPr>
          <w:rFonts w:hint="eastAsia" w:ascii="Times New Roman" w:hAnsi="Times New Roman" w:eastAsia="方正仿宋_GBK"/>
          <w:sz w:val="32"/>
          <w:szCs w:val="32"/>
        </w:rPr>
        <w:t>4</w:t>
      </w:r>
      <w:r>
        <w:rPr>
          <w:rFonts w:ascii="Times New Roman" w:hAnsi="Times New Roman" w:eastAsia="方正仿宋_GBK"/>
          <w:sz w:val="32"/>
          <w:szCs w:val="32"/>
        </w:rPr>
        <w:t>年减少</w:t>
      </w:r>
      <w:r>
        <w:rPr>
          <w:rFonts w:hint="eastAsia" w:ascii="Times New Roman" w:hAnsi="Times New Roman" w:eastAsia="方正仿宋_GBK"/>
          <w:sz w:val="32"/>
          <w:szCs w:val="32"/>
        </w:rPr>
        <w:t>14.05</w:t>
      </w:r>
      <w:r>
        <w:rPr>
          <w:rFonts w:ascii="Times New Roman" w:hAnsi="Times New Roman" w:eastAsia="方正仿宋_GBK"/>
          <w:sz w:val="32"/>
          <w:szCs w:val="32"/>
        </w:rPr>
        <w:t>万元，主要原因是</w:t>
      </w:r>
      <w:r>
        <w:rPr>
          <w:rFonts w:hint="eastAsia" w:ascii="Times New Roman" w:hAnsi="Times New Roman" w:eastAsia="方正仿宋_GBK"/>
          <w:sz w:val="32"/>
          <w:szCs w:val="32"/>
          <w:lang w:val="en-US" w:eastAsia="zh-CN"/>
        </w:rPr>
        <w:t>转任调出</w:t>
      </w:r>
      <w:r>
        <w:rPr>
          <w:rFonts w:hint="default" w:ascii="Times New Roman" w:hAnsi="Times New Roman" w:eastAsia="方正仿宋_GBK"/>
          <w:sz w:val="32"/>
          <w:szCs w:val="32"/>
          <w:lang w:val="en-US" w:eastAsia="zh-CN"/>
        </w:rPr>
        <w:t>1</w:t>
      </w:r>
      <w:r>
        <w:rPr>
          <w:rFonts w:hint="eastAsia" w:ascii="Times New Roman" w:hAnsi="Times New Roman" w:eastAsia="方正仿宋_GBK"/>
          <w:sz w:val="32"/>
          <w:szCs w:val="32"/>
          <w:lang w:val="en-US" w:eastAsia="zh-CN"/>
        </w:rPr>
        <w:t>名人员</w:t>
      </w:r>
      <w:r>
        <w:rPr>
          <w:rFonts w:ascii="Times New Roman" w:hAnsi="Times New Roman" w:eastAsia="方正仿宋_GBK"/>
          <w:sz w:val="32"/>
          <w:szCs w:val="32"/>
        </w:rPr>
        <w:t>；项目支出</w:t>
      </w:r>
      <w:r>
        <w:rPr>
          <w:rFonts w:hint="eastAsia" w:ascii="Times New Roman" w:hAnsi="Times New Roman" w:eastAsia="方正仿宋_GBK"/>
          <w:sz w:val="32"/>
          <w:szCs w:val="32"/>
        </w:rPr>
        <w:t>135</w:t>
      </w:r>
      <w:r>
        <w:rPr>
          <w:rFonts w:ascii="Times New Roman" w:hAnsi="Times New Roman" w:eastAsia="方正仿宋_GBK"/>
          <w:sz w:val="32"/>
          <w:szCs w:val="32"/>
        </w:rPr>
        <w:t>万元，主要用于</w:t>
      </w:r>
      <w:r>
        <w:rPr>
          <w:rFonts w:hint="eastAsia" w:ascii="Times New Roman" w:hAnsi="Times New Roman" w:eastAsia="方正仿宋_GBK"/>
          <w:sz w:val="32"/>
          <w:szCs w:val="32"/>
          <w:lang w:val="en-US" w:eastAsia="zh-CN"/>
        </w:rPr>
        <w:t>预算执行审计、重大项目跟踪审计等</w:t>
      </w:r>
      <w:r>
        <w:rPr>
          <w:rFonts w:ascii="Times New Roman" w:hAnsi="Times New Roman" w:eastAsia="方正仿宋_GBK"/>
          <w:sz w:val="32"/>
          <w:szCs w:val="32"/>
        </w:rPr>
        <w:t>重点工作，比202</w:t>
      </w:r>
      <w:r>
        <w:rPr>
          <w:rFonts w:hint="eastAsia" w:ascii="Times New Roman" w:hAnsi="Times New Roman" w:eastAsia="方正仿宋_GBK"/>
          <w:sz w:val="32"/>
          <w:szCs w:val="32"/>
        </w:rPr>
        <w:t>4</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万元，主要原因是</w:t>
      </w:r>
      <w:r>
        <w:rPr>
          <w:rFonts w:hint="eastAsia" w:ascii="方正仿宋_GBK" w:hAnsi="方正仿宋_GBK" w:eastAsia="方正仿宋_GBK" w:cs="方正仿宋_GBK"/>
          <w:kern w:val="2"/>
          <w:sz w:val="32"/>
          <w:szCs w:val="32"/>
          <w:lang w:val="en-US" w:eastAsia="zh-CN" w:bidi="ar"/>
        </w:rPr>
        <w:t>全市审计机关严格按照零基预算原则，结合审计项目实际工作量和需求，优化资源配置，对项目预算进行了调整</w:t>
      </w:r>
      <w:r>
        <w:rPr>
          <w:rFonts w:ascii="Times New Roman" w:hAnsi="Times New Roman" w:eastAsia="方正仿宋_GBK"/>
          <w:sz w:val="32"/>
          <w:szCs w:val="32"/>
        </w:rPr>
        <w:t>。</w:t>
      </w:r>
    </w:p>
    <w:p>
      <w:pPr>
        <w:spacing w:line="600" w:lineRule="exact"/>
        <w:ind w:firstLine="640" w:firstLineChars="200"/>
        <w:rPr>
          <w:rFonts w:hint="eastAsia" w:ascii="Times New Roman" w:hAnsi="Times New Roman" w:eastAsia="方正仿宋_GBK" w:cs="仿宋_GB2312"/>
          <w:b w:val="0"/>
          <w:bCs w:val="0"/>
          <w:sz w:val="32"/>
          <w:lang w:eastAsia="zh-CN"/>
        </w:rPr>
      </w:pPr>
      <w:r>
        <w:rPr>
          <w:rFonts w:ascii="Times New Roman" w:hAnsi="Times New Roman" w:eastAsia="方正仿宋_GBK"/>
          <w:b w:val="0"/>
          <w:bCs w:val="0"/>
          <w:sz w:val="32"/>
        </w:rPr>
        <w:t>202</w:t>
      </w:r>
      <w:r>
        <w:rPr>
          <w:rFonts w:hint="eastAsia" w:ascii="Times New Roman" w:hAnsi="Times New Roman" w:eastAsia="方正仿宋_GBK"/>
          <w:b w:val="0"/>
          <w:bCs w:val="0"/>
          <w:sz w:val="32"/>
        </w:rPr>
        <w:t>5</w:t>
      </w:r>
      <w:r>
        <w:rPr>
          <w:rFonts w:ascii="Times New Roman" w:hAnsi="Times New Roman" w:eastAsia="方正仿宋_GBK"/>
          <w:b w:val="0"/>
          <w:bCs w:val="0"/>
          <w:sz w:val="32"/>
        </w:rPr>
        <w:t>年无使用政府性基金预算拨款安排的支出，与上年保持一致</w:t>
      </w:r>
      <w:r>
        <w:rPr>
          <w:rFonts w:hint="eastAsia" w:ascii="Times New Roman" w:hAnsi="Times New Roman" w:eastAsia="方正仿宋_GBK"/>
          <w:b w:val="0"/>
          <w:bCs w:val="0"/>
          <w:sz w:val="32"/>
          <w:lang w:eastAsia="zh-CN"/>
        </w:rPr>
        <w:t>。</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黑体_GBK" w:cs="仿宋_GB2312"/>
          <w:sz w:val="32"/>
        </w:rPr>
        <w:t>四</w:t>
      </w:r>
      <w:r>
        <w:rPr>
          <w:rFonts w:ascii="Times New Roman" w:hAnsi="Times New Roman" w:eastAsia="方正黑体_GBK" w:cs="仿宋_GB2312"/>
          <w:sz w:val="32"/>
        </w:rPr>
        <w:t>、</w:t>
      </w:r>
      <w:r>
        <w:rPr>
          <w:rFonts w:hint="eastAsia" w:ascii="Times New Roman" w:hAnsi="Times New Roman" w:eastAsia="方正黑体_GBK" w:cs="仿宋_GB2312"/>
          <w:sz w:val="32"/>
        </w:rPr>
        <w:t>“三公”经费情况说明</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年“三公”经费预算</w:t>
      </w:r>
      <w:r>
        <w:rPr>
          <w:rFonts w:hint="eastAsia" w:ascii="Times New Roman" w:hAnsi="Times New Roman" w:eastAsia="方正仿宋_GBK"/>
          <w:sz w:val="32"/>
          <w:szCs w:val="32"/>
        </w:rPr>
        <w:t>12.3</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万元，比202</w:t>
      </w:r>
      <w:r>
        <w:rPr>
          <w:rFonts w:hint="eastAsia" w:ascii="Times New Roman" w:hAnsi="Times New Roman" w:eastAsia="方正仿宋_GBK"/>
          <w:sz w:val="32"/>
          <w:szCs w:val="32"/>
        </w:rPr>
        <w:t>4</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增加</w:t>
      </w:r>
      <w:r>
        <w:rPr>
          <w:rFonts w:hint="default" w:ascii="Times New Roman" w:hAnsi="Times New Roman" w:eastAsia="方正仿宋_GBK"/>
          <w:sz w:val="32"/>
          <w:szCs w:val="32"/>
          <w:lang w:val="en-US" w:eastAsia="zh-CN"/>
        </w:rPr>
        <w:t>5</w:t>
      </w:r>
    </w:p>
    <w:p>
      <w:pPr>
        <w:spacing w:line="600" w:lineRule="exact"/>
        <w:rPr>
          <w:rFonts w:ascii="Times New Roman" w:hAnsi="Times New Roman" w:eastAsia="方正仿宋_GBK"/>
          <w:sz w:val="32"/>
          <w:szCs w:val="32"/>
        </w:rPr>
      </w:pPr>
      <w:r>
        <w:rPr>
          <w:rFonts w:ascii="Times New Roman" w:hAnsi="Times New Roman" w:eastAsia="方正仿宋_GBK"/>
          <w:sz w:val="32"/>
          <w:szCs w:val="32"/>
        </w:rPr>
        <w:t>万元。其中：因公出国（境）费用</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与上年持平</w:t>
      </w:r>
      <w:r>
        <w:rPr>
          <w:rFonts w:ascii="Times New Roman" w:hAnsi="Times New Roman" w:eastAsia="方正仿宋_GBK"/>
          <w:sz w:val="32"/>
          <w:szCs w:val="32"/>
        </w:rPr>
        <w:t>；公务接待费</w:t>
      </w:r>
      <w:r>
        <w:rPr>
          <w:rFonts w:hint="eastAsia" w:ascii="Times New Roman" w:hAnsi="Times New Roman" w:eastAsia="方正仿宋_GBK"/>
          <w:sz w:val="32"/>
          <w:szCs w:val="32"/>
        </w:rPr>
        <w:t>0.3</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与上年持平</w:t>
      </w:r>
      <w:r>
        <w:rPr>
          <w:rFonts w:ascii="Times New Roman" w:hAnsi="Times New Roman" w:eastAsia="方正仿宋_GBK"/>
          <w:sz w:val="32"/>
          <w:szCs w:val="32"/>
        </w:rPr>
        <w:t>；公务用车运行维护费</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万元，比202</w:t>
      </w:r>
      <w:r>
        <w:rPr>
          <w:rFonts w:hint="eastAsia" w:ascii="Times New Roman" w:hAnsi="Times New Roman" w:eastAsia="方正仿宋_GBK"/>
          <w:sz w:val="32"/>
          <w:szCs w:val="32"/>
        </w:rPr>
        <w:t>4</w:t>
      </w:r>
      <w:r>
        <w:rPr>
          <w:rFonts w:ascii="Times New Roman" w:hAnsi="Times New Roman" w:eastAsia="方正仿宋_GBK"/>
          <w:sz w:val="32"/>
          <w:szCs w:val="32"/>
        </w:rPr>
        <w:t>年增加</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万元，主要原因是</w:t>
      </w:r>
      <w:r>
        <w:rPr>
          <w:rFonts w:hint="eastAsia" w:ascii="Times New Roman" w:hAnsi="Times New Roman" w:eastAsia="方正仿宋_GBK"/>
          <w:sz w:val="32"/>
          <w:szCs w:val="32"/>
          <w:lang w:val="en-US" w:eastAsia="zh-CN"/>
        </w:rPr>
        <w:t>审计项目出差较多，公用经费弥补运行维护费不足</w:t>
      </w:r>
      <w:r>
        <w:rPr>
          <w:rFonts w:ascii="Times New Roman" w:hAnsi="Times New Roman" w:eastAsia="方正仿宋_GBK"/>
          <w:sz w:val="32"/>
          <w:szCs w:val="32"/>
        </w:rPr>
        <w:t>；公务用车购置费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与上年持平</w:t>
      </w:r>
      <w:r>
        <w:rPr>
          <w:rFonts w:ascii="Times New Roman" w:hAnsi="Times New Roman" w:eastAsia="方正仿宋_GBK"/>
          <w:sz w:val="32"/>
          <w:szCs w:val="32"/>
        </w:rPr>
        <w:t>。</w:t>
      </w:r>
    </w:p>
    <w:p>
      <w:p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五、其他重要事项的情况说明</w:t>
      </w:r>
    </w:p>
    <w:p>
      <w:pPr>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（一）机关运行经费</w:t>
      </w:r>
      <w:r>
        <w:rPr>
          <w:rFonts w:hint="eastAsia" w:ascii="Times New Roman" w:hAnsi="Times New Roman" w:eastAsia="方正仿宋_GBK" w:cs="仿宋_GB2312"/>
          <w:sz w:val="32"/>
        </w:rPr>
        <w:t>。</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年一般公共预算财政拨款运行经费</w:t>
      </w:r>
      <w:r>
        <w:rPr>
          <w:rFonts w:hint="eastAsia" w:ascii="Times New Roman" w:hAnsi="Times New Roman" w:eastAsia="方正仿宋_GBK"/>
          <w:sz w:val="32"/>
          <w:szCs w:val="32"/>
        </w:rPr>
        <w:t>233.16</w:t>
      </w:r>
      <w:r>
        <w:rPr>
          <w:rFonts w:ascii="Times New Roman" w:hAnsi="Times New Roman" w:eastAsia="方正仿宋_GBK"/>
          <w:sz w:val="32"/>
          <w:szCs w:val="32"/>
        </w:rPr>
        <w:t>万元，</w:t>
      </w:r>
      <w:r>
        <w:rPr>
          <w:rFonts w:hint="eastAsia" w:ascii="Times New Roman" w:hAnsi="Times New Roman" w:eastAsia="方正仿宋_GBK"/>
          <w:sz w:val="32"/>
          <w:szCs w:val="32"/>
        </w:rPr>
        <w:t>比2024年</w:t>
      </w:r>
      <w:r>
        <w:rPr>
          <w:rFonts w:hint="eastAsia" w:ascii="Times New Roman" w:hAnsi="Times New Roman" w:eastAsia="方正仿宋_GBK"/>
          <w:sz w:val="32"/>
          <w:szCs w:val="32"/>
          <w:lang w:val="en-US" w:eastAsia="zh-CN"/>
        </w:rPr>
        <w:t>减少</w:t>
      </w:r>
      <w:r>
        <w:rPr>
          <w:rFonts w:hint="default" w:ascii="Times New Roman" w:hAnsi="Times New Roman" w:eastAsia="方正仿宋_GBK"/>
          <w:sz w:val="32"/>
          <w:szCs w:val="32"/>
          <w:lang w:val="en"/>
        </w:rPr>
        <w:t>4.49</w:t>
      </w:r>
      <w:r>
        <w:rPr>
          <w:rFonts w:ascii="Times New Roman" w:hAnsi="Times New Roman" w:eastAsia="方正仿宋_GBK"/>
          <w:sz w:val="32"/>
          <w:szCs w:val="32"/>
        </w:rPr>
        <w:t>万元，主要原因为</w:t>
      </w:r>
      <w:r>
        <w:rPr>
          <w:rFonts w:hint="eastAsia" w:ascii="Times New Roman" w:hAnsi="Times New Roman" w:eastAsia="方正仿宋_GBK"/>
          <w:sz w:val="32"/>
          <w:szCs w:val="32"/>
          <w:lang w:val="en-US" w:eastAsia="zh-CN"/>
        </w:rPr>
        <w:t>转任调出</w:t>
      </w:r>
      <w:r>
        <w:rPr>
          <w:rFonts w:hint="default" w:ascii="Times New Roman" w:hAnsi="Times New Roman" w:eastAsia="方正仿宋_GBK"/>
          <w:sz w:val="32"/>
          <w:szCs w:val="32"/>
          <w:lang w:val="en-US" w:eastAsia="zh-CN"/>
        </w:rPr>
        <w:t>1</w:t>
      </w:r>
      <w:r>
        <w:rPr>
          <w:rFonts w:hint="eastAsia" w:ascii="Times New Roman" w:hAnsi="Times New Roman" w:eastAsia="方正仿宋_GBK"/>
          <w:sz w:val="32"/>
          <w:szCs w:val="32"/>
          <w:lang w:val="en-US" w:eastAsia="zh-CN"/>
        </w:rPr>
        <w:t>名人员</w:t>
      </w:r>
      <w:r>
        <w:rPr>
          <w:rFonts w:ascii="Times New Roman" w:hAnsi="Times New Roman" w:eastAsia="方正仿宋_GBK"/>
          <w:sz w:val="32"/>
          <w:szCs w:val="32"/>
        </w:rPr>
        <w:t>；主要用于办公费、印刷费、邮电费、水电</w:t>
      </w:r>
      <w:r>
        <w:rPr>
          <w:rFonts w:ascii="Times New Roman" w:hAnsi="Times New Roman" w:eastAsia="方正仿宋_GBK"/>
          <w:sz w:val="32"/>
        </w:rPr>
        <w:t>费、物管费、差旅费、会议费、培训费及其他商品和服务支出等。</w:t>
      </w:r>
    </w:p>
    <w:p>
      <w:pPr>
        <w:ind w:firstLine="640" w:firstLineChars="200"/>
        <w:rPr>
          <w:rFonts w:ascii="Times New Roman" w:hAnsi="Times New Roman" w:eastAsia="方正仿宋_GBK" w:cs="仿宋_GB2312"/>
          <w:sz w:val="32"/>
        </w:rPr>
      </w:pPr>
      <w:r>
        <w:rPr>
          <w:rFonts w:hint="eastAsia" w:ascii="方正楷体_GBK" w:hAnsi="方正楷体_GBK" w:eastAsia="方正楷体_GBK" w:cs="方正楷体_GBK"/>
          <w:sz w:val="32"/>
        </w:rPr>
        <w:t>（二）政府采购情况</w:t>
      </w:r>
      <w:r>
        <w:rPr>
          <w:rFonts w:hint="eastAsia" w:ascii="Times New Roman" w:hAnsi="Times New Roman" w:eastAsia="方正仿宋_GBK" w:cs="仿宋_GB2312"/>
          <w:sz w:val="32"/>
        </w:rPr>
        <w:t>。本单位政府采购预算总额101.5</w:t>
      </w:r>
      <w:r>
        <w:rPr>
          <w:rFonts w:hint="default" w:ascii="Times New Roman" w:hAnsi="Times New Roman" w:eastAsia="方正仿宋_GBK" w:cs="仿宋_GB2312"/>
          <w:sz w:val="32"/>
          <w:lang w:val="en"/>
        </w:rPr>
        <w:t>0</w:t>
      </w:r>
      <w:r>
        <w:rPr>
          <w:rFonts w:hint="eastAsia" w:ascii="Times New Roman" w:hAnsi="Times New Roman" w:eastAsia="方正仿宋_GBK" w:cs="仿宋_GB2312"/>
          <w:sz w:val="32"/>
        </w:rPr>
        <w:t>万元：政府采购货物预算1.5</w:t>
      </w:r>
      <w:r>
        <w:rPr>
          <w:rFonts w:hint="default" w:ascii="Times New Roman" w:hAnsi="Times New Roman" w:eastAsia="方正仿宋_GBK" w:cs="仿宋_GB2312"/>
          <w:sz w:val="32"/>
          <w:lang w:val="en"/>
        </w:rPr>
        <w:t>0</w:t>
      </w:r>
      <w:r>
        <w:rPr>
          <w:rFonts w:hint="eastAsia" w:ascii="Times New Roman" w:hAnsi="Times New Roman" w:eastAsia="方正仿宋_GBK" w:cs="仿宋_GB2312"/>
          <w:sz w:val="32"/>
        </w:rPr>
        <w:t>万元、政府采购工程预算</w:t>
      </w:r>
      <w:r>
        <w:rPr>
          <w:rFonts w:hint="default" w:ascii="Times New Roman" w:hAnsi="Times New Roman" w:eastAsia="方正仿宋_GBK" w:cs="仿宋_GB2312"/>
          <w:sz w:val="32"/>
          <w:lang w:val="en"/>
        </w:rPr>
        <w:t>0</w:t>
      </w:r>
      <w:r>
        <w:rPr>
          <w:rFonts w:hint="eastAsia" w:ascii="Times New Roman" w:hAnsi="Times New Roman" w:eastAsia="方正仿宋_GBK" w:cs="仿宋_GB2312"/>
          <w:sz w:val="32"/>
        </w:rPr>
        <w:t>万元、政府采购服务预算100万元；其中一般公共预算拨款政府采购1.5</w:t>
      </w:r>
      <w:r>
        <w:rPr>
          <w:rFonts w:hint="default" w:ascii="Times New Roman" w:hAnsi="Times New Roman" w:eastAsia="方正仿宋_GBK" w:cs="仿宋_GB2312"/>
          <w:sz w:val="32"/>
          <w:lang w:val="en"/>
        </w:rPr>
        <w:t>0</w:t>
      </w:r>
      <w:r>
        <w:rPr>
          <w:rFonts w:hint="eastAsia" w:ascii="Times New Roman" w:hAnsi="Times New Roman" w:eastAsia="方正仿宋_GBK" w:cs="仿宋_GB2312"/>
          <w:sz w:val="32"/>
        </w:rPr>
        <w:t>万元：政府采购货物预算1.5</w:t>
      </w:r>
      <w:r>
        <w:rPr>
          <w:rFonts w:hint="default" w:ascii="Times New Roman" w:hAnsi="Times New Roman" w:eastAsia="方正仿宋_GBK" w:cs="仿宋_GB2312"/>
          <w:sz w:val="32"/>
          <w:lang w:val="en"/>
        </w:rPr>
        <w:t>0</w:t>
      </w:r>
      <w:r>
        <w:rPr>
          <w:rFonts w:hint="eastAsia" w:ascii="Times New Roman" w:hAnsi="Times New Roman" w:eastAsia="方正仿宋_GBK" w:cs="仿宋_GB2312"/>
          <w:sz w:val="32"/>
        </w:rPr>
        <w:t>万元、政府采购工程预算</w:t>
      </w:r>
      <w:r>
        <w:rPr>
          <w:rFonts w:hint="default" w:ascii="Times New Roman" w:hAnsi="Times New Roman" w:eastAsia="方正仿宋_GBK" w:cs="仿宋_GB2312"/>
          <w:sz w:val="32"/>
          <w:lang w:val="en"/>
        </w:rPr>
        <w:t>0</w:t>
      </w:r>
      <w:r>
        <w:rPr>
          <w:rFonts w:hint="eastAsia" w:ascii="Times New Roman" w:hAnsi="Times New Roman" w:eastAsia="方正仿宋_GBK" w:cs="仿宋_GB2312"/>
          <w:sz w:val="32"/>
        </w:rPr>
        <w:t>万元、政府采购服务预算</w:t>
      </w:r>
      <w:r>
        <w:rPr>
          <w:rFonts w:hint="default" w:ascii="Times New Roman" w:hAnsi="Times New Roman" w:eastAsia="方正仿宋_GBK" w:cs="仿宋_GB2312"/>
          <w:sz w:val="32"/>
          <w:lang w:val="en"/>
        </w:rPr>
        <w:t>0</w:t>
      </w:r>
      <w:r>
        <w:rPr>
          <w:rFonts w:hint="eastAsia" w:ascii="Times New Roman" w:hAnsi="Times New Roman" w:eastAsia="方正仿宋_GBK" w:cs="仿宋_GB2312"/>
          <w:sz w:val="32"/>
        </w:rPr>
        <w:t>万元。</w:t>
      </w:r>
    </w:p>
    <w:p>
      <w:pPr>
        <w:ind w:firstLine="640" w:firstLineChars="200"/>
        <w:rPr>
          <w:rFonts w:ascii="Times New Roman" w:hAnsi="Times New Roman" w:eastAsia="方正仿宋_GBK" w:cs="仿宋_GB2312"/>
          <w:color w:val="000000"/>
          <w:sz w:val="32"/>
        </w:rPr>
      </w:pPr>
      <w:r>
        <w:rPr>
          <w:rFonts w:hint="eastAsia" w:ascii="方正楷体_GBK" w:hAnsi="方正楷体_GBK" w:eastAsia="方正楷体_GBK" w:cs="方正楷体_GBK"/>
          <w:sz w:val="32"/>
        </w:rPr>
        <w:t>（三）绩效目标设置情况</w:t>
      </w:r>
      <w:r>
        <w:rPr>
          <w:rFonts w:hint="eastAsia" w:ascii="Times New Roman" w:hAnsi="Times New Roman" w:eastAsia="方正仿宋_GBK" w:cs="仿宋_GB2312"/>
          <w:sz w:val="32"/>
        </w:rPr>
        <w:t>。</w:t>
      </w:r>
      <w:r>
        <w:rPr>
          <w:rFonts w:hint="eastAsia" w:ascii="Times New Roman" w:hAnsi="Times New Roman" w:eastAsia="方正仿宋_GBK" w:cs="仿宋_GB2312"/>
          <w:color w:val="000000"/>
          <w:sz w:val="32"/>
        </w:rPr>
        <w:t>2025年项目支出均实行了绩效目标管理，涉及一般公共预算财政拨款</w:t>
      </w:r>
      <w:r>
        <w:rPr>
          <w:rFonts w:hint="default" w:ascii="Times New Roman" w:hAnsi="Times New Roman" w:eastAsia="方正仿宋_GBK" w:cs="仿宋_GB2312"/>
          <w:color w:val="000000"/>
          <w:sz w:val="32"/>
          <w:lang w:val="en"/>
        </w:rPr>
        <w:t>135</w:t>
      </w:r>
      <w:r>
        <w:rPr>
          <w:rFonts w:hint="eastAsia" w:ascii="Times New Roman" w:hAnsi="Times New Roman" w:eastAsia="方正仿宋_GBK" w:cs="仿宋_GB2312"/>
          <w:color w:val="000000"/>
          <w:sz w:val="32"/>
        </w:rPr>
        <w:t>万元。</w:t>
      </w:r>
    </w:p>
    <w:p>
      <w:pPr>
        <w:ind w:firstLine="640" w:firstLineChars="200"/>
        <w:rPr>
          <w:rFonts w:ascii="Times New Roman" w:hAnsi="Times New Roman" w:eastAsia="方正仿宋_GBK" w:cs="仿宋_GB2312"/>
          <w:color w:val="000000"/>
          <w:sz w:val="32"/>
        </w:rPr>
      </w:pPr>
      <w:r>
        <w:rPr>
          <w:rFonts w:hint="eastAsia" w:ascii="方正楷体_GBK" w:hAnsi="方正楷体_GBK" w:eastAsia="方正楷体_GBK" w:cs="方正楷体_GBK"/>
          <w:sz w:val="32"/>
        </w:rPr>
        <w:t>（四）国有资产占有使用情况</w:t>
      </w:r>
      <w:r>
        <w:rPr>
          <w:rFonts w:hint="eastAsia" w:ascii="Times New Roman" w:hAnsi="Times New Roman" w:eastAsia="方正仿宋_GBK" w:cs="仿宋_GB2312"/>
          <w:color w:val="000000"/>
          <w:sz w:val="32"/>
        </w:rPr>
        <w:t>。</w:t>
      </w:r>
      <w:r>
        <w:rPr>
          <w:rFonts w:hint="eastAsia" w:ascii="Times New Roman" w:hAnsi="Times New Roman" w:eastAsia="方正仿宋_GBK" w:cs="仿宋_GB2312"/>
          <w:color w:val="000000"/>
          <w:sz w:val="32"/>
          <w:lang w:val="en-US" w:eastAsia="zh-CN"/>
        </w:rPr>
        <w:t>截至</w:t>
      </w:r>
      <w:r>
        <w:rPr>
          <w:rFonts w:hint="eastAsia" w:ascii="Times New Roman" w:hAnsi="Times New Roman" w:eastAsia="方正仿宋_GBK" w:cs="仿宋_GB2312"/>
          <w:color w:val="000000"/>
          <w:sz w:val="32"/>
        </w:rPr>
        <w:t>2024年12月，本单位共有车辆</w:t>
      </w:r>
      <w:r>
        <w:rPr>
          <w:rFonts w:hint="eastAsia" w:ascii="Times New Roman" w:hAnsi="Times New Roman" w:eastAsia="方正仿宋_GBK"/>
          <w:sz w:val="32"/>
          <w:szCs w:val="32"/>
          <w:lang w:val="en-US" w:eastAsia="zh-CN"/>
        </w:rPr>
        <w:t>2</w:t>
      </w:r>
      <w:r>
        <w:rPr>
          <w:rFonts w:hint="eastAsia" w:ascii="Times New Roman" w:hAnsi="Times New Roman" w:eastAsia="方正仿宋_GBK" w:cs="仿宋_GB2312"/>
          <w:color w:val="000000"/>
          <w:sz w:val="32"/>
        </w:rPr>
        <w:t>辆，其中业务用车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辆，机要通信用车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辆，应急保障用车</w:t>
      </w:r>
      <w:r>
        <w:rPr>
          <w:rFonts w:hint="eastAsia" w:ascii="Times New Roman" w:hAnsi="Times New Roman" w:eastAsia="方正仿宋_GBK" w:cs="仿宋_GB2312"/>
          <w:color w:val="000000"/>
          <w:sz w:val="32"/>
          <w:lang w:val="en-US" w:eastAsia="zh-CN"/>
        </w:rPr>
        <w:t>2</w:t>
      </w:r>
      <w:r>
        <w:rPr>
          <w:rFonts w:hint="eastAsia" w:ascii="Times New Roman" w:hAnsi="Times New Roman" w:eastAsia="方正仿宋_GBK" w:cs="仿宋_GB2312"/>
          <w:color w:val="000000"/>
          <w:sz w:val="32"/>
        </w:rPr>
        <w:t>辆，特种专业技术用车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辆，执法执勤用车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辆，其他按照规定配备的公务用车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辆。2025年一般公共预算安排购置车辆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辆，其中业务用车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辆，机要通信用车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辆，应急保障用车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辆，特种专业技术用车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辆，执法执勤用车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辆，其他按照规定配备的公务用车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p>
    <w:p>
      <w:pPr>
        <w:spacing w:line="578" w:lineRule="exact"/>
        <w:ind w:firstLine="640" w:firstLineChars="200"/>
        <w:rPr>
          <w:rFonts w:ascii="Times New Roman" w:hAnsi="Times New Roman" w:eastAsia="方正仿宋_GBK"/>
          <w:sz w:val="32"/>
        </w:rPr>
      </w:pPr>
      <w:r>
        <w:rPr>
          <w:rFonts w:ascii="Times New Roman" w:hAnsi="Times New Roman" w:eastAsia="方正黑体_GBK"/>
          <w:sz w:val="32"/>
        </w:rPr>
        <w:t>六、专业性名词解释</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（一）财政拨款收入</w:t>
      </w:r>
      <w:r>
        <w:rPr>
          <w:rFonts w:hint="eastAsia" w:ascii="Times New Roman" w:hAnsi="Times New Roman" w:eastAsia="方正仿宋_GBK"/>
          <w:sz w:val="32"/>
          <w:szCs w:val="32"/>
        </w:rPr>
        <w:t>：指单位从同级财政部门取得的各类财政拨款,包括一般公共预算财政拨款、政府性基金预算财政拨款、国有资本经营预算财政拨款。单位根据以前年度预算安排、项目需求等情况合理预计。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（二）财政专户管理资金收入</w:t>
      </w:r>
      <w:r>
        <w:rPr>
          <w:rFonts w:hint="eastAsia" w:ascii="Times New Roman" w:hAnsi="Times New Roman" w:eastAsia="方正仿宋_GBK"/>
          <w:sz w:val="32"/>
          <w:szCs w:val="32"/>
        </w:rPr>
        <w:t>：指缴入财政专户、实行专项管理的高中以上学费、住宿费、高校委托培养费、函大、电大、夜大及短训班培训费等教育收费。单位根据教育收费标准、学生人数等合理预计。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（三）事业收入（不含教育收费）</w:t>
      </w:r>
      <w:r>
        <w:rPr>
          <w:rFonts w:hint="eastAsia" w:ascii="Times New Roman" w:hAnsi="Times New Roman" w:eastAsia="方正仿宋_GBK"/>
          <w:sz w:val="32"/>
          <w:szCs w:val="32"/>
        </w:rPr>
        <w:t>：指事业单位开展专业业务活动及其辅助活动取得的收入,不包括教育收费。单位根据本年度事业单位开展专业业务活动及其辅助活动计划，结合上年度收入等情况进行预计。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（四）上级补助收入</w:t>
      </w:r>
      <w:r>
        <w:rPr>
          <w:rFonts w:hint="eastAsia" w:ascii="Times New Roman" w:hAnsi="Times New Roman" w:eastAsia="方正仿宋_GBK"/>
          <w:sz w:val="32"/>
          <w:szCs w:val="32"/>
        </w:rPr>
        <w:t>：指从主管部门或上级单位取得的财政拨款以外的其他补助收入。单位结合上年度上级补助收入等情况进行预计。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（五）附属单位上缴收入</w:t>
      </w:r>
      <w:r>
        <w:rPr>
          <w:rFonts w:hint="eastAsia" w:ascii="Times New Roman" w:hAnsi="Times New Roman" w:eastAsia="方正仿宋_GBK"/>
          <w:sz w:val="32"/>
          <w:szCs w:val="32"/>
        </w:rPr>
        <w:t>：指本单位所属下级单位上缴给本单位的全部收入（包括下级事业单位上缴的事业收入、其他收入和下级企业单位上缴的利润等）。单位结合上年度附属单位上缴收入等情况商附属单位进行预计。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（六）事业单位经营收入</w:t>
      </w:r>
      <w:r>
        <w:rPr>
          <w:rFonts w:hint="eastAsia" w:ascii="Times New Roman" w:hAnsi="Times New Roman" w:eastAsia="方正仿宋_GBK"/>
          <w:sz w:val="32"/>
          <w:szCs w:val="32"/>
        </w:rPr>
        <w:t>：指事业单位在专业业务活动及其辅助活动之外开展非独立核算经营活动取得的收入。单位应当根据本年度事业单位经营活动计划，结合上年度事业单位经营收入规模、经营状况和市场行情等因素进行预计。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（七）其他收入</w:t>
      </w:r>
      <w:r>
        <w:rPr>
          <w:rFonts w:hint="eastAsia" w:ascii="Times New Roman" w:hAnsi="Times New Roman" w:eastAsia="方正仿宋_GBK"/>
          <w:sz w:val="32"/>
          <w:szCs w:val="32"/>
        </w:rPr>
        <w:t>：指债务收入、投资收益等收入，单位根据情况合理预计，全部编入预算。</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（八）上年结转结余资金</w:t>
      </w:r>
      <w:r>
        <w:rPr>
          <w:rFonts w:hint="eastAsia" w:ascii="Times New Roman" w:hAnsi="Times New Roman" w:eastAsia="方正仿宋_GBK"/>
          <w:sz w:val="32"/>
          <w:szCs w:val="32"/>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（九）基本支出</w:t>
      </w:r>
      <w:r>
        <w:rPr>
          <w:rFonts w:hint="eastAsia"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（十）项目支出</w:t>
      </w:r>
      <w:r>
        <w:rPr>
          <w:rFonts w:hint="eastAsia" w:ascii="Times New Roman" w:hAnsi="Times New Roman" w:eastAsia="方正仿宋_GBK"/>
          <w:sz w:val="32"/>
          <w:szCs w:val="32"/>
        </w:rPr>
        <w:t>：指在基本支出之外为完成特定行政任务和事业发展目标所发生的支出。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（十一）“三公”经费</w:t>
      </w:r>
      <w:r>
        <w:rPr>
          <w:rFonts w:hint="eastAsia" w:ascii="Times New Roman" w:hAnsi="Times New Roman" w:eastAsia="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（十二）机关运行经费</w:t>
      </w:r>
      <w:r>
        <w:rPr>
          <w:rFonts w:hint="eastAsia"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（十三）工资福利支出（支出经济分类科目类级）</w:t>
      </w:r>
      <w:r>
        <w:rPr>
          <w:rFonts w:hint="eastAsia" w:ascii="Times New Roman" w:hAnsi="Times New Roman" w:eastAsia="方正仿宋_GBK"/>
          <w:sz w:val="32"/>
          <w:szCs w:val="32"/>
        </w:rPr>
        <w:t>：反映单位开支的在职职工和编制外长期聘用人员的各类劳动报酬,以及为上述人员缴纳的各项社会保险费等。</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（十四）商品和服务支出（支出经济分类科目类级）</w:t>
      </w:r>
      <w:r>
        <w:rPr>
          <w:rFonts w:hint="eastAsia" w:ascii="Times New Roman" w:hAnsi="Times New Roman" w:eastAsia="方正仿宋_GBK"/>
          <w:sz w:val="32"/>
          <w:szCs w:val="32"/>
        </w:rPr>
        <w:t>：反映单位购买商品和服务的支出（不包括用于购置固定资产的支出、战略性和应急储备支出）。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（十五）对个人和家庭的补助（支出经济分类科目类级）</w:t>
      </w:r>
      <w:r>
        <w:rPr>
          <w:rFonts w:hint="eastAsia" w:ascii="Times New Roman" w:hAnsi="Times New Roman" w:eastAsia="方正仿宋_GBK"/>
          <w:sz w:val="32"/>
          <w:szCs w:val="32"/>
        </w:rPr>
        <w:t>：反映用于对个人和家庭的补助支出。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（十六）其他资本性支出（支出经济分类科目类级）</w:t>
      </w:r>
      <w:r>
        <w:rPr>
          <w:rFonts w:hint="eastAsia" w:ascii="Times New Roman" w:hAnsi="Times New Roman" w:eastAsia="方正仿宋_GBK"/>
          <w:sz w:val="32"/>
          <w:szCs w:val="32"/>
        </w:rPr>
        <w:t>：反映非本级发展与改革部门集中安排的用于购置固定资产、战略性和应急性储备、土地和无形资产，以及构建基础设施、大型修缮和财政支持企业更新改造所发生的支出。</w:t>
      </w:r>
    </w:p>
    <w:p>
      <w:pPr>
        <w:ind w:firstLine="640" w:firstLineChars="200"/>
        <w:rPr>
          <w:rFonts w:ascii="Times New Roman" w:hAnsi="Times New Roman" w:eastAsia="方正仿宋_GBK"/>
          <w:sz w:val="32"/>
          <w:szCs w:val="32"/>
        </w:rPr>
      </w:pPr>
    </w:p>
    <w:p>
      <w:pPr>
        <w:jc w:val="center"/>
        <w:rPr>
          <w:rFonts w:hint="default" w:ascii="Times New Roman" w:hAnsi="Times New Roman" w:eastAsia="方正仿宋_GBK"/>
          <w:sz w:val="32"/>
          <w:szCs w:val="32"/>
          <w:highlight w:val="yellow"/>
          <w:lang w:val="en-US" w:eastAsia="zh-CN"/>
        </w:rPr>
      </w:pP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预算公开联系人：</w:t>
      </w:r>
      <w:r>
        <w:rPr>
          <w:rFonts w:hint="eastAsia" w:ascii="Times New Roman" w:hAnsi="Times New Roman" w:eastAsia="方正仿宋_GBK"/>
          <w:sz w:val="32"/>
          <w:szCs w:val="32"/>
          <w:lang w:eastAsia="zh-CN"/>
        </w:rPr>
        <w:t>雒宋豪</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联系方式：023-</w:t>
      </w:r>
      <w:r>
        <w:rPr>
          <w:rFonts w:hint="eastAsia" w:ascii="Times New Roman" w:hAnsi="Times New Roman" w:eastAsia="方正仿宋_GBK"/>
          <w:sz w:val="32"/>
          <w:szCs w:val="32"/>
          <w:lang w:val="en-US" w:eastAsia="zh-CN"/>
        </w:rPr>
        <w:t>48678900</w:t>
      </w:r>
    </w:p>
    <w:p>
      <w:pPr>
        <w:jc w:val="center"/>
        <w:rPr>
          <w:rFonts w:ascii="Times New Roman" w:hAnsi="Times New Roman" w:eastAsia="方正仿宋_GBK"/>
          <w:sz w:val="32"/>
          <w:szCs w:val="32"/>
          <w:highlight w:val="yellow"/>
        </w:rPr>
      </w:pPr>
    </w:p>
    <w:sectPr>
      <w:footerReference r:id="rId3" w:type="default"/>
      <w:footerReference r:id="rId4" w:type="even"/>
      <w:pgSz w:w="11906" w:h="16838"/>
      <w:pgMar w:top="2098"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1</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2</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8AE22"/>
    <w:multiLevelType w:val="singleLevel"/>
    <w:tmpl w:val="6378AE22"/>
    <w:lvl w:ilvl="0" w:tentative="0">
      <w:start w:val="1"/>
      <w:numFmt w:val="chineseCounting"/>
      <w:suff w:val="nothing"/>
      <w:lvlText w:val="（%1）"/>
      <w:lvlJc w:val="left"/>
      <w:rPr>
        <w:rFonts w:hint="eastAsia"/>
      </w:rPr>
    </w:lvl>
  </w:abstractNum>
  <w:abstractNum w:abstractNumId="1">
    <w:nsid w:val="69E064B4"/>
    <w:multiLevelType w:val="singleLevel"/>
    <w:tmpl w:val="69E064B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3BC5"/>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81BAA"/>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0DDD"/>
    <w:rsid w:val="0058350C"/>
    <w:rsid w:val="00595C24"/>
    <w:rsid w:val="005A1227"/>
    <w:rsid w:val="005A4606"/>
    <w:rsid w:val="005A4AD7"/>
    <w:rsid w:val="005B0F11"/>
    <w:rsid w:val="005C3DD7"/>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97CE9"/>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36603"/>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2254"/>
    <w:rsid w:val="00F258CE"/>
    <w:rsid w:val="00F46DD2"/>
    <w:rsid w:val="00F605C0"/>
    <w:rsid w:val="00F649FE"/>
    <w:rsid w:val="00F66710"/>
    <w:rsid w:val="00F84112"/>
    <w:rsid w:val="00F84AC6"/>
    <w:rsid w:val="00F86A3C"/>
    <w:rsid w:val="00F90464"/>
    <w:rsid w:val="00F9492F"/>
    <w:rsid w:val="00FC2169"/>
    <w:rsid w:val="00FC2267"/>
    <w:rsid w:val="00FE12C3"/>
    <w:rsid w:val="00FE28C5"/>
    <w:rsid w:val="00FF0B1F"/>
    <w:rsid w:val="00FF197F"/>
    <w:rsid w:val="18CC21E2"/>
    <w:rsid w:val="19D75DEA"/>
    <w:rsid w:val="1EE05A45"/>
    <w:rsid w:val="1FBE22A7"/>
    <w:rsid w:val="24703EB8"/>
    <w:rsid w:val="24C37CD9"/>
    <w:rsid w:val="253F0640"/>
    <w:rsid w:val="25FF4C9B"/>
    <w:rsid w:val="29D73FEA"/>
    <w:rsid w:val="2AE6545A"/>
    <w:rsid w:val="2D484ACC"/>
    <w:rsid w:val="3136539E"/>
    <w:rsid w:val="37DB3A68"/>
    <w:rsid w:val="3BC5739B"/>
    <w:rsid w:val="42543C1B"/>
    <w:rsid w:val="42E415AF"/>
    <w:rsid w:val="46192B07"/>
    <w:rsid w:val="46DB3558"/>
    <w:rsid w:val="48310C7F"/>
    <w:rsid w:val="547C7DE8"/>
    <w:rsid w:val="692D3A89"/>
    <w:rsid w:val="6F77753F"/>
    <w:rsid w:val="77BB3C8F"/>
    <w:rsid w:val="7D3E2845"/>
    <w:rsid w:val="7DC477BF"/>
    <w:rsid w:val="CEFFF25D"/>
    <w:rsid w:val="DE9D1192"/>
    <w:rsid w:val="FBF7F5F6"/>
    <w:rsid w:val="FF5E638D"/>
    <w:rsid w:val="FFFFA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unhideWhenUsed/>
    <w:qFormat/>
    <w:uiPriority w:val="0"/>
  </w:style>
  <w:style w:type="paragraph" w:styleId="9">
    <w:name w:val="List Paragraph"/>
    <w:basedOn w:val="1"/>
    <w:qFormat/>
    <w:uiPriority w:val="34"/>
    <w:pPr>
      <w:ind w:firstLine="420" w:firstLineChars="200"/>
    </w:pPr>
  </w:style>
  <w:style w:type="character" w:customStyle="1" w:styleId="10">
    <w:name w:val="批注框文本 字符"/>
    <w:link w:val="2"/>
    <w:qFormat/>
    <w:uiPriority w:val="0"/>
    <w:rPr>
      <w:kern w:val="2"/>
      <w:sz w:val="18"/>
      <w:szCs w:val="18"/>
    </w:rPr>
  </w:style>
  <w:style w:type="character" w:customStyle="1" w:styleId="11">
    <w:name w:val="页脚 字符"/>
    <w:link w:val="3"/>
    <w:qFormat/>
    <w:uiPriority w:val="0"/>
    <w:rPr>
      <w:kern w:val="2"/>
      <w:sz w:val="18"/>
      <w:szCs w:val="18"/>
    </w:rPr>
  </w:style>
  <w:style w:type="character" w:customStyle="1" w:styleId="12">
    <w:name w:val="页眉 字符"/>
    <w:link w:val="4"/>
    <w:qFormat/>
    <w:uiPriority w:val="0"/>
    <w:rPr>
      <w:kern w:val="2"/>
      <w:sz w:val="18"/>
      <w:szCs w:val="18"/>
    </w:rPr>
  </w:style>
  <w:style w:type="character" w:customStyle="1" w:styleId="13">
    <w:name w:val="页脚 字符1"/>
    <w:semiHidden/>
    <w:qFormat/>
    <w:locked/>
    <w:uiPriority w:val="0"/>
    <w:rPr>
      <w:kern w:val="2"/>
      <w:sz w:val="18"/>
      <w:szCs w:val="18"/>
    </w:rPr>
  </w:style>
  <w:style w:type="character" w:customStyle="1" w:styleId="14">
    <w:name w:val="15"/>
    <w:basedOn w:val="7"/>
    <w:qFormat/>
    <w:uiPriority w:val="0"/>
    <w:rPr>
      <w:rFonts w:hint="default" w:ascii="Times New Roman" w:hAnsi="Times New Roman" w:cs="Times New Roman"/>
    </w:rPr>
  </w:style>
  <w:style w:type="paragraph" w:customStyle="1" w:styleId="15">
    <w:name w:val="普通(网站) Char"/>
    <w:basedOn w:val="1"/>
    <w:qFormat/>
    <w:uiPriority w:val="0"/>
    <w:pPr>
      <w:keepNext w:val="0"/>
      <w:keepLines w:val="0"/>
      <w:widowControl w:val="0"/>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uosh/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1</Pages>
  <Words>3086</Words>
  <Characters>283</Characters>
  <Lines>1</Lines>
  <Paragraphs>1</Paragraphs>
  <TotalTime>7</TotalTime>
  <ScaleCrop>false</ScaleCrop>
  <LinksUpToDate>false</LinksUpToDate>
  <CharactersWithSpaces>3363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2022-02-11T03:19:00Z</dcterms:created>
  <dc:creator>Administrator</dc:creator>
  <cp:lastModifiedBy>guest</cp:lastModifiedBy>
  <cp:lastPrinted>2018-01-04T00:11:00Z</cp:lastPrinted>
  <dcterms:modified xsi:type="dcterms:W3CDTF">2025-02-27T10:45:03Z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8FCBDE95974B4F20912E3DE6E50E6700</vt:lpwstr>
  </property>
</Properties>
</file>