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133</w:t>
      </w:r>
      <w:r>
        <w:rPr>
          <w:rFonts w:hint="default" w:ascii="Times New Roman" w:hAnsi="Times New Roman" w:eastAsia="方正仿宋_GBK" w:cs="Times New Roman"/>
          <w:sz w:val="32"/>
          <w:szCs w:val="32"/>
          <w:lang w:val="en-US" w:eastAsia="zh-CN"/>
        </w:rPr>
        <w:t>号</w:t>
      </w:r>
    </w:p>
    <w:p>
      <w:pPr>
        <w:spacing w:line="600" w:lineRule="exact"/>
        <w:jc w:val="right"/>
        <w:rPr>
          <w:rFonts w:hint="default" w:ascii="Times New Roman" w:hAnsi="Times New Roman" w:eastAsia="方正仿宋_GBK" w:cs="Times New Roman"/>
          <w:sz w:val="32"/>
          <w:szCs w:val="32"/>
          <w:lang w:eastAsia="zh-CN"/>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重庆市綦江区人力资源和社会保障局</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关于同意</w:t>
      </w:r>
      <w:r>
        <w:rPr>
          <w:rFonts w:hint="eastAsia" w:eastAsia="方正小标宋_GBK" w:cs="Times New Roman"/>
          <w:sz w:val="44"/>
          <w:szCs w:val="44"/>
          <w:lang w:val="en-US" w:eastAsia="zh-CN"/>
        </w:rPr>
        <w:t>重庆炙焱动力制造有限公司</w:t>
      </w:r>
      <w:r>
        <w:rPr>
          <w:rFonts w:hint="default" w:ascii="Times New Roman" w:hAnsi="Times New Roman" w:eastAsia="方正小标宋_GBK" w:cs="Times New Roman"/>
          <w:sz w:val="44"/>
          <w:szCs w:val="44"/>
        </w:rPr>
        <w:t>部分</w:t>
      </w: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工作岗位实行特殊工时制度的批复</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重庆炙焱动力制造有限公司：</w:t>
      </w:r>
    </w:p>
    <w:p>
      <w:pPr>
        <w:spacing w:line="60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numPr>
          <w:ilvl w:val="0"/>
          <w:numId w:val="0"/>
        </w:num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rPr>
        <w:t>日期间，实行以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rPr>
        <w:t>为周期的综合计算工时工作制，具体意见如下：</w:t>
      </w:r>
    </w:p>
    <w:p>
      <w:pPr>
        <w:numPr>
          <w:ilvl w:val="0"/>
          <w:numId w:val="0"/>
        </w:numPr>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公司的</w:t>
      </w:r>
      <w:r>
        <w:rPr>
          <w:rFonts w:hint="eastAsia" w:eastAsia="方正仿宋_GBK" w:cs="Times New Roman"/>
          <w:sz w:val="32"/>
          <w:szCs w:val="32"/>
          <w:lang w:val="en-US" w:eastAsia="zh-CN"/>
        </w:rPr>
        <w:t>炊事员、门卫</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rPr>
        <w:t>、此批复及你公司《关于部分工作岗位实行特殊工时制度的请示》应向职工公示15个工作日，并请严格按批复的岗位人员范围依法组织实施，保障职工休息休假等权利。</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pacing w:val="-12"/>
          <w:sz w:val="32"/>
          <w:szCs w:val="32"/>
        </w:rPr>
      </w:pPr>
      <w:r>
        <w:rPr>
          <w:rFonts w:hint="default" w:ascii="Times New Roman" w:hAnsi="Times New Roman" w:eastAsia="方正仿宋_GBK" w:cs="Times New Roman"/>
          <w:spacing w:val="-12"/>
          <w:sz w:val="32"/>
          <w:szCs w:val="32"/>
        </w:rPr>
        <w:t>重庆市綦江区人力资源和社会保障局</w:t>
      </w:r>
    </w:p>
    <w:p>
      <w:pPr>
        <w:wordWrap w:val="0"/>
        <w:spacing w:line="600" w:lineRule="exact"/>
        <w:jc w:val="center"/>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 xml:space="preserve">                                     2023</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12</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28</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B24032D"/>
    <w:rsid w:val="37F919DD"/>
    <w:rsid w:val="45611C51"/>
    <w:rsid w:val="463A673B"/>
    <w:rsid w:val="46A342D6"/>
    <w:rsid w:val="526E0E92"/>
    <w:rsid w:val="5AF52F61"/>
    <w:rsid w:val="694C364E"/>
    <w:rsid w:val="7F164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525</Words>
  <Characters>552</Characters>
  <Lines>0</Lines>
  <Paragraphs>0</Paragraphs>
  <TotalTime>2</TotalTime>
  <ScaleCrop>false</ScaleCrop>
  <LinksUpToDate>false</LinksUpToDate>
  <CharactersWithSpaces>606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2022-01-12T17:22:00Z</dcterms:created>
  <dc:creator>asus</dc:creator>
  <cp:lastModifiedBy>綦江区人社局</cp:lastModifiedBy>
  <cp:lastPrinted>2022-01-13T15:50:00Z</cp:lastPrinted>
  <dcterms:modified xsi:type="dcterms:W3CDTF">2024-01-23T18:19:05Z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5D42E3E9A70D4D229A5F0FD73FF44434_13</vt:lpwstr>
  </property>
</Properties>
</file>