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Style w:val="8"/>
          <w:rFonts w:hint="default" w:ascii="Times New Roman" w:hAnsi="Times New Roman" w:eastAsia="方正小标宋_GBK" w:cs="Times New Roman"/>
          <w:b w:val="0"/>
          <w:bCs/>
          <w:i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/>
          <w:i w:val="0"/>
          <w:caps w:val="0"/>
          <w:color w:val="0F1115"/>
          <w:spacing w:val="0"/>
          <w:sz w:val="44"/>
          <w:szCs w:val="44"/>
          <w:shd w:val="clear" w:fill="FFFFFF"/>
        </w:rPr>
        <w:t>重庆市綦江区农业农村委员会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/>
          <w:i w:val="0"/>
          <w:caps w:val="0"/>
          <w:color w:val="0F1115"/>
          <w:spacing w:val="0"/>
          <w:sz w:val="44"/>
          <w:szCs w:val="44"/>
          <w:shd w:val="clear" w:fill="FFFFFF"/>
        </w:rPr>
        <w:t>2025年政府信息公开工作年度报告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642" w:firstLineChars="200"/>
        <w:jc w:val="center"/>
        <w:textAlignment w:val="auto"/>
        <w:outlineLvl w:val="9"/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根据《中华人民共和国政府信息公开条例》和《国务院办公厅政府信息与政务公开办公室关于印发&lt;中华人民共和国政府信息公开工作年度报告格式&gt;的通知》（国办公开办函〔2021〕30号）要求，现发布《重庆市綦江区农业农村委员会2025年政府信息公开工作年度报告》。本报告所列数据统计时限自2025年1月1日至2025年12月31日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  <w:t>（一）主动公开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我委以区政府门户网站“綦江区农业农村委员会”子网为核心公开平台，同步利用政务新媒体等渠道，依法、及时、准确公开各类政府信息。全年通过区政府网站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和政务新媒体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297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条。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其中：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乡村振兴/工作情况57条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包含各类项目公示、补贴兑现、名单公告、工作成果展示、通知复函等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预算决算公开17条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包含2025年部门预算及2024年度决算公开说明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涉农补贴/惠民惠农资金15条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包含耕地地力保护补贴、雨露计划、各类养殖补助等补贴的申报指南、发放公示与结果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本机关政策文件14条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包含方案、通知、实施办法等规范性及非规范性文件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公告公示9条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，包含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招投标、项目、名单等各类公告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工作动态/工作成果图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109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条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，包含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转载或原创的新闻报道、信息动态及图片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衔接资金及项目7条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包含资金计划、项目库、年度完成情况等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议案提案办理6条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权责清单/行政权力事项3条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，包含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权力事项、公共服务事项清单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其他约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条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含监督渠道、申报指南更新、机构简介、专项工作等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优化政策发布解读，采用图文、问答等多种形式对重要涉农政策进行解读，提升政策知晓率和到达率。及时公开人大代表建议和政协委员提案办理结果。严格按照法定时限更新发布各类信息，确保主动公开内容的时效性和完整性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  <w:t>（二）依申请公开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年区农业农村委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收到政府信息公开申请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  <w:t>（三）政府信息管理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区农业农村委按要求建立健全信息公开工作制度，完善信息公开指南，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重点围绕履职依据、机构职能、财政预决算、重大行政决策、规划计划、行政许可、行政处罚、涉农补贴、乡村振兴、项目建设、工作动态等领域，持续加大主动公开力度。严格落实“三审三校”制度，确保上网信息内容准确、表述规范。持续加强行政规范性文件管理，按要求进行动态清理，及时公开现行有效文件目录及文本。建立健全政府信息公开台账，对公开信息进行分类登记和动态管理。定期对已公开信息进行核查更新，确保信息的有效性、准确性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  <w:t>（四）政府信息公开平台建设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持续优化区政府网站农业农村委子网栏目设置和功能，根据年度重点工作和社会关切，适时调整完善公开专栏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，申请注销“治违禁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控药残 促提示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”等栏目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4个。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加强网站日常巡检和内容维护，确保链接可用、栏目更新及时。推动政务公开与政务服务深度融合，在相关栏目提供便捷的办事指引和服务接口。探索运用新技术提升平台智能化、便捷化水平，改善用户体验。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  <w:t>（五）监督保障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将政府信息公开工作纳入委内年度工作要点和考核范围，强化各科室（站）信息公开责任。由分管领导定期调度，办公室牵头协调，形成齐抓共管的工作格局。组织参加区级和本委举办的政务公开业务培训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次，提升工作人员专业能力和水平。修订完善《綦江区农业农村委员会政府信息公开指南（2025年版）》及相关工作制度。自觉接受社会评议和监督，对外公开投诉举报渠道，对发现的问题及时整改。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6"/>
        <w:tblW w:w="88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2552"/>
        <w:gridCol w:w="19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6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861"/>
        <w:gridCol w:w="7"/>
        <w:gridCol w:w="3010"/>
        <w:gridCol w:w="625"/>
        <w:gridCol w:w="602"/>
        <w:gridCol w:w="588"/>
        <w:gridCol w:w="755"/>
        <w:gridCol w:w="756"/>
        <w:gridCol w:w="56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Header/>
        </w:trPr>
        <w:tc>
          <w:tcPr>
            <w:tcW w:w="4385" w:type="dxa"/>
            <w:gridSpan w:val="4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516" w:type="dxa"/>
            <w:gridSpan w:val="7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4385" w:type="dxa"/>
            <w:gridSpan w:val="4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261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30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Header/>
        </w:trPr>
        <w:tc>
          <w:tcPr>
            <w:tcW w:w="4385" w:type="dxa"/>
            <w:gridSpan w:val="4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30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85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85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7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78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（二）部分公开（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区分处理的，只计这一情形，不计其他情形</w:t>
            </w: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pacing w:val="-6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pacing w:val="-6"/>
                <w:sz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eastAsia" w:ascii="Times New Roman" w:hAnsi="Times New Roman" w:eastAsia="方正书宋_GBK" w:cs="Times New Roman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3.危及</w:t>
            </w:r>
            <w:r>
              <w:rPr>
                <w:rFonts w:hint="eastAsia" w:eastAsia="方正书宋_GBK" w:cs="Times New Roman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三安全一稳定</w:t>
            </w:r>
            <w:r>
              <w:rPr>
                <w:rFonts w:hint="eastAsia" w:eastAsia="方正书宋_GBK" w:cs="Times New Roman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2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0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2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2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385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书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6"/>
        <w:tblW w:w="89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518"/>
        <w:gridCol w:w="546"/>
        <w:gridCol w:w="518"/>
        <w:gridCol w:w="574"/>
        <w:gridCol w:w="550"/>
        <w:gridCol w:w="605"/>
        <w:gridCol w:w="605"/>
        <w:gridCol w:w="605"/>
        <w:gridCol w:w="491"/>
        <w:gridCol w:w="605"/>
        <w:gridCol w:w="605"/>
        <w:gridCol w:w="605"/>
        <w:gridCol w:w="606"/>
        <w:gridCol w:w="9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716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187" w:type="dxa"/>
            <w:gridSpan w:val="10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    政    诉    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0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8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46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18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74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856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331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0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491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6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910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8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6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8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1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Mar>
              <w:left w:w="17" w:type="dxa"/>
              <w:right w:w="17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存在的主要问题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人员衔接与队伍稳定性有待加强。因科室人员岗位调整较为频繁</w:t>
      </w: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且为兼职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，新接手人员对政务公开规范流程与操作要求需一定适应期，工作延续性受到影响，偶有信息发布迟滞。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政策解读深度与形式创新不足。重要政策文件的解读仍以原文或简要说明为主，形式较为单一，运用图文、短视频等生动方式不足，政策透明度和传播效果有待提升。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优化人员衔接与培训机制。完善工作交接清单，加强“传帮带”，并组织开展专题业务培训，缩短新上岗人员适应周期，保障公开工作连续稳定。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仿宋_GBK" w:cs="Times New Roman"/>
          <w:b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推动解读方式多样化。明确要求重要政策同步制作解读材料，鼓励采用图文、问答、动画等形式，提高政策可读性与知晓率。年内已对多项政策开展多样化解读尝试。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  <w:t>本年度，我委在开展政府信息公开工作中，未向申请人收取信息处理费。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53C37"/>
    <w:rsid w:val="01FD58CF"/>
    <w:rsid w:val="047A09DF"/>
    <w:rsid w:val="0F2B60C2"/>
    <w:rsid w:val="0F7718EE"/>
    <w:rsid w:val="14E70D5B"/>
    <w:rsid w:val="15E31EF8"/>
    <w:rsid w:val="306F78B6"/>
    <w:rsid w:val="34630E03"/>
    <w:rsid w:val="49FB376E"/>
    <w:rsid w:val="4B153C37"/>
    <w:rsid w:val="50D36CAA"/>
    <w:rsid w:val="54A30BE9"/>
    <w:rsid w:val="5C990CF9"/>
    <w:rsid w:val="6FFFB7E9"/>
    <w:rsid w:val="74F50D90"/>
    <w:rsid w:val="7BE55EFC"/>
    <w:rsid w:val="7EEF12FE"/>
    <w:rsid w:val="7EF533D8"/>
    <w:rsid w:val="7F3A0649"/>
    <w:rsid w:val="7F7F47DA"/>
    <w:rsid w:val="7FDDE904"/>
    <w:rsid w:val="DFF6BAC6"/>
    <w:rsid w:val="F7F61496"/>
    <w:rsid w:val="FDBF8807"/>
    <w:rsid w:val="FDFC4EF5"/>
    <w:rsid w:val="FFB2E155"/>
    <w:rsid w:val="FFD92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3 字符"/>
    <w:link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2676</Words>
  <Characters>2747</Characters>
  <Lines>0</Lines>
  <Paragraphs>0</Paragraphs>
  <TotalTime>56</TotalTime>
  <ScaleCrop>false</ScaleCrop>
  <LinksUpToDate>false</LinksUpToDate>
  <CharactersWithSpaces>2764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2026-01-18T15:00:00Z</dcterms:created>
  <dc:creator>Administrator</dc:creator>
  <cp:lastModifiedBy>user</cp:lastModifiedBy>
  <dcterms:modified xsi:type="dcterms:W3CDTF">2026-02-09T15:46:35Z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eyJoZGlkIjoiZWFiMjUwYzZjNGNhMTBkZWZjNWFmMWRkMjMwNTc0YjUiLCJ1c2VySWQiOiIzOTM1NDA3MTAifQ==</vt:lpwstr>
  </property>
  <property fmtid="{D5CDD505-2E9C-101B-9397-08002B2CF9AE}" pid="4" name="ICV">
    <vt:lpwstr>1E654C99DFC54A51A85F89381EC36609_13</vt:lpwstr>
  </property>
</Properties>
</file>