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autoSpaceDE w:val="0"/>
        <w:spacing w:before="0" w:beforeAutospacing="0" w:after="0" w:afterAutospacing="0" w:line="600" w:lineRule="exact"/>
        <w:jc w:val="center"/>
        <w:rPr>
          <w:rFonts w:ascii="方正小标宋_GBK" w:eastAsia="方正小标宋_GBK"/>
          <w:sz w:val="44"/>
          <w:szCs w:val="44"/>
        </w:rPr>
      </w:pPr>
      <w:r>
        <w:rPr>
          <w:rFonts w:hint="eastAsia" w:ascii="方正小标宋_GBK" w:eastAsia="方正小标宋_GBK"/>
          <w:sz w:val="44"/>
          <w:szCs w:val="44"/>
        </w:rPr>
        <w:t>重庆市綦江区救助管理站</w:t>
      </w:r>
    </w:p>
    <w:p>
      <w:pPr>
        <w:pStyle w:val="9"/>
        <w:autoSpaceDE w:val="0"/>
        <w:spacing w:before="0" w:beforeAutospacing="0" w:after="0" w:afterAutospacing="0" w:line="600" w:lineRule="exact"/>
        <w:jc w:val="center"/>
        <w:rPr>
          <w:rFonts w:hint="eastAsia" w:ascii="方正小标宋_GBK" w:eastAsia="方正小标宋_GBK"/>
          <w:sz w:val="44"/>
          <w:szCs w:val="44"/>
          <w:shd w:val="clear" w:color="auto" w:fill="FFFFFF"/>
        </w:rPr>
      </w:pPr>
      <w:r>
        <w:rPr>
          <w:rFonts w:hint="eastAsia" w:ascii="方正小标宋_GBK" w:eastAsia="方正小标宋_GBK"/>
          <w:sz w:val="44"/>
          <w:szCs w:val="44"/>
          <w:shd w:val="clear" w:color="auto" w:fill="FFFFFF"/>
        </w:rPr>
        <w:t>2024年度决算</w:t>
      </w:r>
      <w:r>
        <w:rPr>
          <w:rFonts w:hint="eastAsia" w:ascii="方正小标宋_GBK" w:eastAsia="方正小标宋_GBK"/>
          <w:sz w:val="44"/>
          <w:szCs w:val="44"/>
          <w:shd w:val="clear" w:color="auto" w:fill="FFFFFF"/>
          <w:lang w:eastAsia="zh-CN"/>
        </w:rPr>
        <w:t>公开</w:t>
      </w:r>
      <w:bookmarkStart w:id="0" w:name="_GoBack"/>
      <w:bookmarkEnd w:id="0"/>
      <w:r>
        <w:rPr>
          <w:rFonts w:hint="eastAsia" w:ascii="方正小标宋_GBK" w:eastAsia="方正小标宋_GBK"/>
          <w:sz w:val="44"/>
          <w:szCs w:val="44"/>
          <w:shd w:val="clear" w:color="auto" w:fill="FFFFFF"/>
        </w:rPr>
        <w:t>说明</w:t>
      </w:r>
    </w:p>
    <w:p>
      <w:pPr>
        <w:pStyle w:val="9"/>
        <w:keepNext w:val="0"/>
        <w:keepLines w:val="0"/>
        <w:pageBreakBefore w:val="0"/>
        <w:widowControl/>
        <w:shd w:val="clear" w:color="auto" w:fill="FFFFFF"/>
        <w:kinsoku/>
        <w:wordWrap/>
        <w:overflowPunct/>
        <w:topLinePunct w:val="0"/>
        <w:autoSpaceDE w:val="0"/>
        <w:autoSpaceDN/>
        <w:bidi w:val="0"/>
        <w:adjustRightInd/>
        <w:spacing w:before="0" w:beforeAutospacing="0" w:after="0" w:afterAutospacing="0" w:line="600" w:lineRule="exact"/>
        <w:ind w:left="0" w:leftChars="0" w:right="0" w:rightChars="0" w:firstLine="640" w:firstLineChars="200"/>
        <w:textAlignment w:val="auto"/>
        <w:outlineLvl w:val="9"/>
        <w:rPr>
          <w:rStyle w:val="20"/>
          <w:rFonts w:hint="eastAsia" w:ascii="方正黑体_GBK" w:eastAsia="方正黑体_GBK"/>
          <w:b w:val="0"/>
          <w:bCs w:val="0"/>
          <w:sz w:val="32"/>
          <w:szCs w:val="32"/>
        </w:rPr>
      </w:pPr>
      <w:r>
        <w:rPr>
          <w:rStyle w:val="20"/>
          <w:rFonts w:hint="eastAsia" w:ascii="方正黑体_GBK" w:eastAsia="方正黑体_GBK"/>
          <w:b w:val="0"/>
          <w:bCs w:val="0"/>
          <w:sz w:val="32"/>
          <w:szCs w:val="32"/>
          <w:shd w:val="clear" w:color="auto" w:fill="FFFFFF"/>
        </w:rPr>
        <w:t>一、单位基本情况</w:t>
      </w:r>
    </w:p>
    <w:p>
      <w:pPr>
        <w:pStyle w:val="9"/>
        <w:keepNext w:val="0"/>
        <w:keepLines w:val="0"/>
        <w:pageBreakBefore w:val="0"/>
        <w:widowControl/>
        <w:shd w:val="clear" w:color="auto" w:fill="FFFFFF"/>
        <w:kinsoku/>
        <w:wordWrap/>
        <w:overflowPunct/>
        <w:topLinePunct w:val="0"/>
        <w:autoSpaceDE w:val="0"/>
        <w:autoSpaceDN/>
        <w:bidi w:val="0"/>
        <w:adjustRightInd/>
        <w:spacing w:before="0" w:beforeAutospacing="0" w:after="0" w:afterAutospacing="0" w:line="600" w:lineRule="exact"/>
        <w:ind w:left="0" w:leftChars="0" w:right="0" w:rightChars="0" w:firstLine="640" w:firstLineChars="200"/>
        <w:textAlignment w:val="auto"/>
        <w:outlineLvl w:val="9"/>
        <w:rPr>
          <w:rFonts w:hint="eastAsia" w:ascii="方正楷体_GBK" w:eastAsia="方正楷体_GBK"/>
          <w:sz w:val="32"/>
          <w:szCs w:val="32"/>
        </w:rPr>
      </w:pPr>
      <w:r>
        <w:rPr>
          <w:rStyle w:val="20"/>
          <w:rFonts w:hint="eastAsia" w:ascii="方正楷体_GBK" w:eastAsia="方正楷体_GBK"/>
          <w:b w:val="0"/>
          <w:bCs w:val="0"/>
          <w:sz w:val="32"/>
          <w:szCs w:val="32"/>
          <w:shd w:val="clear" w:color="auto" w:fill="FFFFFF"/>
        </w:rPr>
        <w:t>（一）职能职责</w:t>
      </w:r>
    </w:p>
    <w:p>
      <w:pPr>
        <w:keepNext w:val="0"/>
        <w:keepLines w:val="0"/>
        <w:pageBreakBefore w:val="0"/>
        <w:widowControl/>
        <w:kinsoku/>
        <w:wordWrap/>
        <w:overflowPunct/>
        <w:topLinePunct w:val="0"/>
        <w:autoSpaceDE w:val="0"/>
        <w:autoSpaceDN/>
        <w:bidi w:val="0"/>
        <w:adjustRightInd/>
        <w:spacing w:line="600" w:lineRule="exact"/>
        <w:ind w:left="0" w:leftChars="0" w:right="0" w:rightChars="0" w:firstLine="640" w:firstLineChars="200"/>
        <w:textAlignment w:val="auto"/>
        <w:outlineLvl w:val="9"/>
        <w:rPr>
          <w:rFonts w:hint="eastAsia" w:eastAsia="方正仿宋_GBK"/>
          <w:color w:val="FF0000"/>
          <w:sz w:val="32"/>
          <w:szCs w:val="32"/>
        </w:rPr>
      </w:pPr>
      <w:r>
        <w:rPr>
          <w:rFonts w:hint="eastAsia" w:ascii="方正仿宋_GBK" w:eastAsia="方正仿宋_GBK"/>
          <w:sz w:val="32"/>
          <w:szCs w:val="32"/>
        </w:rPr>
        <w:t>綦江区救助管理站主要负责宣传贯彻执行《救助管理办法》和民政部《救助管理办法实施细则》；负责为生活无着的流浪乞讨人员提供护送返乡和满足基本生活需要的服务工作；负责为未成年人提供救助、关爱、教育矫治、保护工作；完成主管部门交办的其他工作。</w:t>
      </w:r>
    </w:p>
    <w:p>
      <w:pPr>
        <w:pStyle w:val="9"/>
        <w:keepNext w:val="0"/>
        <w:keepLines w:val="0"/>
        <w:pageBreakBefore w:val="0"/>
        <w:widowControl/>
        <w:shd w:val="clear" w:color="auto" w:fill="FFFFFF"/>
        <w:kinsoku/>
        <w:wordWrap/>
        <w:overflowPunct/>
        <w:topLinePunct w:val="0"/>
        <w:autoSpaceDE w:val="0"/>
        <w:autoSpaceDN/>
        <w:bidi w:val="0"/>
        <w:adjustRightInd/>
        <w:spacing w:before="0" w:beforeAutospacing="0" w:after="0" w:afterAutospacing="0" w:line="600" w:lineRule="exact"/>
        <w:ind w:left="0" w:leftChars="0" w:right="0" w:rightChars="0" w:firstLine="640" w:firstLineChars="200"/>
        <w:textAlignment w:val="auto"/>
        <w:outlineLvl w:val="9"/>
        <w:rPr>
          <w:rFonts w:hint="eastAsia" w:ascii="方正楷体_GBK" w:eastAsia="方正楷体_GBK"/>
          <w:sz w:val="32"/>
          <w:szCs w:val="32"/>
        </w:rPr>
      </w:pPr>
      <w:r>
        <w:rPr>
          <w:rStyle w:val="20"/>
          <w:rFonts w:hint="eastAsia" w:ascii="方正楷体_GBK" w:eastAsia="方正楷体_GBK"/>
          <w:b w:val="0"/>
          <w:bCs w:val="0"/>
          <w:sz w:val="32"/>
          <w:szCs w:val="32"/>
          <w:shd w:val="clear" w:color="auto" w:fill="FFFFFF"/>
        </w:rPr>
        <w:t>（二）机构设置</w:t>
      </w:r>
    </w:p>
    <w:p>
      <w:pPr>
        <w:pStyle w:val="9"/>
        <w:keepNext w:val="0"/>
        <w:keepLines w:val="0"/>
        <w:pageBreakBefore w:val="0"/>
        <w:widowControl/>
        <w:kinsoku/>
        <w:wordWrap/>
        <w:overflowPunct/>
        <w:topLinePunct w:val="0"/>
        <w:autoSpaceDE w:val="0"/>
        <w:autoSpaceDN/>
        <w:bidi w:val="0"/>
        <w:adjustRightInd/>
        <w:snapToGrid w:val="0"/>
        <w:spacing w:before="0" w:beforeAutospacing="0" w:after="0" w:afterAutospacing="0" w:line="600" w:lineRule="exact"/>
        <w:ind w:left="0" w:leftChars="0" w:right="0" w:rightChars="0" w:firstLine="640" w:firstLineChars="200"/>
        <w:textAlignment w:val="auto"/>
        <w:outlineLvl w:val="9"/>
        <w:rPr>
          <w:rFonts w:hint="eastAsia" w:ascii="方正仿宋_GBK" w:eastAsia="方正仿宋_GBK"/>
          <w:sz w:val="32"/>
          <w:szCs w:val="32"/>
        </w:rPr>
      </w:pPr>
      <w:r>
        <w:rPr>
          <w:rFonts w:hint="eastAsia" w:ascii="方正仿宋_GBK" w:eastAsia="方正仿宋_GBK"/>
          <w:sz w:val="32"/>
          <w:szCs w:val="32"/>
        </w:rPr>
        <w:t>綦江区救助管理站为财政全额拨款公益一类事业单位，事业编制8名。设站长1名，副站长1名。</w:t>
      </w:r>
    </w:p>
    <w:p>
      <w:pPr>
        <w:pStyle w:val="9"/>
        <w:keepNext w:val="0"/>
        <w:keepLines w:val="0"/>
        <w:pageBreakBefore w:val="0"/>
        <w:widowControl/>
        <w:shd w:val="clear" w:color="auto" w:fill="FFFFFF"/>
        <w:kinsoku/>
        <w:wordWrap/>
        <w:overflowPunct/>
        <w:topLinePunct w:val="0"/>
        <w:autoSpaceDE w:val="0"/>
        <w:autoSpaceDN/>
        <w:bidi w:val="0"/>
        <w:adjustRightInd/>
        <w:spacing w:before="0" w:beforeAutospacing="0" w:after="0" w:afterAutospacing="0" w:line="600" w:lineRule="exact"/>
        <w:ind w:left="0" w:leftChars="0" w:right="0" w:rightChars="0" w:firstLine="640" w:firstLineChars="200"/>
        <w:textAlignment w:val="auto"/>
        <w:outlineLvl w:val="9"/>
        <w:rPr>
          <w:rStyle w:val="20"/>
          <w:rFonts w:hint="eastAsia" w:ascii="方正黑体_GBK" w:eastAsia="方正黑体_GBK"/>
          <w:b w:val="0"/>
          <w:bCs w:val="0"/>
          <w:sz w:val="32"/>
          <w:szCs w:val="32"/>
          <w:shd w:val="clear" w:color="auto" w:fill="FFFFFF"/>
        </w:rPr>
      </w:pPr>
      <w:r>
        <w:rPr>
          <w:rStyle w:val="20"/>
          <w:rFonts w:hint="eastAsia" w:ascii="方正黑体_GBK" w:eastAsia="方正黑体_GBK"/>
          <w:b w:val="0"/>
          <w:bCs w:val="0"/>
          <w:sz w:val="32"/>
          <w:szCs w:val="32"/>
          <w:shd w:val="clear" w:color="auto" w:fill="FFFFFF"/>
        </w:rPr>
        <w:t>二、单位决算收支情况说明</w:t>
      </w:r>
    </w:p>
    <w:p>
      <w:pPr>
        <w:pStyle w:val="14"/>
        <w:keepNext w:val="0"/>
        <w:keepLines w:val="0"/>
        <w:pageBreakBefore w:val="0"/>
        <w:widowControl/>
        <w:kinsoku/>
        <w:wordWrap/>
        <w:overflowPunct/>
        <w:topLinePunct w:val="0"/>
        <w:autoSpaceDE w:val="0"/>
        <w:autoSpaceDN/>
        <w:bidi w:val="0"/>
        <w:adjustRightInd/>
        <w:spacing w:line="600" w:lineRule="exact"/>
        <w:ind w:left="0" w:leftChars="0" w:right="0" w:rightChars="0" w:firstLine="640" w:firstLineChars="200"/>
        <w:textAlignment w:val="auto"/>
        <w:outlineLvl w:val="9"/>
        <w:rPr>
          <w:rFonts w:hint="eastAsia" w:ascii="楷体" w:hAnsi="楷体" w:eastAsia="楷体"/>
          <w:b/>
          <w:bCs/>
          <w:sz w:val="32"/>
          <w:szCs w:val="32"/>
        </w:rPr>
      </w:pPr>
      <w:r>
        <w:rPr>
          <w:rFonts w:hint="eastAsia" w:ascii="方正楷体_GBK" w:eastAsia="方正楷体_GBK"/>
          <w:sz w:val="32"/>
          <w:szCs w:val="32"/>
          <w:shd w:val="clear" w:color="auto" w:fill="FFFFFF"/>
        </w:rPr>
        <w:t>（一）收入支出决算总体情况说明</w:t>
      </w:r>
    </w:p>
    <w:p>
      <w:pPr>
        <w:pStyle w:val="9"/>
        <w:keepNext w:val="0"/>
        <w:keepLines w:val="0"/>
        <w:pageBreakBefore w:val="0"/>
        <w:widowControl/>
        <w:shd w:val="clear" w:color="auto" w:fill="FFFFFF"/>
        <w:kinsoku/>
        <w:wordWrap/>
        <w:overflowPunct/>
        <w:topLinePunct w:val="0"/>
        <w:autoSpaceDE w:val="0"/>
        <w:autoSpaceDN/>
        <w:bidi w:val="0"/>
        <w:adjustRightInd/>
        <w:spacing w:before="0" w:beforeAutospacing="0" w:after="0" w:afterAutospacing="0" w:line="600" w:lineRule="exact"/>
        <w:ind w:left="0" w:leftChars="0" w:right="0" w:rightChars="0" w:firstLine="640" w:firstLineChars="200"/>
        <w:jc w:val="both"/>
        <w:textAlignment w:val="auto"/>
        <w:outlineLvl w:val="9"/>
        <w:rPr>
          <w:rFonts w:hint="eastAsia" w:ascii="方正仿宋_GBK" w:eastAsia="方正仿宋_GBK"/>
          <w:color w:val="FF0000"/>
          <w:sz w:val="32"/>
          <w:szCs w:val="32"/>
          <w:shd w:val="clear" w:color="auto" w:fill="FFFFFF"/>
        </w:rPr>
      </w:pPr>
      <w:r>
        <w:rPr>
          <w:rFonts w:hint="eastAsia" w:ascii="方正仿宋_GBK" w:eastAsia="方正仿宋_GBK"/>
          <w:sz w:val="32"/>
          <w:szCs w:val="32"/>
          <w:shd w:val="clear" w:color="auto" w:fill="FFFFFF"/>
        </w:rPr>
        <w:t>2024年度收、支总计均为190.90万元。收、支与2023年度相比，增加7.72万元，增长4.2%，</w:t>
      </w:r>
      <w:r>
        <w:rPr>
          <w:rFonts w:hint="eastAsia" w:ascii="方正仿宋_GBK" w:eastAsia="方正仿宋_GBK"/>
          <w:sz w:val="32"/>
          <w:szCs w:val="32"/>
        </w:rPr>
        <w:t>主要原因是人员调资，补发以前年度考核等，本年收支较上年增加。</w:t>
      </w:r>
    </w:p>
    <w:p>
      <w:pPr>
        <w:pStyle w:val="9"/>
        <w:keepNext w:val="0"/>
        <w:keepLines w:val="0"/>
        <w:pageBreakBefore w:val="0"/>
        <w:widowControl/>
        <w:shd w:val="clear" w:color="auto" w:fill="FFFFFF"/>
        <w:kinsoku/>
        <w:wordWrap/>
        <w:overflowPunct/>
        <w:topLinePunct w:val="0"/>
        <w:autoSpaceDE w:val="0"/>
        <w:autoSpaceDN/>
        <w:bidi w:val="0"/>
        <w:adjustRightInd/>
        <w:spacing w:before="0" w:beforeAutospacing="0" w:after="0" w:afterAutospacing="0" w:line="600" w:lineRule="exact"/>
        <w:ind w:left="0" w:leftChars="0" w:right="0" w:rightChars="0" w:firstLine="643" w:firstLineChars="200"/>
        <w:jc w:val="both"/>
        <w:textAlignment w:val="auto"/>
        <w:outlineLvl w:val="9"/>
        <w:rPr>
          <w:rFonts w:hint="eastAsia" w:ascii="方正仿宋_GBK" w:eastAsia="方正仿宋_GBK"/>
          <w:sz w:val="32"/>
          <w:szCs w:val="32"/>
          <w:shd w:val="clear" w:color="auto" w:fill="FFFFFF"/>
        </w:rPr>
      </w:pPr>
      <w:r>
        <w:rPr>
          <w:rStyle w:val="20"/>
          <w:rFonts w:hint="eastAsia" w:ascii="方正仿宋_GBK" w:eastAsia="方正仿宋_GBK"/>
          <w:sz w:val="32"/>
          <w:szCs w:val="32"/>
          <w:shd w:val="clear" w:color="auto" w:fill="FFFFFF"/>
        </w:rPr>
        <w:t>1.收入情况。</w:t>
      </w:r>
      <w:r>
        <w:rPr>
          <w:rFonts w:hint="eastAsia" w:ascii="方正仿宋_GBK" w:eastAsia="方正仿宋_GBK"/>
          <w:sz w:val="32"/>
          <w:szCs w:val="32"/>
          <w:shd w:val="clear" w:color="auto" w:fill="FFFFFF"/>
        </w:rPr>
        <w:t>2024年度收入合计190.90万元，与2023年度相比，增加7.72万元，增长4.2%，主要原因是人员调资，补发以前年度考核等，本年收入较上年增加。其中：财政拨款收入190.90万元，占100.0%；事业收入0.00万元，占0.0%；经营收入0.00万元，占0.0%；其他收入0.00万元，占0.0%。此外，使用非财政拨款结余（含专用结余）0.00万元，年初结转和结余0.00万元。</w:t>
      </w:r>
    </w:p>
    <w:p>
      <w:pPr>
        <w:pStyle w:val="9"/>
        <w:keepNext w:val="0"/>
        <w:keepLines w:val="0"/>
        <w:pageBreakBefore w:val="0"/>
        <w:widowControl/>
        <w:kinsoku/>
        <w:wordWrap/>
        <w:overflowPunct/>
        <w:topLinePunct w:val="0"/>
        <w:autoSpaceDE w:val="0"/>
        <w:autoSpaceDN/>
        <w:bidi w:val="0"/>
        <w:adjustRightInd/>
        <w:snapToGrid w:val="0"/>
        <w:spacing w:before="0" w:beforeAutospacing="0" w:after="0" w:afterAutospacing="0" w:line="600" w:lineRule="exact"/>
        <w:ind w:left="0" w:leftChars="0" w:right="0" w:rightChars="0" w:firstLine="643" w:firstLineChars="200"/>
        <w:jc w:val="both"/>
        <w:textAlignment w:val="auto"/>
        <w:outlineLvl w:val="9"/>
        <w:rPr>
          <w:rFonts w:hint="eastAsia" w:ascii="方正仿宋_GBK" w:eastAsia="方正仿宋_GBK"/>
          <w:sz w:val="32"/>
          <w:szCs w:val="32"/>
          <w:shd w:val="clear" w:color="auto" w:fill="FFFFFF"/>
        </w:rPr>
      </w:pPr>
      <w:r>
        <w:rPr>
          <w:rStyle w:val="20"/>
          <w:rFonts w:hint="eastAsia" w:ascii="方正仿宋_GBK" w:eastAsia="方正仿宋_GBK"/>
          <w:sz w:val="32"/>
          <w:szCs w:val="32"/>
          <w:shd w:val="clear" w:color="auto" w:fill="FFFFFF"/>
        </w:rPr>
        <w:t>2.支出情况。</w:t>
      </w:r>
      <w:r>
        <w:rPr>
          <w:rFonts w:hint="eastAsia" w:ascii="方正仿宋_GBK" w:eastAsia="方正仿宋_GBK"/>
          <w:sz w:val="32"/>
          <w:szCs w:val="32"/>
          <w:shd w:val="clear" w:color="auto" w:fill="FFFFFF"/>
        </w:rPr>
        <w:t>2024年度支出合计190.90万元，与2023年度相比，增加7.72万元，增长4.2%，</w:t>
      </w:r>
      <w:r>
        <w:rPr>
          <w:rFonts w:hint="eastAsia" w:ascii="方正仿宋_GBK" w:eastAsia="方正仿宋_GBK"/>
          <w:sz w:val="32"/>
          <w:szCs w:val="32"/>
        </w:rPr>
        <w:t>主要原因是人员调资，补发以前年度考核等，本年支出较上年增加。</w:t>
      </w:r>
      <w:r>
        <w:rPr>
          <w:rFonts w:hint="eastAsia" w:ascii="方正仿宋_GBK" w:eastAsia="方正仿宋_GBK"/>
          <w:sz w:val="32"/>
          <w:szCs w:val="32"/>
          <w:shd w:val="clear" w:color="auto" w:fill="FFFFFF"/>
        </w:rPr>
        <w:t>其中：基本支出167.33万元，占87.7%；项目支出23.57万元，占12.4%；经营支出</w:t>
      </w:r>
      <w:r>
        <w:rPr>
          <w:rFonts w:hint="eastAsia" w:ascii="方正仿宋_GBK" w:eastAsia="方正仿宋_GBK"/>
          <w:sz w:val="32"/>
          <w:szCs w:val="32"/>
        </w:rPr>
        <w:t>0.00</w:t>
      </w:r>
      <w:r>
        <w:rPr>
          <w:rFonts w:hint="eastAsia" w:ascii="方正仿宋_GBK" w:eastAsia="方正仿宋_GBK"/>
          <w:sz w:val="32"/>
          <w:szCs w:val="32"/>
          <w:shd w:val="clear" w:color="auto" w:fill="FFFFFF"/>
        </w:rPr>
        <w:t>万元，占0.0%。此外，结余分配0.00万元。</w:t>
      </w:r>
    </w:p>
    <w:p>
      <w:pPr>
        <w:pStyle w:val="9"/>
        <w:keepNext w:val="0"/>
        <w:keepLines w:val="0"/>
        <w:pageBreakBefore w:val="0"/>
        <w:widowControl/>
        <w:kinsoku/>
        <w:wordWrap/>
        <w:overflowPunct/>
        <w:topLinePunct w:val="0"/>
        <w:autoSpaceDE w:val="0"/>
        <w:autoSpaceDN/>
        <w:bidi w:val="0"/>
        <w:adjustRightInd/>
        <w:snapToGrid w:val="0"/>
        <w:spacing w:before="0" w:beforeAutospacing="0" w:after="0" w:afterAutospacing="0" w:line="600" w:lineRule="exact"/>
        <w:ind w:left="0" w:leftChars="0" w:right="0" w:rightChars="0" w:firstLine="643" w:firstLineChars="200"/>
        <w:jc w:val="both"/>
        <w:textAlignment w:val="auto"/>
        <w:outlineLvl w:val="9"/>
        <w:rPr>
          <w:rFonts w:hint="eastAsia" w:ascii="方正仿宋_GBK" w:eastAsia="方正仿宋_GBK"/>
          <w:sz w:val="32"/>
          <w:szCs w:val="32"/>
        </w:rPr>
      </w:pPr>
      <w:r>
        <w:rPr>
          <w:rStyle w:val="20"/>
          <w:rFonts w:hint="eastAsia" w:ascii="方正仿宋_GBK" w:eastAsia="方正仿宋_GBK"/>
          <w:sz w:val="32"/>
          <w:szCs w:val="32"/>
          <w:shd w:val="clear" w:color="auto" w:fill="FFFFFF"/>
        </w:rPr>
        <w:t>3.结转结余情况。</w:t>
      </w:r>
      <w:r>
        <w:rPr>
          <w:rFonts w:hint="eastAsia" w:ascii="方正仿宋_GBK" w:eastAsia="方正仿宋_GBK"/>
          <w:sz w:val="32"/>
          <w:szCs w:val="32"/>
          <w:shd w:val="clear" w:color="auto" w:fill="FFFFFF"/>
        </w:rPr>
        <w:t>2024年度年末结转和结余0.00万元，与2023年度相比，无增减。</w:t>
      </w:r>
    </w:p>
    <w:p>
      <w:pPr>
        <w:pStyle w:val="14"/>
        <w:keepNext w:val="0"/>
        <w:keepLines w:val="0"/>
        <w:pageBreakBefore w:val="0"/>
        <w:widowControl/>
        <w:kinsoku/>
        <w:wordWrap/>
        <w:overflowPunct/>
        <w:topLinePunct w:val="0"/>
        <w:autoSpaceDE w:val="0"/>
        <w:autoSpaceDN/>
        <w:bidi w:val="0"/>
        <w:adjustRightInd/>
        <w:spacing w:line="600" w:lineRule="exact"/>
        <w:ind w:left="0" w:leftChars="0" w:right="0" w:rightChars="0" w:firstLine="640" w:firstLineChars="200"/>
        <w:textAlignment w:val="auto"/>
        <w:outlineLvl w:val="9"/>
        <w:rPr>
          <w:rFonts w:hint="eastAsia" w:ascii="方正楷体_GBK" w:eastAsia="方正楷体_GBK"/>
          <w:sz w:val="32"/>
          <w:szCs w:val="32"/>
          <w:shd w:val="clear" w:color="auto" w:fill="FFFFFF"/>
        </w:rPr>
      </w:pPr>
      <w:r>
        <w:rPr>
          <w:rFonts w:hint="eastAsia" w:ascii="方正楷体_GBK" w:eastAsia="方正楷体_GBK"/>
          <w:sz w:val="32"/>
          <w:szCs w:val="32"/>
          <w:shd w:val="clear" w:color="auto" w:fill="FFFFFF"/>
        </w:rPr>
        <w:t>（二）财政拨款收入支出决算总体情况说明</w:t>
      </w:r>
    </w:p>
    <w:p>
      <w:pPr>
        <w:pStyle w:val="9"/>
        <w:keepNext w:val="0"/>
        <w:keepLines w:val="0"/>
        <w:pageBreakBefore w:val="0"/>
        <w:widowControl/>
        <w:kinsoku/>
        <w:wordWrap/>
        <w:overflowPunct/>
        <w:topLinePunct w:val="0"/>
        <w:autoSpaceDE w:val="0"/>
        <w:autoSpaceDN/>
        <w:bidi w:val="0"/>
        <w:adjustRightInd/>
        <w:snapToGrid w:val="0"/>
        <w:spacing w:before="0" w:beforeAutospacing="0" w:after="0" w:afterAutospacing="0" w:line="600" w:lineRule="exact"/>
        <w:ind w:left="0" w:leftChars="0" w:right="0" w:rightChars="0" w:firstLine="640" w:firstLineChars="200"/>
        <w:jc w:val="both"/>
        <w:textAlignment w:val="auto"/>
        <w:outlineLvl w:val="9"/>
        <w:rPr>
          <w:rFonts w:hint="eastAsia" w:ascii="方正仿宋_GBK" w:eastAsia="方正仿宋_GBK"/>
          <w:sz w:val="32"/>
          <w:szCs w:val="32"/>
        </w:rPr>
      </w:pPr>
      <w:r>
        <w:rPr>
          <w:rFonts w:hint="eastAsia" w:ascii="方正仿宋_GBK" w:eastAsia="方正仿宋_GBK"/>
          <w:sz w:val="32"/>
          <w:szCs w:val="32"/>
          <w:shd w:val="clear" w:color="auto" w:fill="FFFFFF"/>
        </w:rPr>
        <w:t>2024年度财政拨款收、支总计均为190.90万元。与2023年度相比，财政拨款收、支总计各增加7.72万元，增长4.2%。</w:t>
      </w:r>
      <w:r>
        <w:rPr>
          <w:rFonts w:hint="eastAsia" w:ascii="方正仿宋_GBK" w:eastAsia="方正仿宋_GBK"/>
          <w:sz w:val="32"/>
          <w:szCs w:val="32"/>
        </w:rPr>
        <w:t>主要原因是人员调资，补发以前年度考核等，本年收支较上年增加。</w:t>
      </w:r>
    </w:p>
    <w:p>
      <w:pPr>
        <w:pStyle w:val="14"/>
        <w:keepNext w:val="0"/>
        <w:keepLines w:val="0"/>
        <w:pageBreakBefore w:val="0"/>
        <w:widowControl/>
        <w:kinsoku/>
        <w:wordWrap/>
        <w:overflowPunct/>
        <w:topLinePunct w:val="0"/>
        <w:autoSpaceDE w:val="0"/>
        <w:autoSpaceDN/>
        <w:bidi w:val="0"/>
        <w:adjustRightInd/>
        <w:spacing w:line="600" w:lineRule="exact"/>
        <w:ind w:left="0" w:leftChars="0" w:right="0" w:rightChars="0" w:firstLine="640" w:firstLineChars="200"/>
        <w:textAlignment w:val="auto"/>
        <w:outlineLvl w:val="9"/>
        <w:rPr>
          <w:rFonts w:hint="eastAsia" w:ascii="方正楷体_GBK" w:eastAsia="方正楷体_GBK"/>
          <w:sz w:val="32"/>
          <w:szCs w:val="32"/>
          <w:shd w:val="clear" w:color="auto" w:fill="FFFFFF"/>
        </w:rPr>
      </w:pPr>
      <w:r>
        <w:rPr>
          <w:rFonts w:hint="eastAsia" w:ascii="方正楷体_GBK" w:eastAsia="方正楷体_GBK"/>
          <w:sz w:val="32"/>
          <w:szCs w:val="32"/>
          <w:shd w:val="clear" w:color="auto" w:fill="FFFFFF"/>
        </w:rPr>
        <w:t>（三）一般公共预算财政拨款收入支出决算情况说明</w:t>
      </w:r>
    </w:p>
    <w:p>
      <w:pPr>
        <w:pStyle w:val="9"/>
        <w:keepNext w:val="0"/>
        <w:keepLines w:val="0"/>
        <w:pageBreakBefore w:val="0"/>
        <w:widowControl/>
        <w:kinsoku/>
        <w:wordWrap/>
        <w:overflowPunct/>
        <w:topLinePunct w:val="0"/>
        <w:autoSpaceDE w:val="0"/>
        <w:autoSpaceDN/>
        <w:bidi w:val="0"/>
        <w:adjustRightInd/>
        <w:snapToGrid w:val="0"/>
        <w:spacing w:before="0" w:beforeAutospacing="0" w:after="0" w:afterAutospacing="0" w:line="600" w:lineRule="exact"/>
        <w:ind w:left="0" w:leftChars="0" w:right="0" w:rightChars="0" w:firstLine="643" w:firstLineChars="200"/>
        <w:jc w:val="both"/>
        <w:textAlignment w:val="auto"/>
        <w:outlineLvl w:val="9"/>
        <w:rPr>
          <w:rFonts w:hint="eastAsia" w:ascii="方正仿宋_GBK" w:hAnsi="方正仿宋_GBK" w:eastAsia="方正仿宋_GBK" w:cs="方正仿宋_GBK"/>
          <w:sz w:val="32"/>
          <w:szCs w:val="32"/>
        </w:rPr>
      </w:pPr>
      <w:r>
        <w:rPr>
          <w:rStyle w:val="20"/>
          <w:rFonts w:hint="eastAsia" w:ascii="方正仿宋_GBK" w:hAnsi="方正仿宋_GBK" w:eastAsia="方正仿宋_GBK" w:cs="方正仿宋_GBK"/>
          <w:sz w:val="32"/>
          <w:szCs w:val="32"/>
          <w:shd w:val="clear" w:color="auto" w:fill="FFFFFF"/>
        </w:rPr>
        <w:t>1.收入情况。</w:t>
      </w:r>
      <w:r>
        <w:rPr>
          <w:rFonts w:hint="eastAsia" w:ascii="方正仿宋_GBK" w:hAnsi="方正仿宋_GBK" w:eastAsia="方正仿宋_GBK" w:cs="方正仿宋_GBK"/>
          <w:sz w:val="32"/>
          <w:szCs w:val="32"/>
          <w:shd w:val="clear" w:color="auto" w:fill="FFFFFF"/>
        </w:rPr>
        <w:t>2024年度一般公共预算财政拨款收入190.90万元，与2023年度相比，增加7.72万元，增长4.2%。</w:t>
      </w:r>
      <w:r>
        <w:rPr>
          <w:rFonts w:hint="eastAsia" w:ascii="方正仿宋_GBK" w:hAnsi="方正仿宋_GBK" w:eastAsia="方正仿宋_GBK" w:cs="方正仿宋_GBK"/>
          <w:sz w:val="32"/>
          <w:szCs w:val="32"/>
        </w:rPr>
        <w:t>主要原因是人员调资，补发以前年度考核等，本年收入较上年增加。</w:t>
      </w:r>
      <w:r>
        <w:rPr>
          <w:rFonts w:hint="eastAsia" w:ascii="方正仿宋_GBK" w:hAnsi="方正仿宋_GBK" w:eastAsia="方正仿宋_GBK" w:cs="方正仿宋_GBK"/>
          <w:sz w:val="32"/>
          <w:szCs w:val="32"/>
          <w:shd w:val="clear" w:color="auto" w:fill="FFFFFF"/>
        </w:rPr>
        <w:t>较年初预算数减少29.83万元，下降13.5%。主要原因是近年来</w:t>
      </w:r>
      <w:r>
        <w:rPr>
          <w:rFonts w:hint="eastAsia" w:ascii="方正仿宋_GBK" w:hAnsi="方正仿宋_GBK" w:eastAsia="方正仿宋_GBK" w:cs="方正仿宋_GBK"/>
          <w:sz w:val="32"/>
          <w:szCs w:val="32"/>
        </w:rPr>
        <w:t>流浪乞讨救助工作成效显著，流浪乞讨救助专项收入较年初预算减少。此外，年初财政拨款结转和结余0.00万元。</w:t>
      </w:r>
    </w:p>
    <w:p>
      <w:pPr>
        <w:pStyle w:val="9"/>
        <w:keepNext w:val="0"/>
        <w:keepLines w:val="0"/>
        <w:pageBreakBefore w:val="0"/>
        <w:widowControl/>
        <w:kinsoku/>
        <w:wordWrap/>
        <w:overflowPunct/>
        <w:topLinePunct w:val="0"/>
        <w:autoSpaceDE w:val="0"/>
        <w:autoSpaceDN/>
        <w:bidi w:val="0"/>
        <w:adjustRightInd/>
        <w:snapToGrid w:val="0"/>
        <w:spacing w:before="0" w:beforeAutospacing="0" w:after="0" w:afterAutospacing="0" w:line="600" w:lineRule="exact"/>
        <w:ind w:left="0" w:leftChars="0" w:right="0" w:rightChars="0" w:firstLine="643" w:firstLineChars="200"/>
        <w:jc w:val="both"/>
        <w:textAlignment w:val="auto"/>
        <w:outlineLvl w:val="9"/>
        <w:rPr>
          <w:rFonts w:hint="eastAsia" w:ascii="方正仿宋_GBK" w:hAnsi="方正仿宋_GBK" w:eastAsia="方正仿宋_GBK" w:cs="方正仿宋_GBK"/>
          <w:color w:val="FF0000"/>
          <w:sz w:val="32"/>
          <w:szCs w:val="32"/>
          <w:shd w:val="clear" w:color="auto" w:fill="FFFFFF"/>
        </w:rPr>
      </w:pPr>
      <w:r>
        <w:rPr>
          <w:rStyle w:val="20"/>
          <w:rFonts w:hint="eastAsia" w:ascii="方正仿宋_GBK" w:hAnsi="方正仿宋_GBK" w:eastAsia="方正仿宋_GBK" w:cs="方正仿宋_GBK"/>
          <w:sz w:val="32"/>
          <w:szCs w:val="32"/>
          <w:shd w:val="clear" w:color="auto" w:fill="FFFFFF"/>
        </w:rPr>
        <w:t>2.支出情况。</w:t>
      </w:r>
      <w:r>
        <w:rPr>
          <w:rFonts w:hint="eastAsia" w:ascii="方正仿宋_GBK" w:hAnsi="方正仿宋_GBK" w:eastAsia="方正仿宋_GBK" w:cs="方正仿宋_GBK"/>
          <w:sz w:val="32"/>
          <w:szCs w:val="32"/>
          <w:shd w:val="clear" w:color="auto" w:fill="FFFFFF"/>
        </w:rPr>
        <w:t>2024年度一般公共预算财政拨款支出190.90万元，与2023年度相比，增加7.72万元，增长4.2%。</w:t>
      </w:r>
      <w:r>
        <w:rPr>
          <w:rFonts w:hint="eastAsia" w:ascii="方正仿宋_GBK" w:hAnsi="方正仿宋_GBK" w:eastAsia="方正仿宋_GBK" w:cs="方正仿宋_GBK"/>
          <w:sz w:val="32"/>
          <w:szCs w:val="32"/>
        </w:rPr>
        <w:t>主要原因是人员调资，补发以前年度考核等，本年支出较上年增加。</w:t>
      </w:r>
      <w:r>
        <w:rPr>
          <w:rFonts w:hint="eastAsia" w:ascii="方正仿宋_GBK" w:hAnsi="方正仿宋_GBK" w:eastAsia="方正仿宋_GBK" w:cs="方正仿宋_GBK"/>
          <w:sz w:val="32"/>
          <w:szCs w:val="32"/>
          <w:shd w:val="clear" w:color="auto" w:fill="FFFFFF"/>
        </w:rPr>
        <w:t>较年初预算数减少29.83万元，下降13.5%。主要原因是近年来</w:t>
      </w:r>
      <w:r>
        <w:rPr>
          <w:rFonts w:hint="eastAsia" w:ascii="方正仿宋_GBK" w:hAnsi="方正仿宋_GBK" w:eastAsia="方正仿宋_GBK" w:cs="方正仿宋_GBK"/>
          <w:sz w:val="32"/>
          <w:szCs w:val="32"/>
        </w:rPr>
        <w:t>流浪乞讨救助工作成效显著，流浪乞讨救助专项支出较年初预算减少。</w:t>
      </w:r>
    </w:p>
    <w:p>
      <w:pPr>
        <w:pStyle w:val="9"/>
        <w:keepNext w:val="0"/>
        <w:keepLines w:val="0"/>
        <w:pageBreakBefore w:val="0"/>
        <w:widowControl/>
        <w:kinsoku/>
        <w:wordWrap/>
        <w:overflowPunct/>
        <w:topLinePunct w:val="0"/>
        <w:autoSpaceDE w:val="0"/>
        <w:autoSpaceDN/>
        <w:bidi w:val="0"/>
        <w:adjustRightInd/>
        <w:snapToGrid w:val="0"/>
        <w:spacing w:before="0" w:beforeAutospacing="0" w:after="0" w:afterAutospacing="0" w:line="60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一般公共预算财政拨款支出主要用途如下：</w:t>
      </w:r>
    </w:p>
    <w:p>
      <w:pPr>
        <w:pStyle w:val="9"/>
        <w:keepNext w:val="0"/>
        <w:keepLines w:val="0"/>
        <w:pageBreakBefore w:val="0"/>
        <w:widowControl/>
        <w:numPr>
          <w:ilvl w:val="0"/>
          <w:numId w:val="1"/>
        </w:numPr>
        <w:kinsoku/>
        <w:wordWrap/>
        <w:overflowPunct/>
        <w:topLinePunct w:val="0"/>
        <w:autoSpaceDE w:val="0"/>
        <w:autoSpaceDN/>
        <w:bidi w:val="0"/>
        <w:adjustRightInd/>
        <w:snapToGrid w:val="0"/>
        <w:spacing w:before="0" w:beforeAutospacing="0" w:after="0" w:afterAutospacing="0" w:line="60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社会保障和就业支出173.00万元，占90.6%，较年初预算数减少30.45万元，下降15.0%，主要原因是近年来</w:t>
      </w:r>
      <w:r>
        <w:rPr>
          <w:rFonts w:hint="eastAsia" w:ascii="方正仿宋_GBK" w:hAnsi="方正仿宋_GBK" w:eastAsia="方正仿宋_GBK" w:cs="方正仿宋_GBK"/>
          <w:sz w:val="32"/>
          <w:szCs w:val="32"/>
        </w:rPr>
        <w:t>流浪乞讨救助工作成效显著，流浪乞讨救助专项支出较年初预算减少。</w:t>
      </w:r>
    </w:p>
    <w:p>
      <w:pPr>
        <w:pStyle w:val="9"/>
        <w:keepNext w:val="0"/>
        <w:keepLines w:val="0"/>
        <w:pageBreakBefore w:val="0"/>
        <w:widowControl/>
        <w:kinsoku/>
        <w:wordWrap/>
        <w:overflowPunct/>
        <w:topLinePunct w:val="0"/>
        <w:autoSpaceDE w:val="0"/>
        <w:autoSpaceDN/>
        <w:bidi w:val="0"/>
        <w:adjustRightInd/>
        <w:snapToGrid w:val="0"/>
        <w:spacing w:before="0" w:beforeAutospacing="0" w:after="0" w:afterAutospacing="0" w:line="60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（2）卫生健康支出8.01万元，占4.2%，较年初预算数减少0.06万元，下降0.7%，主要原因是本年按照实际缴纳医疗保险等，实际缴纳费用较年初预算少。</w:t>
      </w:r>
    </w:p>
    <w:p>
      <w:pPr>
        <w:keepNext w:val="0"/>
        <w:keepLines w:val="0"/>
        <w:pageBreakBefore w:val="0"/>
        <w:widowControl/>
        <w:kinsoku/>
        <w:wordWrap/>
        <w:overflowPunct/>
        <w:topLinePunct w:val="0"/>
        <w:autoSpaceDE w:val="0"/>
        <w:autoSpaceDN/>
        <w:bidi w:val="0"/>
        <w:adjustRightInd/>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（3）住房保障支出9.89万元，占5.2%，较年初预算数增加0.68万元，增长7.4%，主要原因是正常人员调资，住房公积金支出较年初预算增加。</w:t>
      </w:r>
    </w:p>
    <w:p>
      <w:pPr>
        <w:pStyle w:val="9"/>
        <w:keepNext w:val="0"/>
        <w:keepLines w:val="0"/>
        <w:pageBreakBefore w:val="0"/>
        <w:widowControl/>
        <w:kinsoku/>
        <w:wordWrap/>
        <w:overflowPunct/>
        <w:topLinePunct w:val="0"/>
        <w:autoSpaceDE w:val="0"/>
        <w:autoSpaceDN/>
        <w:bidi w:val="0"/>
        <w:adjustRightInd/>
        <w:snapToGrid w:val="0"/>
        <w:spacing w:before="0" w:beforeAutospacing="0" w:after="0" w:afterAutospacing="0" w:line="600" w:lineRule="exact"/>
        <w:ind w:left="0" w:leftChars="0" w:right="0" w:rightChars="0" w:firstLine="643" w:firstLineChars="200"/>
        <w:jc w:val="both"/>
        <w:textAlignment w:val="auto"/>
        <w:outlineLvl w:val="9"/>
        <w:rPr>
          <w:rFonts w:hint="eastAsia" w:ascii="方正仿宋_GBK" w:hAnsi="方正仿宋_GBK" w:eastAsia="方正仿宋_GBK" w:cs="方正仿宋_GBK"/>
          <w:color w:val="FF0000"/>
          <w:sz w:val="32"/>
          <w:szCs w:val="32"/>
          <w:shd w:val="clear" w:color="auto" w:fill="FFFFFF"/>
        </w:rPr>
      </w:pPr>
      <w:r>
        <w:rPr>
          <w:rStyle w:val="20"/>
          <w:rFonts w:hint="eastAsia" w:ascii="方正仿宋_GBK" w:hAnsi="方正仿宋_GBK" w:eastAsia="方正仿宋_GBK" w:cs="方正仿宋_GBK"/>
          <w:sz w:val="32"/>
          <w:szCs w:val="32"/>
          <w:shd w:val="clear" w:color="auto" w:fill="FFFFFF"/>
        </w:rPr>
        <w:t>3.结转结余情况。</w:t>
      </w:r>
      <w:r>
        <w:rPr>
          <w:rFonts w:hint="eastAsia" w:ascii="方正仿宋_GBK" w:hAnsi="方正仿宋_GBK" w:eastAsia="方正仿宋_GBK" w:cs="方正仿宋_GBK"/>
          <w:sz w:val="32"/>
          <w:szCs w:val="32"/>
          <w:shd w:val="clear" w:color="auto" w:fill="FFFFFF"/>
        </w:rPr>
        <w:t>2024年度年末一般公共预算财政拨款结转和结余0.00万元，与2023年度相比，无增减。</w:t>
      </w:r>
    </w:p>
    <w:p>
      <w:pPr>
        <w:pStyle w:val="14"/>
        <w:keepNext w:val="0"/>
        <w:keepLines w:val="0"/>
        <w:pageBreakBefore w:val="0"/>
        <w:widowControl/>
        <w:kinsoku/>
        <w:wordWrap/>
        <w:overflowPunct/>
        <w:topLinePunct w:val="0"/>
        <w:autoSpaceDE w:val="0"/>
        <w:autoSpaceDN/>
        <w:bidi w:val="0"/>
        <w:adjustRightInd/>
        <w:spacing w:line="600" w:lineRule="exact"/>
        <w:ind w:left="0" w:leftChars="0" w:right="0" w:rightChars="0" w:firstLine="640" w:firstLineChars="200"/>
        <w:textAlignment w:val="auto"/>
        <w:outlineLvl w:val="9"/>
        <w:rPr>
          <w:rFonts w:hint="eastAsia" w:ascii="方正楷体_GBK" w:hAnsi="方正楷体_GBK" w:eastAsia="方正楷体_GBK" w:cs="方正楷体_GBK"/>
          <w:sz w:val="32"/>
          <w:szCs w:val="32"/>
          <w:shd w:val="clear" w:color="auto" w:fill="FFFFFF"/>
        </w:rPr>
      </w:pPr>
      <w:r>
        <w:rPr>
          <w:rFonts w:hint="eastAsia" w:ascii="方正楷体_GBK" w:hAnsi="方正楷体_GBK" w:eastAsia="方正楷体_GBK" w:cs="方正楷体_GBK"/>
          <w:sz w:val="32"/>
          <w:szCs w:val="32"/>
          <w:shd w:val="clear" w:color="auto" w:fill="FFFFFF"/>
        </w:rPr>
        <w:t>（四）一般公共预算财政拨款基本支出决算情况说明</w:t>
      </w:r>
    </w:p>
    <w:p>
      <w:pPr>
        <w:pStyle w:val="9"/>
        <w:keepNext w:val="0"/>
        <w:keepLines w:val="0"/>
        <w:pageBreakBefore w:val="0"/>
        <w:widowControl/>
        <w:kinsoku/>
        <w:wordWrap/>
        <w:overflowPunct/>
        <w:topLinePunct w:val="0"/>
        <w:autoSpaceDE w:val="0"/>
        <w:autoSpaceDN/>
        <w:bidi w:val="0"/>
        <w:adjustRightInd/>
        <w:snapToGrid w:val="0"/>
        <w:spacing w:before="0" w:beforeAutospacing="0" w:after="0" w:afterAutospacing="0" w:line="60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2024年度一般公共财政拨款基本支出167.33万元。其中：</w:t>
      </w:r>
    </w:p>
    <w:p>
      <w:pPr>
        <w:pStyle w:val="9"/>
        <w:keepNext w:val="0"/>
        <w:keepLines w:val="0"/>
        <w:pageBreakBefore w:val="0"/>
        <w:widowControl/>
        <w:kinsoku/>
        <w:wordWrap/>
        <w:overflowPunct/>
        <w:topLinePunct w:val="0"/>
        <w:autoSpaceDE w:val="0"/>
        <w:autoSpaceDN/>
        <w:bidi w:val="0"/>
        <w:adjustRightInd/>
        <w:snapToGrid w:val="0"/>
        <w:spacing w:before="0" w:beforeAutospacing="0" w:after="0" w:afterAutospacing="0" w:line="60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人员经费138.70万元，与2023年度相比，增加17.26万元，增长14.2%，</w:t>
      </w:r>
      <w:r>
        <w:rPr>
          <w:rFonts w:hint="eastAsia" w:ascii="方正仿宋_GBK" w:hAnsi="方正仿宋_GBK" w:eastAsia="方正仿宋_GBK" w:cs="方正仿宋_GBK"/>
          <w:sz w:val="32"/>
          <w:szCs w:val="32"/>
        </w:rPr>
        <w:t>主要原因是人员调资，补发以前年度考核等，本年支出较上年增加。</w:t>
      </w:r>
      <w:r>
        <w:rPr>
          <w:rFonts w:hint="eastAsia" w:ascii="方正仿宋_GBK" w:hAnsi="方正仿宋_GBK" w:eastAsia="方正仿宋_GBK" w:cs="方正仿宋_GBK"/>
          <w:sz w:val="32"/>
          <w:szCs w:val="32"/>
          <w:shd w:val="clear" w:color="auto" w:fill="FFFFFF"/>
        </w:rPr>
        <w:t>人员经费用途主要包括</w:t>
      </w:r>
      <w:r>
        <w:rPr>
          <w:rFonts w:hint="eastAsia" w:ascii="方正仿宋_GBK" w:hAnsi="方正仿宋_GBK" w:eastAsia="方正仿宋_GBK" w:cs="方正仿宋_GBK"/>
          <w:sz w:val="32"/>
          <w:szCs w:val="32"/>
        </w:rPr>
        <w:t>基本工资、津贴补贴、奖金、社会保障缴费等</w:t>
      </w:r>
      <w:r>
        <w:rPr>
          <w:rFonts w:hint="eastAsia" w:ascii="方正仿宋_GBK" w:hAnsi="方正仿宋_GBK" w:eastAsia="方正仿宋_GBK" w:cs="方正仿宋_GBK"/>
          <w:sz w:val="32"/>
          <w:szCs w:val="32"/>
          <w:shd w:val="clear" w:color="auto" w:fill="FFFFFF"/>
        </w:rPr>
        <w:t>。</w:t>
      </w:r>
    </w:p>
    <w:p>
      <w:pPr>
        <w:pStyle w:val="9"/>
        <w:keepNext w:val="0"/>
        <w:keepLines w:val="0"/>
        <w:pageBreakBefore w:val="0"/>
        <w:widowControl/>
        <w:kinsoku/>
        <w:wordWrap/>
        <w:overflowPunct/>
        <w:topLinePunct w:val="0"/>
        <w:autoSpaceDE w:val="0"/>
        <w:autoSpaceDN/>
        <w:bidi w:val="0"/>
        <w:adjustRightInd/>
        <w:snapToGrid w:val="0"/>
        <w:spacing w:before="0" w:beforeAutospacing="0" w:after="0" w:afterAutospacing="0" w:line="60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公用经费28.63万元，与2023年度相比，增加5.95万元，增长26.2%，主要原因是持续加大流浪乞讨救助工作开展力度，公用经费较上年增加。公用经费支出较上年增加。公用经费用途主要包括办公费、印刷费、咨询费、手续费等。</w:t>
      </w:r>
    </w:p>
    <w:p>
      <w:pPr>
        <w:pStyle w:val="9"/>
        <w:keepNext w:val="0"/>
        <w:keepLines w:val="0"/>
        <w:pageBreakBefore w:val="0"/>
        <w:widowControl/>
        <w:kinsoku/>
        <w:wordWrap/>
        <w:overflowPunct/>
        <w:topLinePunct w:val="0"/>
        <w:autoSpaceDE w:val="0"/>
        <w:autoSpaceDN/>
        <w:bidi w:val="0"/>
        <w:adjustRightInd/>
        <w:snapToGrid w:val="0"/>
        <w:spacing w:before="0" w:beforeAutospacing="0" w:after="0" w:afterAutospacing="0" w:line="600" w:lineRule="exact"/>
        <w:ind w:left="0" w:leftChars="0" w:right="0" w:rightChars="0" w:firstLine="640" w:firstLineChars="200"/>
        <w:jc w:val="both"/>
        <w:textAlignment w:val="auto"/>
        <w:outlineLvl w:val="9"/>
        <w:rPr>
          <w:rFonts w:hint="eastAsia" w:ascii="方正楷体_GBK" w:eastAsia="方正楷体_GBK"/>
          <w:sz w:val="32"/>
          <w:szCs w:val="32"/>
          <w:shd w:val="clear" w:color="auto" w:fill="FFFFFF"/>
        </w:rPr>
      </w:pPr>
      <w:r>
        <w:rPr>
          <w:rFonts w:hint="eastAsia" w:ascii="方正楷体_GBK" w:eastAsia="方正楷体_GBK"/>
          <w:sz w:val="32"/>
          <w:szCs w:val="32"/>
          <w:shd w:val="clear" w:color="auto" w:fill="FFFFFF"/>
        </w:rPr>
        <w:t>（五）政府性基金预算收支决算情况说明</w:t>
      </w:r>
    </w:p>
    <w:p>
      <w:pPr>
        <w:pStyle w:val="9"/>
        <w:keepNext w:val="0"/>
        <w:keepLines w:val="0"/>
        <w:pageBreakBefore w:val="0"/>
        <w:widowControl/>
        <w:kinsoku/>
        <w:wordWrap/>
        <w:overflowPunct/>
        <w:topLinePunct w:val="0"/>
        <w:autoSpaceDE w:val="0"/>
        <w:autoSpaceDN/>
        <w:bidi w:val="0"/>
        <w:adjustRightInd/>
        <w:snapToGrid w:val="0"/>
        <w:spacing w:before="0" w:beforeAutospacing="0" w:after="0" w:afterAutospacing="0" w:line="600" w:lineRule="exact"/>
        <w:ind w:left="0" w:leftChars="0" w:right="0" w:rightChars="0" w:firstLine="640" w:firstLineChars="200"/>
        <w:jc w:val="both"/>
        <w:textAlignment w:val="auto"/>
        <w:outlineLvl w:val="9"/>
        <w:rPr>
          <w:rFonts w:hint="eastAsia" w:ascii="方正仿宋_GBK" w:eastAsia="方正仿宋_GBK"/>
          <w:sz w:val="32"/>
          <w:szCs w:val="32"/>
          <w:shd w:val="clear" w:color="auto" w:fill="FFFFFF"/>
        </w:rPr>
      </w:pPr>
      <w:r>
        <w:rPr>
          <w:rFonts w:hint="eastAsia" w:ascii="方正仿宋_GBK" w:eastAsia="方正仿宋_GBK"/>
          <w:sz w:val="32"/>
          <w:szCs w:val="32"/>
          <w:shd w:val="clear" w:color="auto" w:fill="FFFFFF"/>
        </w:rPr>
        <w:t>本单位2024年度无政府性基金预算财政拨款收支。</w:t>
      </w:r>
    </w:p>
    <w:p>
      <w:pPr>
        <w:pStyle w:val="14"/>
        <w:keepNext w:val="0"/>
        <w:keepLines w:val="0"/>
        <w:pageBreakBefore w:val="0"/>
        <w:widowControl/>
        <w:kinsoku/>
        <w:wordWrap/>
        <w:overflowPunct/>
        <w:topLinePunct w:val="0"/>
        <w:autoSpaceDE w:val="0"/>
        <w:autoSpaceDN/>
        <w:bidi w:val="0"/>
        <w:adjustRightInd/>
        <w:spacing w:line="600" w:lineRule="exact"/>
        <w:ind w:left="0" w:leftChars="0" w:right="0" w:rightChars="0" w:firstLine="640" w:firstLineChars="200"/>
        <w:textAlignment w:val="auto"/>
        <w:outlineLvl w:val="9"/>
        <w:rPr>
          <w:rFonts w:hint="eastAsia" w:ascii="方正楷体_GBK" w:eastAsia="方正楷体_GBK"/>
          <w:sz w:val="32"/>
          <w:szCs w:val="32"/>
          <w:shd w:val="clear" w:color="auto" w:fill="FFFFFF"/>
        </w:rPr>
      </w:pPr>
      <w:r>
        <w:rPr>
          <w:rFonts w:hint="eastAsia" w:ascii="方正楷体_GBK" w:eastAsia="方正楷体_GBK"/>
          <w:sz w:val="32"/>
          <w:szCs w:val="32"/>
          <w:shd w:val="clear" w:color="auto" w:fill="FFFFFF"/>
        </w:rPr>
        <w:t>（六）国有资本经营预算财政拨款支出决算情况说明</w:t>
      </w:r>
    </w:p>
    <w:p>
      <w:pPr>
        <w:pStyle w:val="9"/>
        <w:keepNext w:val="0"/>
        <w:keepLines w:val="0"/>
        <w:pageBreakBefore w:val="0"/>
        <w:widowControl/>
        <w:kinsoku/>
        <w:wordWrap/>
        <w:overflowPunct/>
        <w:topLinePunct w:val="0"/>
        <w:autoSpaceDE w:val="0"/>
        <w:autoSpaceDN/>
        <w:bidi w:val="0"/>
        <w:adjustRightInd/>
        <w:snapToGrid w:val="0"/>
        <w:spacing w:before="0" w:beforeAutospacing="0" w:after="0" w:afterAutospacing="0" w:line="600" w:lineRule="exact"/>
        <w:ind w:left="0" w:leftChars="0" w:right="0" w:rightChars="0" w:firstLine="640" w:firstLineChars="200"/>
        <w:jc w:val="both"/>
        <w:textAlignment w:val="auto"/>
        <w:outlineLvl w:val="9"/>
        <w:rPr>
          <w:rFonts w:hint="eastAsia" w:ascii="方正仿宋_GBK" w:eastAsia="方正仿宋_GBK"/>
          <w:sz w:val="32"/>
          <w:szCs w:val="32"/>
          <w:shd w:val="clear" w:color="auto" w:fill="FFFFFF"/>
        </w:rPr>
      </w:pPr>
      <w:r>
        <w:rPr>
          <w:rFonts w:hint="eastAsia" w:ascii="方正仿宋_GBK" w:eastAsia="方正仿宋_GBK"/>
          <w:sz w:val="32"/>
          <w:szCs w:val="32"/>
          <w:shd w:val="clear" w:color="auto" w:fill="FFFFFF"/>
        </w:rPr>
        <w:t>本单位2024年度无国有资本经营预算财政拨款支出。</w:t>
      </w:r>
    </w:p>
    <w:p>
      <w:pPr>
        <w:pStyle w:val="9"/>
        <w:keepNext w:val="0"/>
        <w:keepLines w:val="0"/>
        <w:pageBreakBefore w:val="0"/>
        <w:widowControl/>
        <w:shd w:val="clear" w:color="auto" w:fill="FFFFFF"/>
        <w:kinsoku/>
        <w:wordWrap/>
        <w:overflowPunct/>
        <w:topLinePunct w:val="0"/>
        <w:autoSpaceDE w:val="0"/>
        <w:autoSpaceDN/>
        <w:bidi w:val="0"/>
        <w:adjustRightInd/>
        <w:spacing w:before="0" w:beforeAutospacing="0" w:after="0" w:afterAutospacing="0" w:line="600" w:lineRule="exact"/>
        <w:ind w:left="0" w:leftChars="0" w:right="0" w:rightChars="0" w:firstLine="640" w:firstLineChars="200"/>
        <w:textAlignment w:val="auto"/>
        <w:outlineLvl w:val="9"/>
        <w:rPr>
          <w:rStyle w:val="20"/>
          <w:rFonts w:hint="eastAsia" w:ascii="方正黑体_GBK" w:eastAsia="方正黑体_GBK"/>
          <w:b w:val="0"/>
          <w:bCs w:val="0"/>
          <w:sz w:val="32"/>
          <w:szCs w:val="32"/>
        </w:rPr>
      </w:pPr>
      <w:r>
        <w:rPr>
          <w:rStyle w:val="20"/>
          <w:rFonts w:hint="eastAsia" w:ascii="方正黑体_GBK" w:eastAsia="方正黑体_GBK"/>
          <w:b w:val="0"/>
          <w:bCs w:val="0"/>
          <w:sz w:val="32"/>
          <w:szCs w:val="32"/>
          <w:shd w:val="clear" w:color="auto" w:fill="FFFFFF"/>
        </w:rPr>
        <w:t>三、财政拨款“三公”经费情况说明</w:t>
      </w:r>
    </w:p>
    <w:p>
      <w:pPr>
        <w:pStyle w:val="14"/>
        <w:keepNext w:val="0"/>
        <w:keepLines w:val="0"/>
        <w:pageBreakBefore w:val="0"/>
        <w:widowControl/>
        <w:kinsoku/>
        <w:wordWrap/>
        <w:overflowPunct/>
        <w:topLinePunct w:val="0"/>
        <w:autoSpaceDE w:val="0"/>
        <w:autoSpaceDN/>
        <w:bidi w:val="0"/>
        <w:adjustRightInd/>
        <w:spacing w:line="600" w:lineRule="exact"/>
        <w:ind w:left="0" w:leftChars="0" w:right="0" w:rightChars="0" w:firstLine="640" w:firstLineChars="200"/>
        <w:textAlignment w:val="auto"/>
        <w:outlineLvl w:val="9"/>
        <w:rPr>
          <w:rFonts w:hint="eastAsia" w:ascii="方正楷体_GBK" w:eastAsia="方正楷体_GBK"/>
          <w:sz w:val="32"/>
          <w:szCs w:val="32"/>
        </w:rPr>
      </w:pPr>
      <w:r>
        <w:rPr>
          <w:rFonts w:hint="eastAsia" w:ascii="方正楷体_GBK" w:eastAsia="方正楷体_GBK"/>
          <w:sz w:val="32"/>
          <w:szCs w:val="32"/>
          <w:shd w:val="clear" w:color="auto" w:fill="FFFFFF"/>
        </w:rPr>
        <w:t>（一）“三公”经费支出总体情况说明</w:t>
      </w:r>
    </w:p>
    <w:p>
      <w:pPr>
        <w:pStyle w:val="9"/>
        <w:keepNext w:val="0"/>
        <w:keepLines w:val="0"/>
        <w:pageBreakBefore w:val="0"/>
        <w:widowControl/>
        <w:kinsoku/>
        <w:wordWrap/>
        <w:overflowPunct/>
        <w:topLinePunct w:val="0"/>
        <w:autoSpaceDE w:val="0"/>
        <w:autoSpaceDN/>
        <w:bidi w:val="0"/>
        <w:adjustRightInd/>
        <w:snapToGrid w:val="0"/>
        <w:spacing w:before="0" w:beforeAutospacing="0" w:after="0" w:afterAutospacing="0" w:line="600" w:lineRule="exact"/>
        <w:ind w:left="0" w:leftChars="0" w:right="0" w:rightChars="0" w:firstLine="640" w:firstLineChars="200"/>
        <w:jc w:val="both"/>
        <w:textAlignment w:val="auto"/>
        <w:outlineLvl w:val="9"/>
        <w:rPr>
          <w:rFonts w:hint="eastAsia" w:ascii="方正仿宋_GBK" w:eastAsia="方正仿宋_GBK"/>
          <w:sz w:val="32"/>
          <w:szCs w:val="32"/>
        </w:rPr>
      </w:pPr>
      <w:r>
        <w:rPr>
          <w:rFonts w:hint="eastAsia" w:ascii="方正仿宋_GBK" w:eastAsia="方正仿宋_GBK"/>
          <w:sz w:val="32"/>
          <w:szCs w:val="32"/>
          <w:shd w:val="clear" w:color="auto" w:fill="FFFFFF"/>
        </w:rPr>
        <w:t>2024年度“三公”经费支出共计3.21万元，较年初预算数减少1.25万元，下降28.0%，主要原因是</w:t>
      </w:r>
      <w:r>
        <w:rPr>
          <w:rFonts w:hint="eastAsia" w:ascii="方正仿宋_GBK" w:eastAsia="方正仿宋_GBK"/>
          <w:sz w:val="32"/>
          <w:szCs w:val="32"/>
        </w:rPr>
        <w:t>一是认真贯彻落实中央八项规定精神，按照只减不增的要求从严控制“三公”经费；二是严格落实公车使用规定，公车运行维护成本有所下降；三是强化公务接待支出管理，严格遵守公务接待开支范围和开支标准，严格控制陪餐人数，对应由接待对象承担的费用一律由接待对象自行支付。</w:t>
      </w:r>
      <w:r>
        <w:rPr>
          <w:rFonts w:hint="eastAsia" w:ascii="方正仿宋_GBK" w:eastAsia="方正仿宋_GBK"/>
          <w:sz w:val="32"/>
          <w:szCs w:val="32"/>
          <w:shd w:val="clear" w:color="auto" w:fill="FFFFFF"/>
        </w:rPr>
        <w:t>较上年支出数增加0.99万元，增长44.6%，</w:t>
      </w:r>
      <w:r>
        <w:rPr>
          <w:rFonts w:hint="eastAsia" w:ascii="方正仿宋_GBK" w:eastAsia="方正仿宋_GBK"/>
          <w:sz w:val="32"/>
          <w:szCs w:val="32"/>
        </w:rPr>
        <w:t>主要原因一是本年外地流浪乞讨护送回綦次数较上年增加，公务接待费较上年增加；二是公务用车使用年限增加，维修费用增加，公务用车运行维护费较上年增加。</w:t>
      </w:r>
    </w:p>
    <w:p>
      <w:pPr>
        <w:pStyle w:val="14"/>
        <w:keepNext w:val="0"/>
        <w:keepLines w:val="0"/>
        <w:pageBreakBefore w:val="0"/>
        <w:widowControl/>
        <w:kinsoku/>
        <w:wordWrap/>
        <w:overflowPunct/>
        <w:topLinePunct w:val="0"/>
        <w:autoSpaceDE w:val="0"/>
        <w:autoSpaceDN/>
        <w:bidi w:val="0"/>
        <w:adjustRightInd/>
        <w:spacing w:line="600" w:lineRule="exact"/>
        <w:ind w:left="0" w:leftChars="0" w:right="0" w:rightChars="0" w:firstLine="640" w:firstLineChars="200"/>
        <w:textAlignment w:val="auto"/>
        <w:outlineLvl w:val="9"/>
        <w:rPr>
          <w:rFonts w:hint="eastAsia" w:ascii="方正楷体_GBK" w:eastAsia="方正楷体_GBK"/>
          <w:sz w:val="32"/>
          <w:szCs w:val="32"/>
          <w:shd w:val="clear" w:color="auto" w:fill="FFFFFF"/>
        </w:rPr>
      </w:pPr>
      <w:r>
        <w:rPr>
          <w:rFonts w:hint="eastAsia" w:ascii="方正楷体_GBK" w:eastAsia="方正楷体_GBK"/>
          <w:sz w:val="32"/>
          <w:szCs w:val="32"/>
          <w:shd w:val="clear" w:color="auto" w:fill="FFFFFF"/>
        </w:rPr>
        <w:t>（二）“三公”经费分项支出情况</w:t>
      </w:r>
    </w:p>
    <w:p>
      <w:pPr>
        <w:pStyle w:val="9"/>
        <w:keepNext w:val="0"/>
        <w:keepLines w:val="0"/>
        <w:pageBreakBefore w:val="0"/>
        <w:widowControl/>
        <w:kinsoku/>
        <w:wordWrap/>
        <w:overflowPunct/>
        <w:topLinePunct w:val="0"/>
        <w:autoSpaceDE w:val="0"/>
        <w:autoSpaceDN/>
        <w:bidi w:val="0"/>
        <w:adjustRightInd/>
        <w:snapToGrid w:val="0"/>
        <w:spacing w:before="0" w:beforeAutospacing="0" w:after="0" w:afterAutospacing="0" w:line="600" w:lineRule="exact"/>
        <w:ind w:left="0" w:leftChars="0" w:right="0" w:rightChars="0" w:firstLine="640" w:firstLineChars="200"/>
        <w:jc w:val="both"/>
        <w:textAlignment w:val="auto"/>
        <w:outlineLvl w:val="9"/>
        <w:rPr>
          <w:rFonts w:hint="eastAsia" w:ascii="方正仿宋_GBK" w:eastAsia="方正仿宋_GBK"/>
          <w:sz w:val="32"/>
          <w:szCs w:val="32"/>
          <w:shd w:val="clear" w:color="auto" w:fill="FFFFFF"/>
        </w:rPr>
      </w:pPr>
      <w:r>
        <w:rPr>
          <w:rFonts w:hint="eastAsia" w:ascii="方正仿宋_GBK" w:eastAsia="方正仿宋_GBK"/>
          <w:sz w:val="32"/>
          <w:szCs w:val="32"/>
          <w:shd w:val="clear" w:color="auto" w:fill="FFFFFF"/>
        </w:rPr>
        <w:t>2024年度本单位因公出国（境）费用0.00万元，费用支出较年初预算数无增减，较上年支出数无增减。</w:t>
      </w:r>
    </w:p>
    <w:p>
      <w:pPr>
        <w:pStyle w:val="9"/>
        <w:keepNext w:val="0"/>
        <w:keepLines w:val="0"/>
        <w:pageBreakBefore w:val="0"/>
        <w:widowControl/>
        <w:kinsoku/>
        <w:wordWrap/>
        <w:overflowPunct/>
        <w:topLinePunct w:val="0"/>
        <w:autoSpaceDE w:val="0"/>
        <w:autoSpaceDN/>
        <w:bidi w:val="0"/>
        <w:adjustRightInd/>
        <w:snapToGrid w:val="0"/>
        <w:spacing w:before="0" w:beforeAutospacing="0" w:after="0" w:afterAutospacing="0" w:line="600" w:lineRule="exact"/>
        <w:ind w:left="0" w:leftChars="0" w:right="0" w:rightChars="0" w:firstLine="640" w:firstLineChars="200"/>
        <w:jc w:val="both"/>
        <w:textAlignment w:val="auto"/>
        <w:outlineLvl w:val="9"/>
        <w:rPr>
          <w:rFonts w:hint="eastAsia" w:ascii="方正仿宋_GBK" w:eastAsia="方正仿宋_GBK"/>
          <w:sz w:val="32"/>
          <w:szCs w:val="32"/>
          <w:shd w:val="clear" w:color="auto" w:fill="FFFFFF"/>
        </w:rPr>
      </w:pPr>
      <w:r>
        <w:rPr>
          <w:rFonts w:hint="eastAsia" w:ascii="方正仿宋_GBK" w:eastAsia="方正仿宋_GBK"/>
          <w:sz w:val="32"/>
          <w:szCs w:val="32"/>
          <w:shd w:val="clear" w:color="auto" w:fill="FFFFFF"/>
        </w:rPr>
        <w:t>公务用车购置费0.00万元，费用支出较年初预算数无增减，较上年支出数无增减。</w:t>
      </w:r>
    </w:p>
    <w:p>
      <w:pPr>
        <w:pStyle w:val="9"/>
        <w:keepNext w:val="0"/>
        <w:keepLines w:val="0"/>
        <w:pageBreakBefore w:val="0"/>
        <w:widowControl/>
        <w:kinsoku/>
        <w:wordWrap/>
        <w:overflowPunct/>
        <w:topLinePunct w:val="0"/>
        <w:autoSpaceDE w:val="0"/>
        <w:autoSpaceDN/>
        <w:bidi w:val="0"/>
        <w:adjustRightInd/>
        <w:snapToGrid w:val="0"/>
        <w:spacing w:before="0" w:beforeAutospacing="0" w:after="0" w:afterAutospacing="0" w:line="600" w:lineRule="exact"/>
        <w:ind w:left="0" w:leftChars="0" w:right="0" w:rightChars="0" w:firstLine="640" w:firstLineChars="200"/>
        <w:jc w:val="both"/>
        <w:textAlignment w:val="auto"/>
        <w:outlineLvl w:val="9"/>
        <w:rPr>
          <w:rFonts w:hint="eastAsia" w:ascii="方正仿宋_GBK" w:eastAsia="方正仿宋_GBK"/>
          <w:sz w:val="32"/>
          <w:szCs w:val="32"/>
        </w:rPr>
      </w:pPr>
      <w:r>
        <w:rPr>
          <w:rFonts w:hint="eastAsia" w:ascii="方正仿宋_GBK" w:eastAsia="方正仿宋_GBK"/>
          <w:sz w:val="32"/>
          <w:szCs w:val="32"/>
          <w:shd w:val="clear" w:color="auto" w:fill="FFFFFF"/>
        </w:rPr>
        <w:t>公务用车运行维护费2.50万元，要用于</w:t>
      </w:r>
      <w:r>
        <w:rPr>
          <w:rFonts w:hint="eastAsia" w:ascii="方正仿宋_GBK" w:eastAsia="方正仿宋_GBK"/>
          <w:kern w:val="2"/>
          <w:sz w:val="32"/>
          <w:szCs w:val="32"/>
        </w:rPr>
        <w:t>用于护送流浪乞讨人员返乡、街面巡查等。</w:t>
      </w:r>
      <w:r>
        <w:rPr>
          <w:rFonts w:hint="eastAsia" w:ascii="方正仿宋_GBK" w:eastAsia="方正仿宋_GBK"/>
          <w:sz w:val="32"/>
          <w:szCs w:val="32"/>
          <w:shd w:val="clear" w:color="auto" w:fill="FFFFFF"/>
        </w:rPr>
        <w:t>费用支出较年初预算数减少1.00万元，下降28.6%，主要原因是</w:t>
      </w:r>
      <w:r>
        <w:rPr>
          <w:rFonts w:hint="eastAsia" w:ascii="方正仿宋_GBK" w:eastAsia="方正仿宋_GBK"/>
          <w:kern w:val="2"/>
          <w:sz w:val="32"/>
          <w:szCs w:val="32"/>
        </w:rPr>
        <w:t>严格公务用车管理制度，厉行节约，严格管控支出。</w:t>
      </w:r>
      <w:r>
        <w:rPr>
          <w:rFonts w:hint="eastAsia" w:ascii="方正仿宋_GBK" w:eastAsia="方正仿宋_GBK"/>
          <w:sz w:val="32"/>
          <w:szCs w:val="32"/>
          <w:shd w:val="clear" w:color="auto" w:fill="FFFFFF"/>
        </w:rPr>
        <w:t>较上年支出数增加0.91万元，增长57.2%，</w:t>
      </w:r>
      <w:r>
        <w:rPr>
          <w:rFonts w:hint="eastAsia" w:ascii="方正仿宋_GBK" w:eastAsia="方正仿宋_GBK"/>
          <w:sz w:val="32"/>
          <w:szCs w:val="32"/>
        </w:rPr>
        <w:t>主要原因是公务用车使用年限增加，维修费用增加，公务用车运行维护费较上年增加。</w:t>
      </w:r>
    </w:p>
    <w:p>
      <w:pPr>
        <w:pStyle w:val="9"/>
        <w:keepNext w:val="0"/>
        <w:keepLines w:val="0"/>
        <w:pageBreakBefore w:val="0"/>
        <w:widowControl/>
        <w:kinsoku/>
        <w:wordWrap/>
        <w:overflowPunct/>
        <w:topLinePunct w:val="0"/>
        <w:autoSpaceDE w:val="0"/>
        <w:autoSpaceDN/>
        <w:bidi w:val="0"/>
        <w:adjustRightInd/>
        <w:snapToGrid w:val="0"/>
        <w:spacing w:before="0" w:beforeAutospacing="0" w:after="0" w:afterAutospacing="0" w:line="600" w:lineRule="exact"/>
        <w:ind w:left="0" w:leftChars="0" w:right="0" w:rightChars="0" w:firstLine="640" w:firstLineChars="200"/>
        <w:jc w:val="both"/>
        <w:textAlignment w:val="auto"/>
        <w:outlineLvl w:val="9"/>
        <w:rPr>
          <w:rFonts w:hint="eastAsia" w:ascii="方正仿宋_GBK" w:eastAsia="方正仿宋_GBK"/>
          <w:sz w:val="32"/>
          <w:szCs w:val="32"/>
        </w:rPr>
      </w:pPr>
      <w:r>
        <w:rPr>
          <w:rFonts w:hint="eastAsia" w:ascii="方正仿宋_GBK" w:eastAsia="方正仿宋_GBK"/>
          <w:sz w:val="32"/>
          <w:szCs w:val="32"/>
          <w:shd w:val="clear" w:color="auto" w:fill="FFFFFF"/>
        </w:rPr>
        <w:t>公务接待费0.71万元，主要用于接待市局及各区县救助人员护送流浪乞讨人员返乡。费用支出较年初预算数减少0.25万元，下降26.0%，</w:t>
      </w:r>
      <w:r>
        <w:rPr>
          <w:rFonts w:hint="eastAsia" w:ascii="方正仿宋_GBK" w:eastAsia="方正仿宋_GBK"/>
          <w:kern w:val="2"/>
          <w:sz w:val="32"/>
          <w:szCs w:val="32"/>
        </w:rPr>
        <w:t>主要原因是强化公务接待支出管理，严格遵守公务接待开支范围和开支标准，严格控制陪餐人数，对应由接待对象承担的费用一律由接待对象自行支付。</w:t>
      </w:r>
      <w:r>
        <w:rPr>
          <w:rFonts w:hint="eastAsia" w:ascii="方正仿宋_GBK" w:eastAsia="方正仿宋_GBK"/>
          <w:sz w:val="32"/>
          <w:szCs w:val="32"/>
          <w:shd w:val="clear" w:color="auto" w:fill="FFFFFF"/>
        </w:rPr>
        <w:t>较上年支出数增加0.07万元，增长10.9%，</w:t>
      </w:r>
      <w:r>
        <w:rPr>
          <w:rFonts w:hint="eastAsia" w:ascii="方正仿宋_GBK" w:eastAsia="方正仿宋_GBK"/>
          <w:sz w:val="32"/>
          <w:szCs w:val="32"/>
        </w:rPr>
        <w:t>主要原因是本年外地流浪乞讨护送回綦次数较上年增加，公务接待费较上年增加。</w:t>
      </w:r>
    </w:p>
    <w:p>
      <w:pPr>
        <w:pStyle w:val="14"/>
        <w:keepNext w:val="0"/>
        <w:keepLines w:val="0"/>
        <w:pageBreakBefore w:val="0"/>
        <w:widowControl/>
        <w:kinsoku/>
        <w:wordWrap/>
        <w:overflowPunct/>
        <w:topLinePunct w:val="0"/>
        <w:autoSpaceDE w:val="0"/>
        <w:autoSpaceDN/>
        <w:bidi w:val="0"/>
        <w:adjustRightInd/>
        <w:spacing w:line="600" w:lineRule="exact"/>
        <w:ind w:left="0" w:leftChars="0" w:right="0" w:rightChars="0" w:firstLine="640" w:firstLineChars="200"/>
        <w:textAlignment w:val="auto"/>
        <w:outlineLvl w:val="9"/>
        <w:rPr>
          <w:rFonts w:hint="eastAsia" w:ascii="方正楷体_GBK" w:eastAsia="方正楷体_GBK"/>
          <w:sz w:val="32"/>
          <w:szCs w:val="32"/>
          <w:shd w:val="clear" w:color="auto" w:fill="FFFFFF"/>
        </w:rPr>
      </w:pPr>
      <w:r>
        <w:rPr>
          <w:rFonts w:hint="eastAsia" w:ascii="方正楷体_GBK" w:eastAsia="方正楷体_GBK"/>
          <w:sz w:val="32"/>
          <w:szCs w:val="32"/>
          <w:shd w:val="clear" w:color="auto" w:fill="FFFFFF"/>
        </w:rPr>
        <w:t>（三）“三公”经费实物量情况</w:t>
      </w:r>
    </w:p>
    <w:p>
      <w:pPr>
        <w:pStyle w:val="9"/>
        <w:keepNext w:val="0"/>
        <w:keepLines w:val="0"/>
        <w:pageBreakBefore w:val="0"/>
        <w:widowControl/>
        <w:kinsoku/>
        <w:wordWrap/>
        <w:overflowPunct/>
        <w:topLinePunct w:val="0"/>
        <w:autoSpaceDE w:val="0"/>
        <w:autoSpaceDN/>
        <w:bidi w:val="0"/>
        <w:adjustRightInd/>
        <w:snapToGrid w:val="0"/>
        <w:spacing w:before="0" w:beforeAutospacing="0" w:after="0" w:afterAutospacing="0" w:line="600" w:lineRule="exact"/>
        <w:ind w:left="0" w:leftChars="0" w:right="0" w:rightChars="0" w:firstLine="640" w:firstLineChars="200"/>
        <w:jc w:val="both"/>
        <w:textAlignment w:val="auto"/>
        <w:outlineLvl w:val="9"/>
        <w:rPr>
          <w:rFonts w:hint="eastAsia" w:ascii="方正仿宋_GBK" w:eastAsia="方正仿宋_GBK"/>
          <w:sz w:val="32"/>
          <w:szCs w:val="32"/>
        </w:rPr>
      </w:pPr>
      <w:r>
        <w:rPr>
          <w:rFonts w:hint="eastAsia" w:ascii="方正仿宋_GBK" w:eastAsia="方正仿宋_GBK"/>
          <w:sz w:val="32"/>
          <w:szCs w:val="32"/>
          <w:shd w:val="clear" w:color="auto" w:fill="FFFFFF"/>
        </w:rPr>
        <w:t>2024年度本单位因公出国（境）共计0个团组，0人；公务用车购置0辆，公务车保有量为1辆；国内公务接待15批次74人，其中：国内外事接待0批次，0人；国（境）外公务接待0批次，0人。2024年本单位人均接待费96.45元，车均购置费0万元，车均维护费2.50万元。</w:t>
      </w:r>
    </w:p>
    <w:p>
      <w:pPr>
        <w:pStyle w:val="9"/>
        <w:keepNext w:val="0"/>
        <w:keepLines w:val="0"/>
        <w:pageBreakBefore w:val="0"/>
        <w:widowControl/>
        <w:shd w:val="clear" w:color="auto" w:fill="FFFFFF"/>
        <w:kinsoku/>
        <w:wordWrap/>
        <w:overflowPunct/>
        <w:topLinePunct w:val="0"/>
        <w:autoSpaceDE w:val="0"/>
        <w:autoSpaceDN/>
        <w:bidi w:val="0"/>
        <w:adjustRightInd/>
        <w:spacing w:before="0" w:beforeAutospacing="0" w:after="0" w:afterAutospacing="0" w:line="600" w:lineRule="exact"/>
        <w:ind w:left="0" w:leftChars="0" w:right="0" w:rightChars="0" w:firstLine="640" w:firstLineChars="200"/>
        <w:textAlignment w:val="auto"/>
        <w:outlineLvl w:val="9"/>
        <w:rPr>
          <w:rStyle w:val="20"/>
          <w:rFonts w:hint="eastAsia" w:ascii="方正黑体_GBK" w:eastAsia="方正黑体_GBK"/>
          <w:b w:val="0"/>
          <w:bCs w:val="0"/>
          <w:sz w:val="32"/>
          <w:szCs w:val="32"/>
          <w:shd w:val="clear" w:color="auto" w:fill="FFFFFF"/>
        </w:rPr>
      </w:pPr>
      <w:r>
        <w:rPr>
          <w:rStyle w:val="20"/>
          <w:rFonts w:hint="eastAsia" w:ascii="方正黑体_GBK" w:eastAsia="方正黑体_GBK"/>
          <w:b w:val="0"/>
          <w:bCs w:val="0"/>
          <w:sz w:val="32"/>
          <w:szCs w:val="32"/>
          <w:shd w:val="clear" w:color="auto" w:fill="FFFFFF"/>
        </w:rPr>
        <w:t>四、其他需要说明的事项</w:t>
      </w:r>
    </w:p>
    <w:p>
      <w:pPr>
        <w:pStyle w:val="9"/>
        <w:keepNext w:val="0"/>
        <w:keepLines w:val="0"/>
        <w:pageBreakBefore w:val="0"/>
        <w:widowControl/>
        <w:shd w:val="clear" w:color="auto" w:fill="FFFFFF"/>
        <w:kinsoku/>
        <w:wordWrap/>
        <w:overflowPunct/>
        <w:topLinePunct w:val="0"/>
        <w:autoSpaceDE w:val="0"/>
        <w:autoSpaceDN/>
        <w:bidi w:val="0"/>
        <w:adjustRightInd/>
        <w:spacing w:before="0" w:beforeAutospacing="0" w:after="0" w:afterAutospacing="0" w:line="600" w:lineRule="exact"/>
        <w:ind w:left="0" w:leftChars="0" w:right="0" w:rightChars="0" w:firstLine="640" w:firstLineChars="200"/>
        <w:jc w:val="both"/>
        <w:textAlignment w:val="auto"/>
        <w:outlineLvl w:val="9"/>
        <w:rPr>
          <w:rFonts w:hint="eastAsia" w:ascii="方正仿宋_GBK" w:eastAsia="方正仿宋_GBK"/>
          <w:sz w:val="32"/>
          <w:szCs w:val="32"/>
        </w:rPr>
      </w:pPr>
      <w:r>
        <w:rPr>
          <w:rFonts w:hint="eastAsia" w:ascii="方正仿宋_GBK" w:eastAsia="方正仿宋_GBK"/>
          <w:sz w:val="32"/>
          <w:szCs w:val="32"/>
          <w:shd w:val="clear" w:color="auto" w:fill="FFFFFF"/>
        </w:rPr>
        <w:t>（一）财政拨款会议费、培训费和差旅费情况说明</w:t>
      </w:r>
    </w:p>
    <w:p>
      <w:pPr>
        <w:pStyle w:val="9"/>
        <w:keepNext w:val="0"/>
        <w:keepLines w:val="0"/>
        <w:pageBreakBefore w:val="0"/>
        <w:widowControl/>
        <w:kinsoku/>
        <w:wordWrap/>
        <w:overflowPunct/>
        <w:topLinePunct w:val="0"/>
        <w:autoSpaceDE w:val="0"/>
        <w:autoSpaceDN/>
        <w:bidi w:val="0"/>
        <w:adjustRightInd/>
        <w:snapToGrid w:val="0"/>
        <w:spacing w:before="0" w:beforeAutospacing="0" w:after="0" w:afterAutospacing="0" w:line="600" w:lineRule="exact"/>
        <w:ind w:left="0" w:leftChars="0" w:right="0" w:rightChars="0" w:firstLine="640" w:firstLineChars="200"/>
        <w:jc w:val="both"/>
        <w:textAlignment w:val="auto"/>
        <w:outlineLvl w:val="9"/>
        <w:rPr>
          <w:rFonts w:hint="eastAsia" w:ascii="方正仿宋_GBK" w:eastAsia="方正仿宋_GBK"/>
          <w:color w:val="FF0000"/>
          <w:sz w:val="32"/>
          <w:szCs w:val="32"/>
        </w:rPr>
      </w:pPr>
      <w:r>
        <w:rPr>
          <w:rFonts w:hint="eastAsia" w:ascii="方正仿宋_GBK" w:eastAsia="方正仿宋_GBK"/>
          <w:sz w:val="32"/>
          <w:szCs w:val="32"/>
          <w:shd w:val="clear" w:color="auto" w:fill="FFFFFF"/>
        </w:rPr>
        <w:t>本年度会议费支出0.00万元，与2023年度相比，无增减，本年度培训费支出0.00万元，与2023年度相比，无变化，本年度差旅费支出0.00</w:t>
      </w:r>
      <w:r>
        <w:rPr>
          <w:rFonts w:hint="eastAsia" w:ascii="方正仿宋_GBK" w:eastAsia="方正仿宋_GBK"/>
          <w:sz w:val="32"/>
          <w:szCs w:val="32"/>
        </w:rPr>
        <w:t>万元，</w:t>
      </w:r>
      <w:r>
        <w:rPr>
          <w:rFonts w:hint="eastAsia" w:ascii="方正仿宋_GBK" w:eastAsia="方正仿宋_GBK"/>
          <w:sz w:val="32"/>
          <w:szCs w:val="32"/>
          <w:shd w:val="clear" w:color="auto" w:fill="FFFFFF"/>
        </w:rPr>
        <w:t>与2023年度相比，无变化。</w:t>
      </w:r>
    </w:p>
    <w:p>
      <w:pPr>
        <w:pStyle w:val="14"/>
        <w:keepNext w:val="0"/>
        <w:keepLines w:val="0"/>
        <w:pageBreakBefore w:val="0"/>
        <w:widowControl/>
        <w:kinsoku/>
        <w:wordWrap/>
        <w:overflowPunct/>
        <w:topLinePunct w:val="0"/>
        <w:autoSpaceDE w:val="0"/>
        <w:autoSpaceDN/>
        <w:bidi w:val="0"/>
        <w:adjustRightInd/>
        <w:spacing w:line="600" w:lineRule="exact"/>
        <w:ind w:left="0" w:leftChars="0" w:right="0" w:rightChars="0" w:firstLine="640" w:firstLineChars="200"/>
        <w:textAlignment w:val="auto"/>
        <w:outlineLvl w:val="9"/>
        <w:rPr>
          <w:rFonts w:hint="eastAsia" w:ascii="方正楷体_GBK" w:eastAsia="方正楷体_GBK"/>
          <w:sz w:val="32"/>
          <w:szCs w:val="32"/>
          <w:shd w:val="clear" w:color="auto" w:fill="FFFFFF"/>
        </w:rPr>
      </w:pPr>
      <w:r>
        <w:rPr>
          <w:rFonts w:hint="eastAsia" w:ascii="方正楷体_GBK" w:eastAsia="方正楷体_GBK"/>
          <w:sz w:val="32"/>
          <w:szCs w:val="32"/>
          <w:shd w:val="clear" w:color="auto" w:fill="FFFFFF"/>
        </w:rPr>
        <w:t>（二）机关运行经费情况说明</w:t>
      </w:r>
    </w:p>
    <w:p>
      <w:pPr>
        <w:pStyle w:val="9"/>
        <w:keepNext w:val="0"/>
        <w:keepLines w:val="0"/>
        <w:pageBreakBefore w:val="0"/>
        <w:widowControl/>
        <w:kinsoku/>
        <w:wordWrap/>
        <w:overflowPunct/>
        <w:topLinePunct w:val="0"/>
        <w:autoSpaceDE w:val="0"/>
        <w:autoSpaceDN/>
        <w:bidi w:val="0"/>
        <w:adjustRightInd/>
        <w:snapToGrid w:val="0"/>
        <w:spacing w:before="0" w:beforeAutospacing="0" w:after="0" w:afterAutospacing="0" w:line="600" w:lineRule="exact"/>
        <w:ind w:left="0" w:leftChars="0" w:right="0" w:rightChars="0" w:firstLine="640" w:firstLineChars="200"/>
        <w:jc w:val="both"/>
        <w:textAlignment w:val="auto"/>
        <w:outlineLvl w:val="9"/>
        <w:rPr>
          <w:rFonts w:hint="eastAsia" w:ascii="方正仿宋_GBK" w:eastAsia="方正仿宋_GBK"/>
          <w:sz w:val="32"/>
          <w:szCs w:val="32"/>
          <w:highlight w:val="yellow"/>
        </w:rPr>
      </w:pPr>
      <w:r>
        <w:rPr>
          <w:rFonts w:hint="eastAsia" w:ascii="方正仿宋_GBK" w:eastAsia="方正仿宋_GBK"/>
          <w:sz w:val="32"/>
          <w:szCs w:val="32"/>
          <w:shd w:val="clear" w:color="auto" w:fill="FFFFFF"/>
        </w:rPr>
        <w:t>2024年度本单位机关运行经费支出28.63万元，机关运行经费主要用于开支</w:t>
      </w:r>
      <w:r>
        <w:rPr>
          <w:rFonts w:hint="eastAsia" w:ascii="方正仿宋_GBK" w:eastAsia="方正仿宋_GBK"/>
          <w:kern w:val="2"/>
          <w:sz w:val="32"/>
          <w:szCs w:val="32"/>
        </w:rPr>
        <w:t>办公费、公务车运行维护费、公务接待费、会议费、培训费等。</w:t>
      </w:r>
      <w:r>
        <w:rPr>
          <w:rFonts w:hint="eastAsia" w:ascii="方正仿宋_GBK" w:eastAsia="方正仿宋_GBK"/>
          <w:sz w:val="32"/>
          <w:szCs w:val="32"/>
          <w:shd w:val="clear" w:color="auto" w:fill="FFFFFF"/>
        </w:rPr>
        <w:t>机关运行经费较上年支出数增加5.95万元，增长26.2%，</w:t>
      </w:r>
      <w:r>
        <w:rPr>
          <w:rFonts w:hint="eastAsia" w:ascii="方正仿宋_GBK" w:eastAsia="方正仿宋_GBK"/>
          <w:sz w:val="32"/>
          <w:szCs w:val="32"/>
        </w:rPr>
        <w:t>主要原因是持续加大流浪乞讨救助力度，本年机关运行经费较上年增加。</w:t>
      </w:r>
    </w:p>
    <w:p>
      <w:pPr>
        <w:pStyle w:val="14"/>
        <w:keepNext w:val="0"/>
        <w:keepLines w:val="0"/>
        <w:pageBreakBefore w:val="0"/>
        <w:widowControl/>
        <w:kinsoku/>
        <w:wordWrap/>
        <w:overflowPunct/>
        <w:topLinePunct w:val="0"/>
        <w:autoSpaceDE w:val="0"/>
        <w:autoSpaceDN/>
        <w:bidi w:val="0"/>
        <w:adjustRightInd/>
        <w:spacing w:line="600" w:lineRule="exact"/>
        <w:ind w:left="0" w:leftChars="0" w:right="0" w:rightChars="0" w:firstLine="640" w:firstLineChars="200"/>
        <w:textAlignment w:val="auto"/>
        <w:outlineLvl w:val="9"/>
        <w:rPr>
          <w:rFonts w:hint="eastAsia" w:ascii="方正楷体_GBK" w:eastAsia="方正楷体_GBK"/>
          <w:sz w:val="32"/>
          <w:szCs w:val="32"/>
          <w:shd w:val="clear" w:color="auto" w:fill="FFFFFF"/>
        </w:rPr>
      </w:pPr>
      <w:r>
        <w:rPr>
          <w:rFonts w:hint="eastAsia" w:ascii="方正楷体_GBK" w:eastAsia="方正楷体_GBK"/>
          <w:sz w:val="32"/>
          <w:szCs w:val="32"/>
          <w:shd w:val="clear" w:color="auto" w:fill="FFFFFF"/>
        </w:rPr>
        <w:t>（三）国有资产占用情况说明</w:t>
      </w:r>
    </w:p>
    <w:p>
      <w:pPr>
        <w:pStyle w:val="9"/>
        <w:keepNext w:val="0"/>
        <w:keepLines w:val="0"/>
        <w:pageBreakBefore w:val="0"/>
        <w:widowControl/>
        <w:kinsoku/>
        <w:wordWrap/>
        <w:overflowPunct/>
        <w:topLinePunct w:val="0"/>
        <w:autoSpaceDE w:val="0"/>
        <w:autoSpaceDN/>
        <w:bidi w:val="0"/>
        <w:adjustRightInd/>
        <w:snapToGrid w:val="0"/>
        <w:spacing w:before="0" w:beforeAutospacing="0" w:after="0" w:afterAutospacing="0" w:line="600" w:lineRule="exact"/>
        <w:ind w:left="0" w:leftChars="0" w:right="0" w:rightChars="0" w:firstLine="640" w:firstLineChars="200"/>
        <w:jc w:val="both"/>
        <w:textAlignment w:val="auto"/>
        <w:outlineLvl w:val="9"/>
        <w:rPr>
          <w:rFonts w:hint="eastAsia" w:ascii="方正仿宋_GBK" w:eastAsia="方正仿宋_GBK"/>
          <w:sz w:val="32"/>
          <w:szCs w:val="32"/>
          <w:shd w:val="clear" w:color="auto" w:fill="FFFFFF"/>
        </w:rPr>
      </w:pPr>
      <w:r>
        <w:rPr>
          <w:rFonts w:hint="eastAsia" w:ascii="方正仿宋_GBK" w:eastAsia="方正仿宋_GBK"/>
          <w:sz w:val="32"/>
          <w:szCs w:val="32"/>
          <w:shd w:val="clear" w:color="auto" w:fill="FFFFFF"/>
        </w:rPr>
        <w:t>截至2024年12月31日，本单位共有车辆1辆，其中，副部（省）级及以上领导用车0辆、主要负责人用车0辆、机要通信用车0辆、应急保障用车0辆、执法执勤用车0辆，特种专业技术用车1辆，离退休干部用车0辆。单价100万元（含）以上专用设备0台（套）。</w:t>
      </w:r>
    </w:p>
    <w:p>
      <w:pPr>
        <w:pStyle w:val="9"/>
        <w:keepNext w:val="0"/>
        <w:keepLines w:val="0"/>
        <w:pageBreakBefore w:val="0"/>
        <w:widowControl/>
        <w:kinsoku/>
        <w:wordWrap/>
        <w:overflowPunct/>
        <w:topLinePunct w:val="0"/>
        <w:autoSpaceDE w:val="0"/>
        <w:autoSpaceDN/>
        <w:bidi w:val="0"/>
        <w:adjustRightInd/>
        <w:snapToGrid w:val="0"/>
        <w:spacing w:before="0" w:beforeAutospacing="0" w:after="0" w:afterAutospacing="0" w:line="600" w:lineRule="exact"/>
        <w:ind w:left="0" w:leftChars="0" w:right="0" w:rightChars="0" w:firstLine="640" w:firstLineChars="200"/>
        <w:jc w:val="both"/>
        <w:textAlignment w:val="auto"/>
        <w:outlineLvl w:val="9"/>
        <w:rPr>
          <w:rFonts w:hint="eastAsia" w:ascii="方正楷体_GBK" w:eastAsia="方正楷体_GBK"/>
          <w:sz w:val="32"/>
          <w:szCs w:val="32"/>
          <w:shd w:val="clear" w:color="auto" w:fill="FFFFFF"/>
        </w:rPr>
      </w:pPr>
      <w:r>
        <w:rPr>
          <w:rFonts w:hint="eastAsia" w:ascii="方正楷体_GBK" w:eastAsia="方正楷体_GBK"/>
          <w:sz w:val="32"/>
          <w:szCs w:val="32"/>
          <w:shd w:val="clear" w:color="auto" w:fill="FFFFFF"/>
        </w:rPr>
        <w:t>（四）政府采购支出情况说明</w:t>
      </w:r>
    </w:p>
    <w:p>
      <w:pPr>
        <w:pStyle w:val="9"/>
        <w:keepNext w:val="0"/>
        <w:keepLines w:val="0"/>
        <w:pageBreakBefore w:val="0"/>
        <w:widowControl/>
        <w:shd w:val="clear" w:color="auto" w:fill="FFFFFF"/>
        <w:kinsoku/>
        <w:wordWrap/>
        <w:overflowPunct/>
        <w:topLinePunct w:val="0"/>
        <w:autoSpaceDE w:val="0"/>
        <w:autoSpaceDN/>
        <w:bidi w:val="0"/>
        <w:adjustRightInd/>
        <w:spacing w:before="0" w:beforeAutospacing="0" w:after="0" w:afterAutospacing="0" w:line="600" w:lineRule="exact"/>
        <w:ind w:left="0" w:leftChars="0" w:right="0" w:rightChars="0" w:firstLine="640" w:firstLineChars="200"/>
        <w:textAlignment w:val="auto"/>
        <w:outlineLvl w:val="9"/>
        <w:rPr>
          <w:rFonts w:hint="eastAsia" w:ascii="方正仿宋_GBK" w:eastAsia="方正仿宋_GBK"/>
          <w:sz w:val="32"/>
          <w:szCs w:val="32"/>
          <w:shd w:val="clear" w:color="auto" w:fill="FFFFFF"/>
        </w:rPr>
      </w:pPr>
      <w:r>
        <w:rPr>
          <w:rFonts w:hint="eastAsia" w:ascii="方正仿宋_GBK" w:eastAsia="方正仿宋_GBK"/>
          <w:sz w:val="32"/>
          <w:szCs w:val="32"/>
          <w:shd w:val="clear" w:color="auto" w:fill="FFFFFF"/>
        </w:rPr>
        <w:t>2024年度我单位未发生政府采购事项，无相关经费支出。</w:t>
      </w:r>
    </w:p>
    <w:p>
      <w:pPr>
        <w:pStyle w:val="9"/>
        <w:keepNext w:val="0"/>
        <w:keepLines w:val="0"/>
        <w:pageBreakBefore w:val="0"/>
        <w:widowControl/>
        <w:shd w:val="clear" w:color="auto" w:fill="FFFFFF"/>
        <w:kinsoku/>
        <w:wordWrap/>
        <w:overflowPunct/>
        <w:topLinePunct w:val="0"/>
        <w:autoSpaceDE w:val="0"/>
        <w:autoSpaceDN/>
        <w:bidi w:val="0"/>
        <w:adjustRightInd/>
        <w:spacing w:before="0" w:beforeAutospacing="0" w:after="0" w:afterAutospacing="0" w:line="600" w:lineRule="exact"/>
        <w:ind w:left="0" w:leftChars="0" w:right="0" w:rightChars="0" w:firstLine="640" w:firstLineChars="200"/>
        <w:textAlignment w:val="auto"/>
        <w:outlineLvl w:val="9"/>
        <w:rPr>
          <w:rStyle w:val="20"/>
          <w:rFonts w:hint="eastAsia" w:ascii="方正黑体_GBK" w:eastAsia="方正黑体_GBK"/>
          <w:b w:val="0"/>
          <w:bCs w:val="0"/>
          <w:sz w:val="32"/>
          <w:szCs w:val="32"/>
        </w:rPr>
      </w:pPr>
      <w:r>
        <w:rPr>
          <w:rStyle w:val="20"/>
          <w:rFonts w:hint="eastAsia" w:ascii="方正黑体_GBK" w:eastAsia="方正黑体_GBK"/>
          <w:b w:val="0"/>
          <w:bCs w:val="0"/>
          <w:sz w:val="32"/>
          <w:szCs w:val="32"/>
          <w:shd w:val="clear" w:color="auto" w:fill="FFFFFF"/>
        </w:rPr>
        <w:t>五、预算绩效管理情况说明</w:t>
      </w:r>
    </w:p>
    <w:p>
      <w:pPr>
        <w:pStyle w:val="9"/>
        <w:keepNext w:val="0"/>
        <w:keepLines w:val="0"/>
        <w:pageBreakBefore w:val="0"/>
        <w:widowControl/>
        <w:kinsoku/>
        <w:wordWrap/>
        <w:overflowPunct/>
        <w:topLinePunct w:val="0"/>
        <w:autoSpaceDE w:val="0"/>
        <w:autoSpaceDN/>
        <w:bidi w:val="0"/>
        <w:adjustRightInd/>
        <w:snapToGrid w:val="0"/>
        <w:spacing w:before="0" w:beforeAutospacing="0" w:after="0" w:afterAutospacing="0" w:line="600" w:lineRule="exact"/>
        <w:ind w:left="0" w:leftChars="0" w:right="0" w:rightChars="0" w:firstLine="640" w:firstLineChars="200"/>
        <w:textAlignment w:val="auto"/>
        <w:outlineLvl w:val="9"/>
        <w:rPr>
          <w:rFonts w:hint="eastAsia" w:ascii="方正楷体_GBK" w:eastAsia="方正楷体_GBK"/>
        </w:rPr>
      </w:pPr>
      <w:r>
        <w:rPr>
          <w:rStyle w:val="21"/>
          <w:rFonts w:hint="eastAsia" w:ascii="方正楷体_GBK" w:eastAsia="方正楷体_GBK"/>
          <w:b w:val="0"/>
          <w:bCs w:val="0"/>
          <w:sz w:val="32"/>
          <w:szCs w:val="32"/>
          <w:shd w:val="clear" w:color="auto" w:fill="FFFFFF"/>
        </w:rPr>
        <w:t>（一）预算绩效管理工作开展情况。</w:t>
      </w:r>
    </w:p>
    <w:p>
      <w:pPr>
        <w:pStyle w:val="9"/>
        <w:keepNext w:val="0"/>
        <w:keepLines w:val="0"/>
        <w:pageBreakBefore w:val="0"/>
        <w:widowControl/>
        <w:kinsoku/>
        <w:wordWrap/>
        <w:overflowPunct/>
        <w:topLinePunct w:val="0"/>
        <w:autoSpaceDE w:val="0"/>
        <w:autoSpaceDN/>
        <w:bidi w:val="0"/>
        <w:adjustRightInd/>
        <w:spacing w:before="0" w:beforeAutospacing="0" w:after="0" w:afterAutospacing="0" w:line="600" w:lineRule="exact"/>
        <w:ind w:left="0" w:leftChars="0" w:right="0" w:rightChars="0" w:firstLine="640" w:firstLineChars="200"/>
        <w:textAlignment w:val="auto"/>
        <w:outlineLvl w:val="9"/>
        <w:rPr>
          <w:rFonts w:hint="eastAsia"/>
          <w:sz w:val="32"/>
          <w:szCs w:val="32"/>
        </w:rPr>
      </w:pPr>
      <w:r>
        <w:rPr>
          <w:rFonts w:hint="eastAsia" w:ascii="方正仿宋_GBK" w:eastAsia="方正仿宋_GBK"/>
          <w:sz w:val="32"/>
          <w:szCs w:val="32"/>
          <w:shd w:val="clear" w:color="auto" w:fill="FFFFFF"/>
        </w:rPr>
        <w:t>根据预算绩效管理要求，我单位对1个项目开展了绩效自评，其中，以填报自评表形式开展自评1项，涉及资金23.57万元。</w:t>
      </w:r>
      <w:r>
        <w:rPr>
          <w:rFonts w:hint="eastAsia" w:ascii="方正仿宋_GBK" w:eastAsia="方正仿宋_GBK"/>
          <w:kern w:val="2"/>
          <w:sz w:val="32"/>
          <w:szCs w:val="32"/>
        </w:rPr>
        <w:t>没有以委托第三方形式开展绩效评价。评价情况来看，总体上预算执行情况良好，群众满意度较高。</w:t>
      </w:r>
    </w:p>
    <w:p>
      <w:pPr>
        <w:pStyle w:val="9"/>
        <w:keepNext w:val="0"/>
        <w:keepLines w:val="0"/>
        <w:pageBreakBefore w:val="0"/>
        <w:widowControl/>
        <w:kinsoku/>
        <w:wordWrap/>
        <w:overflowPunct/>
        <w:topLinePunct w:val="0"/>
        <w:autoSpaceDE w:val="0"/>
        <w:autoSpaceDN/>
        <w:bidi w:val="0"/>
        <w:adjustRightInd/>
        <w:snapToGrid w:val="0"/>
        <w:spacing w:before="0" w:beforeAutospacing="0" w:after="0" w:afterAutospacing="0" w:line="600" w:lineRule="exact"/>
        <w:ind w:left="0" w:leftChars="0" w:right="0" w:rightChars="0" w:firstLine="640" w:firstLineChars="200"/>
        <w:textAlignment w:val="auto"/>
        <w:outlineLvl w:val="9"/>
        <w:rPr>
          <w:rFonts w:hint="eastAsia" w:ascii="方正楷体_GBK" w:eastAsia="方正楷体_GBK"/>
          <w:sz w:val="32"/>
          <w:szCs w:val="32"/>
        </w:rPr>
      </w:pPr>
      <w:r>
        <w:rPr>
          <w:rStyle w:val="21"/>
          <w:rFonts w:hint="eastAsia" w:ascii="方正楷体_GBK" w:eastAsia="方正楷体_GBK"/>
          <w:b w:val="0"/>
          <w:bCs w:val="0"/>
          <w:sz w:val="32"/>
          <w:szCs w:val="32"/>
          <w:shd w:val="clear" w:color="auto" w:fill="FFFFFF"/>
        </w:rPr>
        <w:t>（二）绩效自评结果。</w:t>
      </w:r>
    </w:p>
    <w:p>
      <w:pPr>
        <w:pStyle w:val="9"/>
        <w:keepNext w:val="0"/>
        <w:keepLines w:val="0"/>
        <w:pageBreakBefore w:val="0"/>
        <w:widowControl/>
        <w:kinsoku/>
        <w:wordWrap/>
        <w:overflowPunct/>
        <w:topLinePunct w:val="0"/>
        <w:autoSpaceDE w:val="0"/>
        <w:autoSpaceDN/>
        <w:bidi w:val="0"/>
        <w:adjustRightInd/>
        <w:snapToGrid w:val="0"/>
        <w:spacing w:before="0" w:beforeAutospacing="0" w:after="0" w:afterAutospacing="0" w:line="600" w:lineRule="exact"/>
        <w:ind w:left="0" w:leftChars="0" w:right="0" w:rightChars="0" w:firstLine="640" w:firstLineChars="200"/>
        <w:textAlignment w:val="auto"/>
        <w:outlineLvl w:val="9"/>
        <w:rPr>
          <w:rStyle w:val="21"/>
          <w:rFonts w:hint="eastAsia" w:ascii="方正仿宋_GBK" w:eastAsia="方正仿宋_GBK"/>
          <w:b w:val="0"/>
          <w:bCs w:val="0"/>
          <w:sz w:val="32"/>
          <w:szCs w:val="32"/>
          <w:shd w:val="clear" w:color="auto" w:fill="FFFFFF"/>
        </w:rPr>
      </w:pPr>
      <w:r>
        <w:rPr>
          <w:rStyle w:val="21"/>
          <w:rFonts w:hint="eastAsia" w:ascii="方正仿宋_GBK" w:eastAsia="方正仿宋_GBK"/>
          <w:b w:val="0"/>
          <w:bCs w:val="0"/>
          <w:sz w:val="32"/>
          <w:szCs w:val="32"/>
          <w:shd w:val="clear" w:color="auto" w:fill="FFFFFF"/>
        </w:rPr>
        <w:t>1.绩效目标自评表。</w:t>
      </w:r>
    </w:p>
    <w:p>
      <w:pPr>
        <w:pStyle w:val="9"/>
        <w:keepNext w:val="0"/>
        <w:keepLines w:val="0"/>
        <w:pageBreakBefore w:val="0"/>
        <w:widowControl/>
        <w:kinsoku/>
        <w:wordWrap/>
        <w:overflowPunct/>
        <w:topLinePunct w:val="0"/>
        <w:autoSpaceDE w:val="0"/>
        <w:autoSpaceDN/>
        <w:bidi w:val="0"/>
        <w:adjustRightInd/>
        <w:snapToGrid w:val="0"/>
        <w:spacing w:before="0" w:beforeAutospacing="0" w:after="0" w:afterAutospacing="0" w:line="600" w:lineRule="exact"/>
        <w:ind w:left="0" w:leftChars="0" w:right="0" w:rightChars="0" w:firstLine="640" w:firstLineChars="200"/>
        <w:textAlignment w:val="auto"/>
        <w:outlineLvl w:val="9"/>
        <w:rPr>
          <w:rStyle w:val="21"/>
          <w:rFonts w:hint="eastAsia"/>
          <w:b w:val="0"/>
          <w:bCs w:val="0"/>
          <w:sz w:val="32"/>
          <w:szCs w:val="32"/>
          <w:shd w:val="clear" w:color="auto" w:fill="FFFFFF"/>
        </w:rPr>
      </w:pPr>
      <w:r>
        <w:rPr>
          <w:rFonts w:hint="eastAsia" w:ascii="方正仿宋_GBK" w:eastAsia="方正仿宋_GBK"/>
          <w:color w:val="171A1D"/>
          <w:sz w:val="32"/>
          <w:szCs w:val="32"/>
          <w:shd w:val="clear" w:color="auto" w:fill="FFFFFF"/>
        </w:rPr>
        <w:t>详见公开表。</w:t>
      </w:r>
    </w:p>
    <w:p>
      <w:pPr>
        <w:pStyle w:val="9"/>
        <w:keepNext w:val="0"/>
        <w:keepLines w:val="0"/>
        <w:pageBreakBefore w:val="0"/>
        <w:widowControl/>
        <w:kinsoku/>
        <w:wordWrap/>
        <w:overflowPunct/>
        <w:topLinePunct w:val="0"/>
        <w:autoSpaceDE w:val="0"/>
        <w:autoSpaceDN/>
        <w:bidi w:val="0"/>
        <w:adjustRightInd/>
        <w:snapToGrid w:val="0"/>
        <w:spacing w:before="0" w:beforeAutospacing="0" w:after="0" w:afterAutospacing="0" w:line="600" w:lineRule="exact"/>
        <w:ind w:left="0" w:leftChars="0" w:right="0" w:rightChars="0" w:firstLine="640" w:firstLineChars="200"/>
        <w:textAlignment w:val="auto"/>
        <w:outlineLvl w:val="9"/>
        <w:rPr>
          <w:rStyle w:val="21"/>
          <w:rFonts w:hint="eastAsia" w:eastAsia="方正仿宋_GBK"/>
          <w:b w:val="0"/>
          <w:bCs w:val="0"/>
          <w:sz w:val="32"/>
          <w:szCs w:val="32"/>
          <w:shd w:val="clear" w:color="auto" w:fill="FFFFFF"/>
        </w:rPr>
      </w:pPr>
      <w:r>
        <w:rPr>
          <w:rStyle w:val="21"/>
          <w:rFonts w:hint="eastAsia" w:ascii="方正仿宋_GBK" w:eastAsia="方正仿宋_GBK"/>
          <w:b w:val="0"/>
          <w:bCs w:val="0"/>
          <w:sz w:val="32"/>
          <w:szCs w:val="32"/>
          <w:shd w:val="clear" w:color="auto" w:fill="FFFFFF"/>
        </w:rPr>
        <w:t>2.绩效自评报告或案例。</w:t>
      </w:r>
    </w:p>
    <w:p>
      <w:pPr>
        <w:pStyle w:val="9"/>
        <w:keepNext w:val="0"/>
        <w:keepLines w:val="0"/>
        <w:pageBreakBefore w:val="0"/>
        <w:widowControl/>
        <w:kinsoku/>
        <w:wordWrap/>
        <w:overflowPunct/>
        <w:topLinePunct w:val="0"/>
        <w:autoSpaceDE w:val="0"/>
        <w:autoSpaceDN/>
        <w:bidi w:val="0"/>
        <w:adjustRightInd/>
        <w:snapToGrid w:val="0"/>
        <w:spacing w:before="0" w:beforeAutospacing="0" w:after="0" w:afterAutospacing="0" w:line="600" w:lineRule="exact"/>
        <w:ind w:left="0" w:leftChars="0" w:right="0" w:rightChars="0" w:firstLine="640" w:firstLineChars="200"/>
        <w:textAlignment w:val="auto"/>
        <w:outlineLvl w:val="9"/>
        <w:rPr>
          <w:rFonts w:hint="eastAsia" w:ascii="方正仿宋_GBK"/>
          <w:sz w:val="32"/>
          <w:szCs w:val="32"/>
        </w:rPr>
      </w:pPr>
      <w:r>
        <w:rPr>
          <w:rFonts w:hint="eastAsia" w:ascii="方正仿宋_GBK" w:eastAsia="方正仿宋_GBK"/>
          <w:sz w:val="32"/>
          <w:szCs w:val="32"/>
          <w:shd w:val="clear" w:color="auto" w:fill="FFFFFF"/>
        </w:rPr>
        <w:t>无。</w:t>
      </w:r>
    </w:p>
    <w:p>
      <w:pPr>
        <w:pStyle w:val="9"/>
        <w:keepNext w:val="0"/>
        <w:keepLines w:val="0"/>
        <w:pageBreakBefore w:val="0"/>
        <w:widowControl/>
        <w:kinsoku/>
        <w:wordWrap/>
        <w:overflowPunct/>
        <w:topLinePunct w:val="0"/>
        <w:autoSpaceDE w:val="0"/>
        <w:autoSpaceDN/>
        <w:bidi w:val="0"/>
        <w:adjustRightInd/>
        <w:snapToGrid w:val="0"/>
        <w:spacing w:before="0" w:beforeAutospacing="0" w:after="0" w:afterAutospacing="0" w:line="600" w:lineRule="exact"/>
        <w:ind w:left="0" w:leftChars="0" w:right="0" w:rightChars="0" w:firstLine="640" w:firstLineChars="200"/>
        <w:textAlignment w:val="auto"/>
        <w:outlineLvl w:val="9"/>
        <w:rPr>
          <w:rFonts w:hint="eastAsia" w:ascii="方正仿宋_GBK" w:eastAsia="方正仿宋_GBK"/>
          <w:sz w:val="32"/>
          <w:szCs w:val="32"/>
        </w:rPr>
      </w:pPr>
      <w:r>
        <w:rPr>
          <w:rStyle w:val="21"/>
          <w:rFonts w:hint="eastAsia" w:ascii="方正仿宋_GBK" w:eastAsia="方正仿宋_GBK"/>
          <w:b w:val="0"/>
          <w:bCs w:val="0"/>
          <w:sz w:val="32"/>
          <w:szCs w:val="32"/>
          <w:shd w:val="clear" w:color="auto" w:fill="FFFFFF"/>
        </w:rPr>
        <w:t>3.关于绩效自评结果的说明。</w:t>
      </w:r>
    </w:p>
    <w:p>
      <w:pPr>
        <w:pStyle w:val="9"/>
        <w:keepNext w:val="0"/>
        <w:keepLines w:val="0"/>
        <w:pageBreakBefore w:val="0"/>
        <w:widowControl/>
        <w:kinsoku/>
        <w:wordWrap/>
        <w:overflowPunct/>
        <w:topLinePunct w:val="0"/>
        <w:autoSpaceDE w:val="0"/>
        <w:autoSpaceDN/>
        <w:bidi w:val="0"/>
        <w:adjustRightInd/>
        <w:spacing w:before="0" w:beforeAutospacing="0" w:after="0" w:afterAutospacing="0" w:line="600" w:lineRule="exact"/>
        <w:ind w:left="0" w:leftChars="0" w:right="0" w:rightChars="0" w:firstLine="640" w:firstLineChars="200"/>
        <w:textAlignment w:val="auto"/>
        <w:outlineLvl w:val="9"/>
        <w:rPr>
          <w:rFonts w:hint="eastAsia" w:ascii="方正仿宋_GBK" w:eastAsia="方正仿宋_GBK"/>
          <w:kern w:val="2"/>
          <w:sz w:val="32"/>
          <w:szCs w:val="32"/>
        </w:rPr>
      </w:pPr>
      <w:r>
        <w:rPr>
          <w:rFonts w:hint="eastAsia" w:ascii="方正仿宋_GBK" w:eastAsia="方正仿宋_GBK"/>
          <w:kern w:val="2"/>
          <w:sz w:val="32"/>
          <w:szCs w:val="32"/>
        </w:rPr>
        <w:t>从总体绩效评价情况来看，总体上预算执行情况良好，群众满意度较高。</w:t>
      </w:r>
    </w:p>
    <w:p>
      <w:pPr>
        <w:pStyle w:val="9"/>
        <w:keepNext w:val="0"/>
        <w:keepLines w:val="0"/>
        <w:pageBreakBefore w:val="0"/>
        <w:widowControl/>
        <w:kinsoku/>
        <w:wordWrap/>
        <w:overflowPunct/>
        <w:topLinePunct w:val="0"/>
        <w:autoSpaceDE w:val="0"/>
        <w:autoSpaceDN/>
        <w:bidi w:val="0"/>
        <w:adjustRightInd/>
        <w:spacing w:before="0" w:beforeAutospacing="0" w:after="0" w:afterAutospacing="0" w:line="600" w:lineRule="exact"/>
        <w:ind w:left="0" w:leftChars="0" w:right="0" w:rightChars="0" w:firstLine="640" w:firstLineChars="200"/>
        <w:textAlignment w:val="auto"/>
        <w:outlineLvl w:val="9"/>
        <w:rPr>
          <w:rFonts w:hint="eastAsia" w:ascii="方正楷体_GBK" w:eastAsia="方正楷体_GBK"/>
          <w:sz w:val="32"/>
          <w:szCs w:val="32"/>
        </w:rPr>
      </w:pPr>
      <w:r>
        <w:rPr>
          <w:rStyle w:val="21"/>
          <w:rFonts w:hint="eastAsia" w:ascii="方正楷体_GBK" w:eastAsia="方正楷体_GBK"/>
          <w:b w:val="0"/>
          <w:bCs w:val="0"/>
          <w:sz w:val="32"/>
          <w:szCs w:val="32"/>
          <w:shd w:val="clear" w:color="auto" w:fill="FFFFFF"/>
        </w:rPr>
        <w:t>（三）重点绩效评价结果。</w:t>
      </w:r>
    </w:p>
    <w:p>
      <w:pPr>
        <w:pStyle w:val="9"/>
        <w:keepNext w:val="0"/>
        <w:keepLines w:val="0"/>
        <w:pageBreakBefore w:val="0"/>
        <w:widowControl/>
        <w:kinsoku/>
        <w:wordWrap/>
        <w:overflowPunct/>
        <w:topLinePunct w:val="0"/>
        <w:autoSpaceDE w:val="0"/>
        <w:autoSpaceDN/>
        <w:bidi w:val="0"/>
        <w:adjustRightInd/>
        <w:snapToGrid w:val="0"/>
        <w:spacing w:before="0" w:beforeAutospacing="0" w:after="0" w:afterAutospacing="0" w:line="600" w:lineRule="exact"/>
        <w:ind w:left="0" w:leftChars="0" w:right="0" w:rightChars="0" w:firstLine="640" w:firstLineChars="200"/>
        <w:textAlignment w:val="auto"/>
        <w:outlineLvl w:val="9"/>
        <w:rPr>
          <w:rFonts w:hint="eastAsia" w:ascii="方正仿宋_GBK" w:eastAsia="方正仿宋_GBK"/>
          <w:sz w:val="32"/>
          <w:szCs w:val="32"/>
          <w:shd w:val="clear" w:color="auto" w:fill="FFFFFF"/>
        </w:rPr>
      </w:pPr>
      <w:r>
        <w:rPr>
          <w:rFonts w:hint="eastAsia" w:ascii="方正仿宋_GBK" w:eastAsia="方正仿宋_GBK"/>
          <w:sz w:val="32"/>
          <w:szCs w:val="32"/>
          <w:shd w:val="clear" w:color="auto" w:fill="FFFFFF"/>
        </w:rPr>
        <w:t>无。</w:t>
      </w:r>
    </w:p>
    <w:p>
      <w:pPr>
        <w:pStyle w:val="9"/>
        <w:keepNext w:val="0"/>
        <w:keepLines w:val="0"/>
        <w:pageBreakBefore w:val="0"/>
        <w:widowControl/>
        <w:kinsoku/>
        <w:wordWrap/>
        <w:overflowPunct/>
        <w:topLinePunct w:val="0"/>
        <w:autoSpaceDE w:val="0"/>
        <w:autoSpaceDN/>
        <w:bidi w:val="0"/>
        <w:adjustRightInd/>
        <w:snapToGrid w:val="0"/>
        <w:spacing w:before="0" w:beforeAutospacing="0" w:after="0" w:afterAutospacing="0" w:line="600" w:lineRule="exact"/>
        <w:ind w:left="0" w:leftChars="0" w:right="0" w:rightChars="0" w:firstLine="640" w:firstLineChars="200"/>
        <w:textAlignment w:val="auto"/>
        <w:outlineLvl w:val="9"/>
        <w:rPr>
          <w:rFonts w:hint="eastAsia" w:ascii="方正黑体_GBK" w:eastAsia="方正黑体_GBK"/>
          <w:sz w:val="32"/>
          <w:szCs w:val="32"/>
        </w:rPr>
      </w:pPr>
      <w:r>
        <w:rPr>
          <w:rStyle w:val="20"/>
          <w:rFonts w:hint="eastAsia" w:ascii="方正黑体_GBK" w:eastAsia="方正黑体_GBK"/>
          <w:b w:val="0"/>
          <w:bCs w:val="0"/>
          <w:sz w:val="32"/>
          <w:szCs w:val="32"/>
          <w:shd w:val="clear" w:color="auto" w:fill="FFFFFF"/>
        </w:rPr>
        <w:t>六、专业名词解释</w:t>
      </w:r>
    </w:p>
    <w:p>
      <w:pPr>
        <w:pStyle w:val="15"/>
        <w:keepNext w:val="0"/>
        <w:keepLines w:val="0"/>
        <w:pageBreakBefore w:val="0"/>
        <w:widowControl/>
        <w:kinsoku/>
        <w:wordWrap/>
        <w:overflowPunct/>
        <w:topLinePunct w:val="0"/>
        <w:autoSpaceDE w:val="0"/>
        <w:autoSpaceDN/>
        <w:bidi w:val="0"/>
        <w:adjustRightInd/>
        <w:spacing w:before="0" w:beforeAutospacing="0" w:after="0" w:afterAutospacing="0" w:line="600" w:lineRule="exact"/>
        <w:ind w:left="0" w:leftChars="0" w:right="0" w:rightChars="0" w:firstLine="643" w:firstLineChars="200"/>
        <w:textAlignment w:val="auto"/>
        <w:outlineLvl w:val="9"/>
        <w:rPr>
          <w:rFonts w:hint="eastAsia" w:ascii="方正仿宋_GBK" w:eastAsia="方正仿宋_GBK"/>
          <w:sz w:val="32"/>
          <w:szCs w:val="32"/>
        </w:rPr>
      </w:pPr>
      <w:r>
        <w:rPr>
          <w:rStyle w:val="20"/>
          <w:rFonts w:hint="eastAsia" w:ascii="方正楷体_GBK" w:eastAsia="方正楷体_GBK"/>
          <w:sz w:val="32"/>
          <w:szCs w:val="32"/>
          <w:shd w:val="clear" w:color="auto" w:fill="FFFFFF"/>
        </w:rPr>
        <w:t>（一）财政拨款收入：</w:t>
      </w:r>
      <w:r>
        <w:rPr>
          <w:rFonts w:hint="eastAsia" w:ascii="方正仿宋_GBK" w:eastAsia="方正仿宋_GBK"/>
          <w:sz w:val="32"/>
          <w:szCs w:val="32"/>
          <w:shd w:val="clear" w:color="auto" w:fill="FFFFFF"/>
        </w:rPr>
        <w:t>指本年度从本级财政部门取得的财政拨款，包括一般公共预算财政拨款和政府性基金预算财政拨款。</w:t>
      </w:r>
    </w:p>
    <w:p>
      <w:pPr>
        <w:pStyle w:val="15"/>
        <w:keepNext w:val="0"/>
        <w:keepLines w:val="0"/>
        <w:pageBreakBefore w:val="0"/>
        <w:widowControl/>
        <w:kinsoku/>
        <w:wordWrap/>
        <w:overflowPunct/>
        <w:topLinePunct w:val="0"/>
        <w:autoSpaceDE w:val="0"/>
        <w:autoSpaceDN/>
        <w:bidi w:val="0"/>
        <w:adjustRightInd/>
        <w:spacing w:before="0" w:beforeAutospacing="0" w:after="0" w:afterAutospacing="0" w:line="600" w:lineRule="exact"/>
        <w:ind w:left="0" w:leftChars="0" w:right="0" w:rightChars="0" w:firstLine="643" w:firstLineChars="200"/>
        <w:textAlignment w:val="auto"/>
        <w:outlineLvl w:val="9"/>
        <w:rPr>
          <w:rFonts w:hint="eastAsia" w:ascii="方正仿宋_GBK" w:eastAsia="方正仿宋_GBK"/>
          <w:sz w:val="32"/>
          <w:szCs w:val="32"/>
        </w:rPr>
      </w:pPr>
      <w:r>
        <w:rPr>
          <w:rStyle w:val="20"/>
          <w:rFonts w:hint="eastAsia" w:ascii="方正楷体_GBK" w:eastAsia="方正楷体_GBK"/>
          <w:sz w:val="32"/>
          <w:szCs w:val="32"/>
          <w:shd w:val="clear" w:color="auto" w:fill="FFFFFF"/>
        </w:rPr>
        <w:t>（二）事业收入：</w:t>
      </w:r>
      <w:r>
        <w:rPr>
          <w:rFonts w:hint="eastAsia" w:ascii="方正仿宋_GBK" w:eastAsia="方正仿宋_GBK"/>
          <w:sz w:val="32"/>
          <w:szCs w:val="32"/>
          <w:shd w:val="clear" w:color="auto" w:fill="FFFFFF"/>
        </w:rPr>
        <w:t>指事业单位开展专业业务活动及其辅助活动取得的现金流入；事业单位收到的财政专户实际核拨的教育收费等资金在此反映。</w:t>
      </w:r>
    </w:p>
    <w:p>
      <w:pPr>
        <w:pStyle w:val="15"/>
        <w:keepNext w:val="0"/>
        <w:keepLines w:val="0"/>
        <w:pageBreakBefore w:val="0"/>
        <w:widowControl/>
        <w:kinsoku/>
        <w:wordWrap/>
        <w:overflowPunct/>
        <w:topLinePunct w:val="0"/>
        <w:autoSpaceDE w:val="0"/>
        <w:autoSpaceDN/>
        <w:bidi w:val="0"/>
        <w:adjustRightInd/>
        <w:spacing w:before="0" w:beforeAutospacing="0" w:after="0" w:afterAutospacing="0" w:line="600" w:lineRule="exact"/>
        <w:ind w:left="0" w:leftChars="0" w:right="0" w:rightChars="0" w:firstLine="643" w:firstLineChars="200"/>
        <w:textAlignment w:val="auto"/>
        <w:outlineLvl w:val="9"/>
        <w:rPr>
          <w:rFonts w:hint="eastAsia" w:ascii="方正仿宋_GBK" w:eastAsia="方正仿宋_GBK"/>
          <w:sz w:val="32"/>
          <w:szCs w:val="32"/>
        </w:rPr>
      </w:pPr>
      <w:r>
        <w:rPr>
          <w:rStyle w:val="20"/>
          <w:rFonts w:hint="eastAsia" w:ascii="方正楷体_GBK" w:eastAsia="方正楷体_GBK"/>
          <w:sz w:val="32"/>
          <w:szCs w:val="32"/>
          <w:shd w:val="clear" w:color="auto" w:fill="FFFFFF"/>
        </w:rPr>
        <w:t>（三）经营收入：</w:t>
      </w:r>
      <w:r>
        <w:rPr>
          <w:rFonts w:hint="eastAsia" w:ascii="方正仿宋_GBK" w:eastAsia="方正仿宋_GBK"/>
          <w:sz w:val="32"/>
          <w:szCs w:val="32"/>
          <w:shd w:val="clear" w:color="auto" w:fill="FFFFFF"/>
        </w:rPr>
        <w:t>指事业单位在专业业务活动及其辅助活动之外开展非独立核算经营活动取得的现金流入。</w:t>
      </w:r>
    </w:p>
    <w:p>
      <w:pPr>
        <w:pStyle w:val="15"/>
        <w:keepNext w:val="0"/>
        <w:keepLines w:val="0"/>
        <w:pageBreakBefore w:val="0"/>
        <w:widowControl/>
        <w:kinsoku/>
        <w:wordWrap/>
        <w:overflowPunct/>
        <w:topLinePunct w:val="0"/>
        <w:autoSpaceDE w:val="0"/>
        <w:autoSpaceDN/>
        <w:bidi w:val="0"/>
        <w:adjustRightInd/>
        <w:spacing w:before="0" w:beforeAutospacing="0" w:after="0" w:afterAutospacing="0" w:line="600" w:lineRule="exact"/>
        <w:ind w:left="0" w:leftChars="0" w:right="0" w:rightChars="0" w:firstLine="643" w:firstLineChars="200"/>
        <w:textAlignment w:val="auto"/>
        <w:outlineLvl w:val="9"/>
        <w:rPr>
          <w:rFonts w:hint="eastAsia" w:ascii="方正仿宋_GBK" w:eastAsia="方正仿宋_GBK"/>
          <w:sz w:val="32"/>
          <w:szCs w:val="32"/>
        </w:rPr>
      </w:pPr>
      <w:r>
        <w:rPr>
          <w:rStyle w:val="20"/>
          <w:rFonts w:hint="eastAsia" w:ascii="方正楷体_GBK" w:eastAsia="方正楷体_GBK"/>
          <w:sz w:val="32"/>
          <w:szCs w:val="32"/>
          <w:shd w:val="clear" w:color="auto" w:fill="FFFFFF"/>
        </w:rPr>
        <w:t>（四）其他收入：</w:t>
      </w:r>
      <w:r>
        <w:rPr>
          <w:rFonts w:hint="eastAsia" w:ascii="方正仿宋_GBK" w:eastAsia="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5"/>
        <w:keepNext w:val="0"/>
        <w:keepLines w:val="0"/>
        <w:pageBreakBefore w:val="0"/>
        <w:widowControl/>
        <w:kinsoku/>
        <w:wordWrap/>
        <w:overflowPunct/>
        <w:topLinePunct w:val="0"/>
        <w:autoSpaceDE w:val="0"/>
        <w:autoSpaceDN/>
        <w:bidi w:val="0"/>
        <w:adjustRightInd/>
        <w:spacing w:before="0" w:beforeAutospacing="0" w:after="0" w:afterAutospacing="0" w:line="600" w:lineRule="exact"/>
        <w:ind w:left="0" w:leftChars="0" w:right="0" w:rightChars="0" w:firstLine="643" w:firstLineChars="200"/>
        <w:textAlignment w:val="auto"/>
        <w:outlineLvl w:val="9"/>
        <w:rPr>
          <w:rFonts w:hint="eastAsia" w:ascii="方正仿宋_GBK" w:eastAsia="方正仿宋_GBK"/>
          <w:sz w:val="32"/>
          <w:szCs w:val="32"/>
        </w:rPr>
      </w:pPr>
      <w:r>
        <w:rPr>
          <w:rStyle w:val="20"/>
          <w:rFonts w:hint="eastAsia" w:ascii="方正楷体_GBK" w:eastAsia="方正楷体_GBK"/>
          <w:sz w:val="32"/>
          <w:szCs w:val="32"/>
          <w:shd w:val="clear" w:color="auto" w:fill="FFFFFF"/>
        </w:rPr>
        <w:t>（五）使用非财政拨款结余（含专用结余）：</w:t>
      </w:r>
      <w:r>
        <w:rPr>
          <w:rFonts w:hint="eastAsia" w:ascii="方正仿宋_GBK" w:eastAsia="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15"/>
        <w:keepNext w:val="0"/>
        <w:keepLines w:val="0"/>
        <w:pageBreakBefore w:val="0"/>
        <w:widowControl/>
        <w:kinsoku/>
        <w:wordWrap/>
        <w:overflowPunct/>
        <w:topLinePunct w:val="0"/>
        <w:autoSpaceDE w:val="0"/>
        <w:autoSpaceDN/>
        <w:bidi w:val="0"/>
        <w:adjustRightInd/>
        <w:spacing w:before="0" w:beforeAutospacing="0" w:after="0" w:afterAutospacing="0" w:line="600" w:lineRule="exact"/>
        <w:ind w:left="0" w:leftChars="0" w:right="0" w:rightChars="0" w:firstLine="643" w:firstLineChars="200"/>
        <w:textAlignment w:val="auto"/>
        <w:outlineLvl w:val="9"/>
        <w:rPr>
          <w:rFonts w:hint="eastAsia" w:ascii="方正仿宋_GBK" w:eastAsia="方正仿宋_GBK"/>
          <w:sz w:val="32"/>
          <w:szCs w:val="32"/>
        </w:rPr>
      </w:pPr>
      <w:r>
        <w:rPr>
          <w:rStyle w:val="20"/>
          <w:rFonts w:hint="eastAsia" w:ascii="方正楷体_GBK" w:eastAsia="方正楷体_GBK"/>
          <w:sz w:val="32"/>
          <w:szCs w:val="32"/>
          <w:shd w:val="clear" w:color="auto" w:fill="FFFFFF"/>
        </w:rPr>
        <w:t>（六）年初结转和结余：</w:t>
      </w:r>
      <w:r>
        <w:rPr>
          <w:rFonts w:hint="eastAsia" w:ascii="方正仿宋_GBK" w:eastAsia="方正仿宋_GBK"/>
          <w:sz w:val="32"/>
          <w:szCs w:val="32"/>
          <w:shd w:val="clear" w:color="auto" w:fill="FFFFFF"/>
        </w:rPr>
        <w:t>指单位上年结转本年使用的基本支出结转、项目支出结转和结余、经营结余。</w:t>
      </w:r>
    </w:p>
    <w:p>
      <w:pPr>
        <w:pStyle w:val="15"/>
        <w:keepNext w:val="0"/>
        <w:keepLines w:val="0"/>
        <w:pageBreakBefore w:val="0"/>
        <w:widowControl/>
        <w:kinsoku/>
        <w:wordWrap/>
        <w:overflowPunct/>
        <w:topLinePunct w:val="0"/>
        <w:autoSpaceDE w:val="0"/>
        <w:autoSpaceDN/>
        <w:bidi w:val="0"/>
        <w:adjustRightInd/>
        <w:spacing w:before="0" w:beforeAutospacing="0" w:after="0" w:afterAutospacing="0" w:line="600" w:lineRule="exact"/>
        <w:ind w:left="0" w:leftChars="0" w:right="0" w:rightChars="0" w:firstLine="643" w:firstLineChars="200"/>
        <w:textAlignment w:val="auto"/>
        <w:outlineLvl w:val="9"/>
        <w:rPr>
          <w:rFonts w:hint="eastAsia" w:ascii="方正仿宋_GBK" w:eastAsia="方正仿宋_GBK"/>
          <w:sz w:val="32"/>
          <w:szCs w:val="32"/>
        </w:rPr>
      </w:pPr>
      <w:r>
        <w:rPr>
          <w:rStyle w:val="20"/>
          <w:rFonts w:hint="eastAsia" w:ascii="方正楷体_GBK" w:eastAsia="方正楷体_GBK"/>
          <w:sz w:val="32"/>
          <w:szCs w:val="32"/>
          <w:shd w:val="clear" w:color="auto" w:fill="FFFFFF"/>
        </w:rPr>
        <w:t>（七）结余分配：</w:t>
      </w:r>
      <w:r>
        <w:rPr>
          <w:rFonts w:hint="eastAsia" w:ascii="方正仿宋_GBK" w:eastAsia="方正仿宋_GBK"/>
          <w:sz w:val="32"/>
          <w:szCs w:val="32"/>
          <w:shd w:val="clear" w:color="auto" w:fill="FFFFFF"/>
        </w:rPr>
        <w:t>指单位按照国家有关规定，缴纳所得税、提取专用基金、转入非财政拨款结余等当年结余的分配情况。</w:t>
      </w:r>
    </w:p>
    <w:p>
      <w:pPr>
        <w:pStyle w:val="15"/>
        <w:keepNext w:val="0"/>
        <w:keepLines w:val="0"/>
        <w:pageBreakBefore w:val="0"/>
        <w:widowControl/>
        <w:kinsoku/>
        <w:wordWrap/>
        <w:overflowPunct/>
        <w:topLinePunct w:val="0"/>
        <w:autoSpaceDE w:val="0"/>
        <w:autoSpaceDN/>
        <w:bidi w:val="0"/>
        <w:adjustRightInd/>
        <w:spacing w:before="0" w:beforeAutospacing="0" w:after="0" w:afterAutospacing="0" w:line="600" w:lineRule="exact"/>
        <w:ind w:left="0" w:leftChars="0" w:right="0" w:rightChars="0" w:firstLine="643" w:firstLineChars="200"/>
        <w:textAlignment w:val="auto"/>
        <w:outlineLvl w:val="9"/>
        <w:rPr>
          <w:rFonts w:hint="eastAsia" w:ascii="方正仿宋_GBK" w:eastAsia="方正仿宋_GBK"/>
          <w:sz w:val="32"/>
          <w:szCs w:val="32"/>
        </w:rPr>
      </w:pPr>
      <w:r>
        <w:rPr>
          <w:rStyle w:val="20"/>
          <w:rFonts w:hint="eastAsia" w:ascii="方正楷体_GBK" w:eastAsia="方正楷体_GBK"/>
          <w:sz w:val="32"/>
          <w:szCs w:val="32"/>
          <w:shd w:val="clear" w:color="auto" w:fill="FFFFFF"/>
        </w:rPr>
        <w:t>（八）年末结转和结余：</w:t>
      </w:r>
      <w:r>
        <w:rPr>
          <w:rFonts w:hint="eastAsia" w:ascii="方正仿宋_GBK" w:eastAsia="方正仿宋_GBK"/>
          <w:sz w:val="32"/>
          <w:szCs w:val="32"/>
          <w:shd w:val="clear" w:color="auto" w:fill="FFFFFF"/>
        </w:rPr>
        <w:t>指单位结转下年的基本支出结转、项目支出结转和结余、经营结余。</w:t>
      </w:r>
    </w:p>
    <w:p>
      <w:pPr>
        <w:pStyle w:val="15"/>
        <w:keepNext w:val="0"/>
        <w:keepLines w:val="0"/>
        <w:pageBreakBefore w:val="0"/>
        <w:widowControl/>
        <w:kinsoku/>
        <w:wordWrap/>
        <w:overflowPunct/>
        <w:topLinePunct w:val="0"/>
        <w:autoSpaceDE w:val="0"/>
        <w:autoSpaceDN/>
        <w:bidi w:val="0"/>
        <w:adjustRightInd/>
        <w:spacing w:before="0" w:beforeAutospacing="0" w:after="0" w:afterAutospacing="0" w:line="600" w:lineRule="exact"/>
        <w:ind w:left="0" w:leftChars="0" w:right="0" w:rightChars="0" w:firstLine="643" w:firstLineChars="200"/>
        <w:textAlignment w:val="auto"/>
        <w:outlineLvl w:val="9"/>
        <w:rPr>
          <w:rFonts w:hint="eastAsia" w:ascii="方正仿宋_GBK" w:eastAsia="方正仿宋_GBK"/>
          <w:sz w:val="32"/>
          <w:szCs w:val="32"/>
        </w:rPr>
      </w:pPr>
      <w:r>
        <w:rPr>
          <w:rStyle w:val="20"/>
          <w:rFonts w:hint="eastAsia" w:ascii="方正楷体_GBK" w:eastAsia="方正楷体_GBK"/>
          <w:sz w:val="32"/>
          <w:szCs w:val="32"/>
          <w:shd w:val="clear" w:color="auto" w:fill="FFFFFF"/>
        </w:rPr>
        <w:t>（九）基本支出：</w:t>
      </w:r>
      <w:r>
        <w:rPr>
          <w:rFonts w:hint="eastAsia" w:ascii="方正仿宋_GBK" w:eastAsia="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5"/>
        <w:keepNext w:val="0"/>
        <w:keepLines w:val="0"/>
        <w:pageBreakBefore w:val="0"/>
        <w:widowControl/>
        <w:kinsoku/>
        <w:wordWrap/>
        <w:overflowPunct/>
        <w:topLinePunct w:val="0"/>
        <w:autoSpaceDE w:val="0"/>
        <w:autoSpaceDN/>
        <w:bidi w:val="0"/>
        <w:adjustRightInd/>
        <w:spacing w:before="0" w:beforeAutospacing="0" w:after="0" w:afterAutospacing="0" w:line="600" w:lineRule="exact"/>
        <w:ind w:left="0" w:leftChars="0" w:right="0" w:rightChars="0" w:firstLine="643" w:firstLineChars="200"/>
        <w:textAlignment w:val="auto"/>
        <w:outlineLvl w:val="9"/>
        <w:rPr>
          <w:rFonts w:hint="eastAsia" w:ascii="方正仿宋_GBK" w:eastAsia="方正仿宋_GBK"/>
          <w:sz w:val="32"/>
          <w:szCs w:val="32"/>
        </w:rPr>
      </w:pPr>
      <w:r>
        <w:rPr>
          <w:rStyle w:val="20"/>
          <w:rFonts w:hint="eastAsia" w:ascii="方正楷体_GBK" w:eastAsia="方正楷体_GBK"/>
          <w:sz w:val="32"/>
          <w:szCs w:val="32"/>
          <w:shd w:val="clear" w:color="auto" w:fill="FFFFFF"/>
        </w:rPr>
        <w:t>（十）项目支出：</w:t>
      </w:r>
      <w:r>
        <w:rPr>
          <w:rFonts w:hint="eastAsia" w:ascii="方正仿宋_GBK" w:eastAsia="方正仿宋_GBK"/>
          <w:sz w:val="32"/>
          <w:szCs w:val="32"/>
          <w:shd w:val="clear" w:color="auto" w:fill="FFFFFF"/>
        </w:rPr>
        <w:t>指在基本支出之外为完成特定行政任务和事业发展目标所发生的支出。</w:t>
      </w:r>
    </w:p>
    <w:p>
      <w:pPr>
        <w:pStyle w:val="15"/>
        <w:keepNext w:val="0"/>
        <w:keepLines w:val="0"/>
        <w:pageBreakBefore w:val="0"/>
        <w:widowControl/>
        <w:kinsoku/>
        <w:wordWrap/>
        <w:overflowPunct/>
        <w:topLinePunct w:val="0"/>
        <w:autoSpaceDE w:val="0"/>
        <w:autoSpaceDN/>
        <w:bidi w:val="0"/>
        <w:adjustRightInd/>
        <w:spacing w:before="0" w:beforeAutospacing="0" w:after="0" w:afterAutospacing="0" w:line="600" w:lineRule="exact"/>
        <w:ind w:left="0" w:leftChars="0" w:right="0" w:rightChars="0" w:firstLine="643" w:firstLineChars="200"/>
        <w:textAlignment w:val="auto"/>
        <w:outlineLvl w:val="9"/>
        <w:rPr>
          <w:rFonts w:hint="eastAsia" w:ascii="方正仿宋_GBK" w:eastAsia="方正仿宋_GBK"/>
          <w:sz w:val="32"/>
          <w:szCs w:val="32"/>
        </w:rPr>
      </w:pPr>
      <w:r>
        <w:rPr>
          <w:rStyle w:val="20"/>
          <w:rFonts w:hint="eastAsia" w:ascii="方正楷体_GBK" w:eastAsia="方正楷体_GBK"/>
          <w:sz w:val="32"/>
          <w:szCs w:val="32"/>
          <w:shd w:val="clear" w:color="auto" w:fill="FFFFFF"/>
        </w:rPr>
        <w:t>（十一）经营支出：</w:t>
      </w:r>
      <w:r>
        <w:rPr>
          <w:rFonts w:hint="eastAsia" w:ascii="方正仿宋_GBK" w:eastAsia="方正仿宋_GBK"/>
          <w:sz w:val="32"/>
          <w:szCs w:val="32"/>
          <w:shd w:val="clear" w:color="auto" w:fill="FFFFFF"/>
        </w:rPr>
        <w:t>指事业单位在专业业务活动及其辅助活动之外开展非独立核算经营活动发生的支出。</w:t>
      </w:r>
    </w:p>
    <w:p>
      <w:pPr>
        <w:pStyle w:val="15"/>
        <w:keepNext w:val="0"/>
        <w:keepLines w:val="0"/>
        <w:pageBreakBefore w:val="0"/>
        <w:widowControl/>
        <w:kinsoku/>
        <w:wordWrap/>
        <w:overflowPunct/>
        <w:topLinePunct w:val="0"/>
        <w:autoSpaceDE w:val="0"/>
        <w:autoSpaceDN/>
        <w:bidi w:val="0"/>
        <w:adjustRightInd/>
        <w:spacing w:before="0" w:beforeAutospacing="0" w:after="0" w:afterAutospacing="0" w:line="600" w:lineRule="exact"/>
        <w:ind w:left="0" w:leftChars="0" w:right="0" w:rightChars="0" w:firstLine="643" w:firstLineChars="200"/>
        <w:textAlignment w:val="auto"/>
        <w:outlineLvl w:val="9"/>
        <w:rPr>
          <w:rFonts w:hint="eastAsia" w:ascii="方正仿宋_GBK" w:eastAsia="方正仿宋_GBK"/>
          <w:sz w:val="32"/>
          <w:szCs w:val="32"/>
        </w:rPr>
      </w:pPr>
      <w:r>
        <w:rPr>
          <w:rStyle w:val="20"/>
          <w:rFonts w:hint="eastAsia" w:ascii="方正楷体_GBK" w:eastAsia="方正楷体_GBK"/>
          <w:sz w:val="32"/>
          <w:szCs w:val="32"/>
          <w:shd w:val="clear" w:color="auto" w:fill="FFFFFF"/>
        </w:rPr>
        <w:t>（十二）“三公”经费：</w:t>
      </w:r>
      <w:r>
        <w:rPr>
          <w:rFonts w:hint="eastAsia" w:ascii="方正仿宋_GBK" w:eastAsia="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5"/>
        <w:keepNext w:val="0"/>
        <w:keepLines w:val="0"/>
        <w:pageBreakBefore w:val="0"/>
        <w:widowControl/>
        <w:kinsoku/>
        <w:wordWrap/>
        <w:overflowPunct/>
        <w:topLinePunct w:val="0"/>
        <w:autoSpaceDE w:val="0"/>
        <w:autoSpaceDN/>
        <w:bidi w:val="0"/>
        <w:adjustRightInd/>
        <w:spacing w:before="0" w:beforeAutospacing="0" w:after="0" w:afterAutospacing="0" w:line="600" w:lineRule="exact"/>
        <w:ind w:left="0" w:leftChars="0" w:right="0" w:rightChars="0" w:firstLine="643" w:firstLineChars="200"/>
        <w:textAlignment w:val="auto"/>
        <w:outlineLvl w:val="9"/>
        <w:rPr>
          <w:rFonts w:hint="eastAsia" w:ascii="方正仿宋_GBK" w:eastAsia="方正仿宋_GBK"/>
          <w:sz w:val="32"/>
          <w:szCs w:val="32"/>
        </w:rPr>
      </w:pPr>
      <w:r>
        <w:rPr>
          <w:rStyle w:val="20"/>
          <w:rFonts w:hint="eastAsia" w:ascii="方正楷体_GBK" w:eastAsia="方正楷体_GBK"/>
          <w:sz w:val="32"/>
          <w:szCs w:val="32"/>
          <w:shd w:val="clear" w:color="auto" w:fill="FFFFFF"/>
        </w:rPr>
        <w:t>（十三）机关运行经费：</w:t>
      </w:r>
      <w:r>
        <w:rPr>
          <w:rFonts w:hint="eastAsia" w:ascii="方正仿宋_GBK" w:eastAsia="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5"/>
        <w:keepNext w:val="0"/>
        <w:keepLines w:val="0"/>
        <w:pageBreakBefore w:val="0"/>
        <w:widowControl/>
        <w:kinsoku/>
        <w:wordWrap/>
        <w:overflowPunct/>
        <w:topLinePunct w:val="0"/>
        <w:autoSpaceDE w:val="0"/>
        <w:autoSpaceDN/>
        <w:bidi w:val="0"/>
        <w:adjustRightInd/>
        <w:spacing w:before="0" w:beforeAutospacing="0" w:after="0" w:afterAutospacing="0" w:line="600" w:lineRule="exact"/>
        <w:ind w:left="0" w:leftChars="0" w:right="0" w:rightChars="0" w:firstLine="643" w:firstLineChars="200"/>
        <w:textAlignment w:val="auto"/>
        <w:outlineLvl w:val="9"/>
        <w:rPr>
          <w:rFonts w:hint="eastAsia" w:ascii="方正仿宋_GBK" w:eastAsia="方正仿宋_GBK"/>
          <w:sz w:val="32"/>
          <w:szCs w:val="32"/>
        </w:rPr>
      </w:pPr>
      <w:r>
        <w:rPr>
          <w:rStyle w:val="20"/>
          <w:rFonts w:hint="eastAsia" w:ascii="方正楷体_GBK" w:eastAsia="方正楷体_GBK"/>
          <w:sz w:val="32"/>
          <w:szCs w:val="32"/>
          <w:shd w:val="clear" w:color="auto" w:fill="FFFFFF"/>
        </w:rPr>
        <w:t>（十四）工资福利支出（支出经济分类科目类级）：</w:t>
      </w:r>
      <w:r>
        <w:rPr>
          <w:rFonts w:hint="eastAsia" w:ascii="方正仿宋_GBK" w:eastAsia="方正仿宋_GBK"/>
          <w:sz w:val="32"/>
          <w:szCs w:val="32"/>
          <w:shd w:val="clear" w:color="auto" w:fill="FFFFFF"/>
        </w:rPr>
        <w:t>反映单位开支的在职职工和编制外长期聘用人员的各类劳动报酬，以及为上述人员缴纳的各项社会保险费等。</w:t>
      </w:r>
    </w:p>
    <w:p>
      <w:pPr>
        <w:pStyle w:val="15"/>
        <w:keepNext w:val="0"/>
        <w:keepLines w:val="0"/>
        <w:pageBreakBefore w:val="0"/>
        <w:widowControl/>
        <w:kinsoku/>
        <w:wordWrap/>
        <w:overflowPunct/>
        <w:topLinePunct w:val="0"/>
        <w:autoSpaceDE w:val="0"/>
        <w:autoSpaceDN/>
        <w:bidi w:val="0"/>
        <w:adjustRightInd/>
        <w:spacing w:before="0" w:beforeAutospacing="0" w:after="0" w:afterAutospacing="0" w:line="600" w:lineRule="exact"/>
        <w:ind w:left="0" w:leftChars="0" w:right="0" w:rightChars="0" w:firstLine="643" w:firstLineChars="200"/>
        <w:textAlignment w:val="auto"/>
        <w:outlineLvl w:val="9"/>
        <w:rPr>
          <w:rFonts w:hint="eastAsia" w:ascii="方正仿宋_GBK" w:eastAsia="方正仿宋_GBK"/>
          <w:sz w:val="32"/>
          <w:szCs w:val="32"/>
        </w:rPr>
      </w:pPr>
      <w:r>
        <w:rPr>
          <w:rStyle w:val="20"/>
          <w:rFonts w:hint="eastAsia" w:ascii="方正楷体_GBK" w:eastAsia="方正楷体_GBK"/>
          <w:sz w:val="32"/>
          <w:szCs w:val="32"/>
          <w:shd w:val="clear" w:color="auto" w:fill="FFFFFF"/>
        </w:rPr>
        <w:t>（十五）商品和服务支出（支出经济分类科目类级）：</w:t>
      </w:r>
      <w:r>
        <w:rPr>
          <w:rFonts w:hint="eastAsia" w:ascii="方正仿宋_GBK" w:eastAsia="方正仿宋_GBK"/>
          <w:sz w:val="32"/>
          <w:szCs w:val="32"/>
          <w:shd w:val="clear" w:color="auto" w:fill="FFFFFF"/>
        </w:rPr>
        <w:t>反映单位购买商品和服务的支出（不包括用于购置固定资产的支出、战略性和应急储备支出）。</w:t>
      </w:r>
    </w:p>
    <w:p>
      <w:pPr>
        <w:pStyle w:val="15"/>
        <w:keepNext w:val="0"/>
        <w:keepLines w:val="0"/>
        <w:pageBreakBefore w:val="0"/>
        <w:widowControl/>
        <w:kinsoku/>
        <w:wordWrap/>
        <w:overflowPunct/>
        <w:topLinePunct w:val="0"/>
        <w:autoSpaceDE w:val="0"/>
        <w:autoSpaceDN/>
        <w:bidi w:val="0"/>
        <w:adjustRightInd/>
        <w:spacing w:before="0" w:beforeAutospacing="0" w:after="0" w:afterAutospacing="0" w:line="600" w:lineRule="exact"/>
        <w:ind w:left="0" w:leftChars="0" w:right="0" w:rightChars="0" w:firstLine="643" w:firstLineChars="200"/>
        <w:textAlignment w:val="auto"/>
        <w:outlineLvl w:val="9"/>
        <w:rPr>
          <w:rFonts w:hint="eastAsia" w:ascii="方正仿宋_GBK" w:eastAsia="方正仿宋_GBK"/>
          <w:sz w:val="32"/>
          <w:szCs w:val="32"/>
        </w:rPr>
      </w:pPr>
      <w:r>
        <w:rPr>
          <w:rStyle w:val="20"/>
          <w:rFonts w:hint="eastAsia" w:ascii="方正楷体_GBK" w:eastAsia="方正楷体_GBK"/>
          <w:sz w:val="32"/>
          <w:szCs w:val="32"/>
          <w:shd w:val="clear" w:color="auto" w:fill="FFFFFF"/>
        </w:rPr>
        <w:t>（十六）对个人和家庭的补助（支出经济分类科目类级）：</w:t>
      </w:r>
      <w:r>
        <w:rPr>
          <w:rFonts w:hint="eastAsia" w:ascii="方正仿宋_GBK" w:eastAsia="方正仿宋_GBK"/>
          <w:sz w:val="32"/>
          <w:szCs w:val="32"/>
          <w:shd w:val="clear" w:color="auto" w:fill="FFFFFF"/>
        </w:rPr>
        <w:t>反映用于对个人和家庭的补助支出。</w:t>
      </w:r>
    </w:p>
    <w:p>
      <w:pPr>
        <w:pStyle w:val="15"/>
        <w:keepNext w:val="0"/>
        <w:keepLines w:val="0"/>
        <w:pageBreakBefore w:val="0"/>
        <w:widowControl/>
        <w:kinsoku/>
        <w:wordWrap/>
        <w:overflowPunct/>
        <w:topLinePunct w:val="0"/>
        <w:autoSpaceDE w:val="0"/>
        <w:autoSpaceDN/>
        <w:bidi w:val="0"/>
        <w:adjustRightInd/>
        <w:spacing w:before="0" w:beforeAutospacing="0" w:after="0" w:afterAutospacing="0" w:line="600" w:lineRule="exact"/>
        <w:ind w:left="0" w:leftChars="0" w:right="0" w:rightChars="0" w:firstLine="643" w:firstLineChars="200"/>
        <w:textAlignment w:val="auto"/>
        <w:outlineLvl w:val="9"/>
        <w:rPr>
          <w:rFonts w:hint="eastAsia" w:ascii="方正仿宋_GBK" w:eastAsia="方正仿宋_GBK"/>
          <w:sz w:val="32"/>
          <w:szCs w:val="32"/>
        </w:rPr>
      </w:pPr>
      <w:r>
        <w:rPr>
          <w:rStyle w:val="20"/>
          <w:rFonts w:hint="eastAsia" w:ascii="方正楷体_GBK" w:eastAsia="方正楷体_GBK"/>
          <w:sz w:val="32"/>
          <w:szCs w:val="32"/>
          <w:shd w:val="clear" w:color="auto" w:fill="FFFFFF"/>
        </w:rPr>
        <w:t>（十七）其他资本性支出（支出经济分类科目类级）：</w:t>
      </w:r>
      <w:r>
        <w:rPr>
          <w:rFonts w:hint="eastAsia" w:ascii="方正仿宋_GBK" w:eastAsia="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15"/>
        <w:keepNext w:val="0"/>
        <w:keepLines w:val="0"/>
        <w:pageBreakBefore w:val="0"/>
        <w:widowControl/>
        <w:kinsoku/>
        <w:wordWrap/>
        <w:overflowPunct/>
        <w:topLinePunct w:val="0"/>
        <w:autoSpaceDE w:val="0"/>
        <w:autoSpaceDN/>
        <w:bidi w:val="0"/>
        <w:adjustRightInd/>
        <w:spacing w:before="0" w:beforeAutospacing="0" w:after="0" w:afterAutospacing="0" w:line="600" w:lineRule="exact"/>
        <w:ind w:left="0" w:leftChars="0" w:right="0" w:rightChars="0" w:firstLine="640" w:firstLineChars="200"/>
        <w:textAlignment w:val="auto"/>
        <w:outlineLvl w:val="9"/>
        <w:rPr>
          <w:rFonts w:hint="eastAsia" w:ascii="方正黑体_GBK" w:eastAsia="方正黑体_GBK"/>
          <w:sz w:val="32"/>
          <w:szCs w:val="32"/>
        </w:rPr>
      </w:pPr>
      <w:r>
        <w:rPr>
          <w:rStyle w:val="20"/>
          <w:rFonts w:hint="eastAsia" w:ascii="方正黑体_GBK" w:eastAsia="方正黑体_GBK"/>
          <w:b w:val="0"/>
          <w:bCs w:val="0"/>
          <w:sz w:val="32"/>
          <w:szCs w:val="32"/>
          <w:shd w:val="clear" w:color="auto" w:fill="FFFFFF"/>
        </w:rPr>
        <w:t>七、决算公开联系方式及信息反馈渠道</w:t>
      </w:r>
    </w:p>
    <w:p>
      <w:pPr>
        <w:pStyle w:val="15"/>
        <w:keepNext w:val="0"/>
        <w:keepLines w:val="0"/>
        <w:pageBreakBefore w:val="0"/>
        <w:widowControl/>
        <w:kinsoku/>
        <w:wordWrap/>
        <w:overflowPunct/>
        <w:topLinePunct w:val="0"/>
        <w:autoSpaceDE w:val="0"/>
        <w:autoSpaceDN/>
        <w:bidi w:val="0"/>
        <w:adjustRightInd/>
        <w:spacing w:before="0" w:beforeAutospacing="0" w:after="0" w:afterAutospacing="0" w:line="600" w:lineRule="exact"/>
        <w:ind w:left="0" w:leftChars="0" w:right="0" w:rightChars="0" w:firstLine="640" w:firstLineChars="200"/>
        <w:textAlignment w:val="auto"/>
        <w:outlineLvl w:val="9"/>
        <w:rPr>
          <w:rFonts w:hint="eastAsia"/>
          <w:color w:val="000000"/>
          <w:sz w:val="21"/>
          <w:szCs w:val="21"/>
        </w:rPr>
      </w:pPr>
      <w:r>
        <w:rPr>
          <w:rFonts w:hint="eastAsia" w:ascii="方正仿宋_GBK" w:eastAsia="方正仿宋_GBK"/>
          <w:sz w:val="32"/>
          <w:szCs w:val="32"/>
          <w:shd w:val="clear" w:color="auto" w:fill="FFFFFF"/>
        </w:rPr>
        <w:t>本单位决算公开信息反馈和联系方式：023-48669908。</w:t>
      </w:r>
    </w:p>
    <w:p>
      <w:pPr>
        <w:autoSpaceDE w:val="0"/>
        <w:spacing w:line="600" w:lineRule="exact"/>
        <w:rPr>
          <w:rFonts w:hint="default"/>
          <w:sz w:val="18"/>
          <w:szCs w:val="18"/>
        </w:rPr>
      </w:pPr>
    </w:p>
    <w:sectPr>
      <w:headerReference r:id="rId3" w:type="default"/>
      <w:footerReference r:id="rId4" w:type="default"/>
      <w:pgSz w:w="11850" w:h="16783"/>
      <w:pgMar w:top="2098" w:right="1474" w:bottom="1984" w:left="1587" w:header="0" w:footer="283" w:gutter="0"/>
      <w:paperSrc/>
      <w:pgNumType w:fmt="numberInDash"/>
      <w:cols w:space="0" w:num="1"/>
      <w:rtlGutter w:val="0"/>
      <w:docGrid w:type="lines" w:linePitch="33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Calibri Light">
    <w:altName w:val="Calibri"/>
    <w:panose1 w:val="020F0302020204030204"/>
    <w:charset w:val="00"/>
    <w:family w:val="swiss"/>
    <w:pitch w:val="default"/>
    <w:sig w:usb0="00000000" w:usb1="00000000" w:usb2="00000000" w:usb3="00000000" w:csb0="0000019F"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rPr>
        <w:rFonts w:hint="default"/>
      </w:rPr>
    </w:pPr>
    <w:r>
      <w:rPr>
        <w:rFonts w:hint="default"/>
      </w:rPr>
      <w:pict>
        <v:shape id="_x0000_s1032" o:spid="_x0000_s1032" o:spt="202" type="#_x0000_t202" style="position:absolute;left:0pt;margin-top:0pt;height:144pt;width:144pt;mso-position-horizontal:center;mso-position-horizontal-relative:margin;mso-wrap-style:none;z-index:251664384;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w:r>
    <w:r>
      <w:rPr>
        <w:rFonts w:hint="default"/>
      </w:rPr>
      <w:pict>
        <v:shape id="_x0000_s1031" o:spid="_x0000_s1031" o:spt="202" type="#_x0000_t202" style="position:absolute;left:0pt;margin-top:1160.4pt;height:17.4pt;width:144pt;mso-position-horizontal:center;mso-position-horizontal-relative:margin;mso-position-vertical-relative:page;mso-wrap-style:none;z-index:251663360;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pPr>
                  <w:pStyle w:val="6"/>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7A4DE6"/>
    <w:multiLevelType w:val="multilevel"/>
    <w:tmpl w:val="707A4DE6"/>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HorizontalSpacing w:val="120"/>
  <w:drawingGridVerticalSpacing w:val="167"/>
  <w:displayHorizontalDrawingGridEvery w:val="1"/>
  <w:displayVerticalDrawingGridEvery w:val="2"/>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26D7493"/>
    <w:rsid w:val="03B87EA0"/>
    <w:rsid w:val="03BB44FD"/>
    <w:rsid w:val="03E3214F"/>
    <w:rsid w:val="044C50BA"/>
    <w:rsid w:val="05BC6D49"/>
    <w:rsid w:val="06194FF1"/>
    <w:rsid w:val="06A2550B"/>
    <w:rsid w:val="06F80EE2"/>
    <w:rsid w:val="07001CCA"/>
    <w:rsid w:val="075678DB"/>
    <w:rsid w:val="07673F9C"/>
    <w:rsid w:val="077B465F"/>
    <w:rsid w:val="079D7CC7"/>
    <w:rsid w:val="08051BCA"/>
    <w:rsid w:val="086C12F4"/>
    <w:rsid w:val="08705944"/>
    <w:rsid w:val="08BA052C"/>
    <w:rsid w:val="08DB07BA"/>
    <w:rsid w:val="09006D29"/>
    <w:rsid w:val="094004AF"/>
    <w:rsid w:val="0969353F"/>
    <w:rsid w:val="098305D0"/>
    <w:rsid w:val="09B1218B"/>
    <w:rsid w:val="0A3317EA"/>
    <w:rsid w:val="0A5C4B69"/>
    <w:rsid w:val="0A86124A"/>
    <w:rsid w:val="0AB54CC0"/>
    <w:rsid w:val="0B9335CE"/>
    <w:rsid w:val="0BF2311A"/>
    <w:rsid w:val="0C7927C4"/>
    <w:rsid w:val="0C9B098C"/>
    <w:rsid w:val="0D673E11"/>
    <w:rsid w:val="0DDA54E4"/>
    <w:rsid w:val="0E182628"/>
    <w:rsid w:val="0E3A5F83"/>
    <w:rsid w:val="0EB841FF"/>
    <w:rsid w:val="0F836721"/>
    <w:rsid w:val="0FA25D96"/>
    <w:rsid w:val="100D2D57"/>
    <w:rsid w:val="107B59E5"/>
    <w:rsid w:val="10EC0126"/>
    <w:rsid w:val="10EF62A3"/>
    <w:rsid w:val="10F70B9A"/>
    <w:rsid w:val="10F83FCA"/>
    <w:rsid w:val="111445C7"/>
    <w:rsid w:val="114278C6"/>
    <w:rsid w:val="1158083A"/>
    <w:rsid w:val="11643A4B"/>
    <w:rsid w:val="11ED0F98"/>
    <w:rsid w:val="11F03528"/>
    <w:rsid w:val="12C921C4"/>
    <w:rsid w:val="13871C70"/>
    <w:rsid w:val="13A71CB4"/>
    <w:rsid w:val="13AF1D43"/>
    <w:rsid w:val="13CE1647"/>
    <w:rsid w:val="13FD55AB"/>
    <w:rsid w:val="14200702"/>
    <w:rsid w:val="14370EA1"/>
    <w:rsid w:val="14BC45DC"/>
    <w:rsid w:val="163A6CEE"/>
    <w:rsid w:val="173708E3"/>
    <w:rsid w:val="17C374FC"/>
    <w:rsid w:val="182E4AB6"/>
    <w:rsid w:val="186D20A2"/>
    <w:rsid w:val="189079DC"/>
    <w:rsid w:val="189B0D0B"/>
    <w:rsid w:val="18B43F7C"/>
    <w:rsid w:val="191C433B"/>
    <w:rsid w:val="194A1770"/>
    <w:rsid w:val="19B906A4"/>
    <w:rsid w:val="1B6F15B6"/>
    <w:rsid w:val="1BAA2EDC"/>
    <w:rsid w:val="1BE00F3D"/>
    <w:rsid w:val="1CA363B6"/>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0A550D3"/>
    <w:rsid w:val="20DD0F59"/>
    <w:rsid w:val="211F0F35"/>
    <w:rsid w:val="214A0062"/>
    <w:rsid w:val="21556F04"/>
    <w:rsid w:val="22403BD3"/>
    <w:rsid w:val="22AD3177"/>
    <w:rsid w:val="235417B6"/>
    <w:rsid w:val="24B92327"/>
    <w:rsid w:val="24C14514"/>
    <w:rsid w:val="2533755C"/>
    <w:rsid w:val="25791755"/>
    <w:rsid w:val="26396DF4"/>
    <w:rsid w:val="27167136"/>
    <w:rsid w:val="271B442C"/>
    <w:rsid w:val="27B23302"/>
    <w:rsid w:val="27C903A4"/>
    <w:rsid w:val="29310A5F"/>
    <w:rsid w:val="29C37A35"/>
    <w:rsid w:val="2A076083"/>
    <w:rsid w:val="2A73162E"/>
    <w:rsid w:val="2B167953"/>
    <w:rsid w:val="2B200583"/>
    <w:rsid w:val="2B2729C0"/>
    <w:rsid w:val="2B8209DE"/>
    <w:rsid w:val="2B821C91"/>
    <w:rsid w:val="2BF81A22"/>
    <w:rsid w:val="2C636760"/>
    <w:rsid w:val="2C6762A3"/>
    <w:rsid w:val="2CB24527"/>
    <w:rsid w:val="2FAF0742"/>
    <w:rsid w:val="2FBA1FE3"/>
    <w:rsid w:val="2FCA4B37"/>
    <w:rsid w:val="2FE029D7"/>
    <w:rsid w:val="2FF06E00"/>
    <w:rsid w:val="30586FEC"/>
    <w:rsid w:val="30AA6C0D"/>
    <w:rsid w:val="315F0B22"/>
    <w:rsid w:val="31A15828"/>
    <w:rsid w:val="31D84415"/>
    <w:rsid w:val="32285F6F"/>
    <w:rsid w:val="32770556"/>
    <w:rsid w:val="329C0913"/>
    <w:rsid w:val="32AA0460"/>
    <w:rsid w:val="3337290D"/>
    <w:rsid w:val="33E31118"/>
    <w:rsid w:val="33EF7674"/>
    <w:rsid w:val="342D7BC6"/>
    <w:rsid w:val="34C80269"/>
    <w:rsid w:val="352930DB"/>
    <w:rsid w:val="35573069"/>
    <w:rsid w:val="355F6038"/>
    <w:rsid w:val="358C217E"/>
    <w:rsid w:val="36C9128A"/>
    <w:rsid w:val="37841E99"/>
    <w:rsid w:val="37BF1123"/>
    <w:rsid w:val="383C3F15"/>
    <w:rsid w:val="38465CAD"/>
    <w:rsid w:val="38BE4696"/>
    <w:rsid w:val="38CB28B2"/>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30777D"/>
    <w:rsid w:val="3F4C52C6"/>
    <w:rsid w:val="3F694D83"/>
    <w:rsid w:val="3F885DCC"/>
    <w:rsid w:val="3FCD675E"/>
    <w:rsid w:val="4004000C"/>
    <w:rsid w:val="40760DD1"/>
    <w:rsid w:val="40BD5482"/>
    <w:rsid w:val="411B6CE5"/>
    <w:rsid w:val="412070D7"/>
    <w:rsid w:val="41314E40"/>
    <w:rsid w:val="41AA2E44"/>
    <w:rsid w:val="41E0734B"/>
    <w:rsid w:val="426C1EA8"/>
    <w:rsid w:val="42736402"/>
    <w:rsid w:val="42E86A87"/>
    <w:rsid w:val="43307B09"/>
    <w:rsid w:val="439A3EB9"/>
    <w:rsid w:val="43AC70D1"/>
    <w:rsid w:val="43BB152F"/>
    <w:rsid w:val="449C5EE4"/>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A913943"/>
    <w:rsid w:val="4B135857"/>
    <w:rsid w:val="4B7951CB"/>
    <w:rsid w:val="4B7C315C"/>
    <w:rsid w:val="4D1E35B2"/>
    <w:rsid w:val="4D1F53CA"/>
    <w:rsid w:val="4DAC4ACA"/>
    <w:rsid w:val="4DBE01D2"/>
    <w:rsid w:val="4EFD467F"/>
    <w:rsid w:val="4F0C6BA3"/>
    <w:rsid w:val="4F186D58"/>
    <w:rsid w:val="4FFE7F08"/>
    <w:rsid w:val="504B6EAA"/>
    <w:rsid w:val="50F06B6E"/>
    <w:rsid w:val="51064DCD"/>
    <w:rsid w:val="51D21804"/>
    <w:rsid w:val="52234D33"/>
    <w:rsid w:val="522F6E0C"/>
    <w:rsid w:val="52463BA1"/>
    <w:rsid w:val="52F163D4"/>
    <w:rsid w:val="531A2DB4"/>
    <w:rsid w:val="53C0244D"/>
    <w:rsid w:val="53CB0EFB"/>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84577FB"/>
    <w:rsid w:val="5A3B59D6"/>
    <w:rsid w:val="5AD134D8"/>
    <w:rsid w:val="5BF41F67"/>
    <w:rsid w:val="5C263CE4"/>
    <w:rsid w:val="5C5D2777"/>
    <w:rsid w:val="5CF66BF3"/>
    <w:rsid w:val="5D290C69"/>
    <w:rsid w:val="5D61612F"/>
    <w:rsid w:val="5DA80C2C"/>
    <w:rsid w:val="5DAD68A5"/>
    <w:rsid w:val="5ED626FD"/>
    <w:rsid w:val="5F2D4A41"/>
    <w:rsid w:val="60C74F6C"/>
    <w:rsid w:val="61015958"/>
    <w:rsid w:val="61025A59"/>
    <w:rsid w:val="613D5BBC"/>
    <w:rsid w:val="61536C39"/>
    <w:rsid w:val="61596BBD"/>
    <w:rsid w:val="62944DD7"/>
    <w:rsid w:val="6319381F"/>
    <w:rsid w:val="63BE763E"/>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377CA2"/>
    <w:rsid w:val="68407834"/>
    <w:rsid w:val="6883293E"/>
    <w:rsid w:val="688412AD"/>
    <w:rsid w:val="68EB1B71"/>
    <w:rsid w:val="696C0310"/>
    <w:rsid w:val="6A6C7940"/>
    <w:rsid w:val="6A9F1565"/>
    <w:rsid w:val="6AAA77D0"/>
    <w:rsid w:val="6AAD2300"/>
    <w:rsid w:val="6B474EF5"/>
    <w:rsid w:val="6BC213B7"/>
    <w:rsid w:val="6BC938E5"/>
    <w:rsid w:val="6C0A5AC5"/>
    <w:rsid w:val="6C560CAE"/>
    <w:rsid w:val="6C576495"/>
    <w:rsid w:val="6D903FF5"/>
    <w:rsid w:val="6DA955B8"/>
    <w:rsid w:val="6DE346AB"/>
    <w:rsid w:val="6DE5391A"/>
    <w:rsid w:val="6E053DFA"/>
    <w:rsid w:val="6ECF2B45"/>
    <w:rsid w:val="6EFD1324"/>
    <w:rsid w:val="6F5A53AC"/>
    <w:rsid w:val="6FAC003D"/>
    <w:rsid w:val="6FD926BF"/>
    <w:rsid w:val="6FE55E12"/>
    <w:rsid w:val="6FFB2E76"/>
    <w:rsid w:val="7003744A"/>
    <w:rsid w:val="708F6F7F"/>
    <w:rsid w:val="70B446CF"/>
    <w:rsid w:val="70D94BD3"/>
    <w:rsid w:val="70F94EDE"/>
    <w:rsid w:val="71574775"/>
    <w:rsid w:val="71C34D91"/>
    <w:rsid w:val="72DB435C"/>
    <w:rsid w:val="72E2613A"/>
    <w:rsid w:val="72F771F4"/>
    <w:rsid w:val="73934AD2"/>
    <w:rsid w:val="73CF585E"/>
    <w:rsid w:val="750837F0"/>
    <w:rsid w:val="754758CF"/>
    <w:rsid w:val="75595ECD"/>
    <w:rsid w:val="764F62AB"/>
    <w:rsid w:val="765C45EC"/>
    <w:rsid w:val="768A7619"/>
    <w:rsid w:val="76BD23AB"/>
    <w:rsid w:val="772E1EBA"/>
    <w:rsid w:val="781926BC"/>
    <w:rsid w:val="796D60A4"/>
    <w:rsid w:val="79A031D5"/>
    <w:rsid w:val="79A8468C"/>
    <w:rsid w:val="79B47FDF"/>
    <w:rsid w:val="79E569A9"/>
    <w:rsid w:val="7A1525F7"/>
    <w:rsid w:val="7B420052"/>
    <w:rsid w:val="7BD06A28"/>
    <w:rsid w:val="7C24086A"/>
    <w:rsid w:val="7C3A7C0B"/>
    <w:rsid w:val="7C5248E4"/>
    <w:rsid w:val="7C566698"/>
    <w:rsid w:val="7C5866A3"/>
    <w:rsid w:val="7CC73138"/>
    <w:rsid w:val="7D7406BB"/>
    <w:rsid w:val="7DE94331"/>
    <w:rsid w:val="7DF60490"/>
    <w:rsid w:val="7DF64DBF"/>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0">
    <w:name w:val="Default Paragraph Font"/>
    <w:unhideWhenUsed/>
    <w:qFormat/>
    <w:uiPriority w:val="1"/>
  </w:style>
  <w:style w:type="table" w:default="1" w:styleId="12">
    <w:name w:val="Normal Table"/>
    <w:unhideWhenUsed/>
    <w:qFormat/>
    <w:uiPriority w:val="99"/>
    <w:tblPr>
      <w:tblLayout w:type="fixed"/>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character" w:styleId="11">
    <w:name w:val="Strong"/>
    <w:qFormat/>
    <w:uiPriority w:val="0"/>
    <w:rPr>
      <w:b/>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0"/>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0"/>
    <w:link w:val="5"/>
    <w:qFormat/>
    <w:uiPriority w:val="0"/>
    <w:rPr>
      <w:rFonts w:ascii="宋体" w:hAnsi="宋体"/>
      <w:sz w:val="18"/>
      <w:szCs w:val="18"/>
    </w:rPr>
  </w:style>
  <w:style w:type="paragraph" w:customStyle="1" w:styleId="19">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 w:type="character" w:customStyle="1" w:styleId="20">
    <w:name w:val="15"/>
    <w:basedOn w:val="10"/>
    <w:qFormat/>
    <w:uiPriority w:val="0"/>
    <w:rPr>
      <w:rFonts w:hint="default" w:ascii="Times New Roman" w:hAnsi="Times New Roman" w:cs="Times New Roman"/>
      <w:b/>
      <w:bCs/>
    </w:rPr>
  </w:style>
  <w:style w:type="character" w:customStyle="1" w:styleId="21">
    <w:name w:val="16"/>
    <w:basedOn w:val="10"/>
    <w:qFormat/>
    <w:uiPriority w:val="0"/>
    <w:rPr>
      <w:rFonts w:hint="default" w:ascii="Times New Roman" w:hAnsi="Times New Roman" w:cs="Times New Roman"/>
      <w:b/>
      <w:bC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2"/>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3935</Words>
  <Characters>22430</Characters>
  <Lines>186</Lines>
  <Paragraphs>52</Paragraphs>
  <ScaleCrop>false</ScaleCrop>
  <LinksUpToDate>false</LinksUpToDate>
  <CharactersWithSpaces>26313</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2025-10-22T02:40:54Z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y fmtid="{D5CDD505-2E9C-101B-9397-08002B2CF9AE}" pid="3" name="ICV">
    <vt:lpwstr>BB46EABDBB2749749395447164B066B3_12</vt:lpwstr>
  </property>
</Properties>
</file>