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kinsoku/>
        <w:wordWrap/>
        <w:overflowPunct/>
        <w:topLinePunct w:val="0"/>
        <w:autoSpaceDE/>
        <w:autoSpaceDN w:val="0"/>
        <w:bidi w:val="0"/>
        <w:adjustRightInd/>
        <w:snapToGrid/>
        <w:spacing w:line="576" w:lineRule="exact"/>
        <w:jc w:val="center"/>
        <w:textAlignment w:val="auto"/>
        <w:rPr>
          <w:rFonts w:hint="eastAsia" w:ascii="方正小标宋_GBK" w:hAnsi="方正小标宋_GBK" w:eastAsia="方正小标宋_GBK" w:cs="方正小标宋_GBK"/>
          <w:color w:val="333333"/>
          <w:sz w:val="44"/>
          <w:szCs w:val="44"/>
          <w:shd w:val="clear" w:color="auto" w:fill="FFFFFF"/>
        </w:rPr>
      </w:pPr>
      <w:r>
        <w:rPr>
          <w:rFonts w:hint="eastAsia" w:ascii="方正小标宋_GBK" w:hAnsi="方正小标宋_GBK" w:eastAsia="方正小标宋_GBK" w:cs="方正小标宋_GBK"/>
          <w:color w:val="333333"/>
          <w:sz w:val="44"/>
          <w:szCs w:val="44"/>
          <w:shd w:val="clear" w:color="auto" w:fill="FFFFFF"/>
        </w:rPr>
        <w:t>重庆市綦江区科技信息中心</w:t>
      </w:r>
      <w:r>
        <w:rPr>
          <w:rFonts w:hint="eastAsia" w:ascii="方正小标宋_GBK" w:hAnsi="方正小标宋_GBK" w:eastAsia="方正小标宋_GBK" w:cs="方正小标宋_GBK"/>
          <w:color w:val="333333"/>
          <w:sz w:val="44"/>
          <w:szCs w:val="44"/>
          <w:shd w:val="clear" w:color="auto" w:fill="FFFFFF"/>
        </w:rPr>
        <w:t xml:space="preserve">             2021</w:t>
      </w:r>
      <w:r>
        <w:rPr>
          <w:rFonts w:hint="eastAsia" w:ascii="方正小标宋_GBK" w:hAnsi="方正小标宋_GBK" w:eastAsia="方正小标宋_GBK" w:cs="方正小标宋_GBK"/>
          <w:color w:val="333333"/>
          <w:sz w:val="44"/>
          <w:szCs w:val="44"/>
          <w:shd w:val="clear" w:color="auto" w:fill="FFFFFF"/>
        </w:rPr>
        <w:t>年部门预算情况说明</w:t>
      </w:r>
    </w:p>
    <w:p>
      <w:pPr>
        <w:keepNext w:val="0"/>
        <w:keepLines w:val="0"/>
        <w:pageBreakBefore w:val="0"/>
        <w:kinsoku/>
        <w:wordWrap/>
        <w:overflowPunct/>
        <w:topLinePunct w:val="0"/>
        <w:autoSpaceDE/>
        <w:autoSpaceDN w:val="0"/>
        <w:bidi w:val="0"/>
        <w:adjustRightInd/>
        <w:snapToGrid/>
        <w:spacing w:line="576" w:lineRule="exact"/>
        <w:ind w:left="645"/>
        <w:textAlignment w:val="auto"/>
        <w:rPr>
          <w:rFonts w:ascii="楷体" w:hAnsi="楷体" w:eastAsia="楷体"/>
          <w:b/>
          <w:sz w:val="28"/>
        </w:rPr>
      </w:pPr>
    </w:p>
    <w:p>
      <w:pPr>
        <w:keepNext w:val="0"/>
        <w:keepLines w:val="0"/>
        <w:pageBreakBefore w:val="0"/>
        <w:kinsoku/>
        <w:wordWrap/>
        <w:overflowPunct/>
        <w:topLinePunct w:val="0"/>
        <w:autoSpaceDE/>
        <w:autoSpaceDN w:val="0"/>
        <w:bidi w:val="0"/>
        <w:adjustRightInd/>
        <w:snapToGrid/>
        <w:spacing w:line="576" w:lineRule="exact"/>
        <w:ind w:left="645"/>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一、单位基本情况</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隶属于重庆市綦江区科学技术局所属事业单位。</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主要服务范围（职责）</w:t>
      </w:r>
      <w:bookmarkStart w:id="0" w:name="_GoBack"/>
      <w:bookmarkEnd w:id="0"/>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（一）负责收集、整理、分析、发布科技信息，开展科技信息交流，为全区提供科技信息服务。</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（二）负责科技规划编制工作的资料信息收集、分类、整理。</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（三）负责科技金融、科技项目立项、科技成果鉴定等工作的咨询服务。</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（四）负责“重庆市綦江区科学技术局”子网站的信息更新和发布。</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（五）承担科技人才交流与合作的服务工作。</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（六）承担科技宣传、科技培训、科学普及、科技下乡、科技活动周等服务工作。</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（七）承担新技术、新成果引进、示范、推广运用的服务工作。</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（八）承担国家、市、区指定科技项目的服务工作。</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（九）承担科技研发（转化）平台建设的服务工作。</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（十）负责企业技术创新、新产品开发、技术改造等工作中的指导服务。</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（十一）负责高新技术企业、科技型企业、重点新产品、高新技术产品申报的咨询服务。</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（十二）负责科技政策、法规等方面的咨询服务。</w:t>
      </w:r>
    </w:p>
    <w:p>
      <w:pPr>
        <w:keepNext w:val="0"/>
        <w:keepLines w:val="0"/>
        <w:pageBreakBefore w:val="0"/>
        <w:kinsoku/>
        <w:wordWrap/>
        <w:overflowPunct/>
        <w:topLinePunct w:val="0"/>
        <w:autoSpaceDE/>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（十三）承办上级交办的其他工作。</w:t>
      </w:r>
    </w:p>
    <w:p>
      <w:pPr>
        <w:keepNext w:val="0"/>
        <w:keepLines w:val="0"/>
        <w:pageBreakBefore w:val="0"/>
        <w:kinsoku/>
        <w:wordWrap/>
        <w:overflowPunct/>
        <w:topLinePunct w:val="0"/>
        <w:autoSpaceDE/>
        <w:autoSpaceDN w:val="0"/>
        <w:bidi w:val="0"/>
        <w:adjustRightInd/>
        <w:snapToGrid/>
        <w:spacing w:line="576" w:lineRule="exact"/>
        <w:ind w:left="645"/>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二、部门收支总体情况</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（一）收入预算：</w:t>
      </w:r>
      <w:r>
        <w:rPr>
          <w:rFonts w:hint="eastAsia" w:ascii="方正仿宋_GBK" w:hAnsi="方正仿宋_GBK" w:eastAsia="方正仿宋_GBK" w:cs="方正仿宋_GBK"/>
          <w:color w:val="000000"/>
          <w:sz w:val="32"/>
          <w:szCs w:val="32"/>
        </w:rPr>
        <w:t>2021年年初预算数124.04万元，其中：一般公共预算拨款124.04万元，政府性基金预算拨款0万元，国有资本经营预算收入0万元，事业收入0万元，事业单位经营收入0万元，其他收入0万元。收入较2020年减少16.52万元，主要是厉行节约压减支出。</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（二）支出预算：</w:t>
      </w:r>
      <w:r>
        <w:rPr>
          <w:rFonts w:hint="eastAsia" w:ascii="方正仿宋_GBK" w:hAnsi="方正仿宋_GBK" w:eastAsia="方正仿宋_GBK" w:cs="方正仿宋_GBK"/>
          <w:color w:val="000000"/>
          <w:sz w:val="32"/>
          <w:szCs w:val="32"/>
        </w:rPr>
        <w:t>2021年年初预算数124.04万元，其中：科学技术支出预算124.04万元，教育支出预算0万元，社会保障和就业支出预算9.78万元，卫生健康支出预算4.83万元，住房保障支出预算4.89万元。支出预算较2020年减少16.52万元，主要是基本支出减少16.52万元。主要原因是厉行节约压减支出。</w:t>
      </w:r>
    </w:p>
    <w:p>
      <w:pPr>
        <w:keepNext w:val="0"/>
        <w:keepLines w:val="0"/>
        <w:pageBreakBefore w:val="0"/>
        <w:kinsoku/>
        <w:wordWrap/>
        <w:overflowPunct/>
        <w:topLinePunct w:val="0"/>
        <w:autoSpaceDE/>
        <w:autoSpaceDN w:val="0"/>
        <w:bidi w:val="0"/>
        <w:adjustRightInd/>
        <w:snapToGrid/>
        <w:spacing w:line="576" w:lineRule="exact"/>
        <w:ind w:left="645"/>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三、部门预算情况说明</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2021年一般公共预算财政拨款收入124.04万元，一般公共预算财政拨款支出124.04万元，比2020年减少16.52万元。其中：基本支出117.54万元，比2020年减少16.52万元，主要原因是厉行节约压减支出。</w:t>
      </w:r>
    </w:p>
    <w:p>
      <w:pPr>
        <w:keepNext w:val="0"/>
        <w:keepLines w:val="0"/>
        <w:pageBreakBefore w:val="0"/>
        <w:kinsoku/>
        <w:wordWrap/>
        <w:overflowPunct/>
        <w:topLinePunct w:val="0"/>
        <w:autoSpaceDE/>
        <w:autoSpaceDN w:val="0"/>
        <w:bidi w:val="0"/>
        <w:adjustRightInd/>
        <w:snapToGrid/>
        <w:spacing w:line="576" w:lineRule="exact"/>
        <w:ind w:firstLine="48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綦江区科技信息中心2021年无政府性基金预算收入，无使用政府性基金预算拨款安排的支出。</w:t>
      </w:r>
    </w:p>
    <w:p>
      <w:pPr>
        <w:keepNext w:val="0"/>
        <w:keepLines w:val="0"/>
        <w:pageBreakBefore w:val="0"/>
        <w:kinsoku/>
        <w:wordWrap/>
        <w:overflowPunct/>
        <w:topLinePunct w:val="0"/>
        <w:autoSpaceDE/>
        <w:autoSpaceDN w:val="0"/>
        <w:bidi w:val="0"/>
        <w:adjustRightInd/>
        <w:snapToGrid/>
        <w:spacing w:line="576" w:lineRule="exact"/>
        <w:ind w:left="645"/>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四、“三公”经费情况说明</w:t>
      </w:r>
    </w:p>
    <w:p>
      <w:pPr>
        <w:keepNext w:val="0"/>
        <w:keepLines w:val="0"/>
        <w:pageBreakBefore w:val="0"/>
        <w:kinsoku/>
        <w:wordWrap/>
        <w:overflowPunct/>
        <w:topLinePunct w:val="0"/>
        <w:autoSpaceDE/>
        <w:autoSpaceDN w:val="0"/>
        <w:bidi w:val="0"/>
        <w:adjustRightInd/>
        <w:snapToGrid/>
        <w:spacing w:line="576" w:lineRule="exact"/>
        <w:ind w:firstLine="6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rPr>
        <w:t>2021年“三公”经费预算1万元，与2020年持平。其中：因公出国（境）费用0万元，与2020年持平；公务接待费1万元，与2020年持平；公务用车运行维护费0万元，与2020年持平；公务用车购置费0万元，比2020年持平。</w:t>
      </w:r>
    </w:p>
    <w:p>
      <w:pPr>
        <w:keepNext w:val="0"/>
        <w:keepLines w:val="0"/>
        <w:pageBreakBefore w:val="0"/>
        <w:kinsoku/>
        <w:wordWrap/>
        <w:overflowPunct/>
        <w:topLinePunct w:val="0"/>
        <w:autoSpaceDE/>
        <w:autoSpaceDN w:val="0"/>
        <w:bidi w:val="0"/>
        <w:adjustRightInd/>
        <w:snapToGrid/>
        <w:spacing w:line="576" w:lineRule="exact"/>
        <w:ind w:left="645"/>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五、其他重要事项的情况说明</w:t>
      </w:r>
    </w:p>
    <w:p>
      <w:pPr>
        <w:keepNext w:val="0"/>
        <w:keepLines w:val="0"/>
        <w:pageBreakBefore w:val="0"/>
        <w:kinsoku/>
        <w:wordWrap/>
        <w:overflowPunct/>
        <w:topLinePunct w:val="0"/>
        <w:autoSpaceDE/>
        <w:autoSpaceDN w:val="0"/>
        <w:bidi w:val="0"/>
        <w:adjustRightInd/>
        <w:snapToGrid/>
        <w:spacing w:line="576" w:lineRule="exact"/>
        <w:ind w:firstLine="6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1.机关运行经费。</w:t>
      </w:r>
      <w:r>
        <w:rPr>
          <w:rFonts w:hint="eastAsia" w:ascii="方正仿宋_GBK" w:hAnsi="方正仿宋_GBK" w:eastAsia="方正仿宋_GBK" w:cs="方正仿宋_GBK"/>
          <w:color w:val="000000"/>
          <w:sz w:val="32"/>
          <w:szCs w:val="32"/>
        </w:rPr>
        <w:t>2021年一般公共预算财政拨款运行经费24.52万元，主要用于办公费、印刷费、邮电费、水电费、物管费、差旅费、会议费、培训费及其他商品和服务支出等。</w:t>
      </w:r>
    </w:p>
    <w:p>
      <w:pPr>
        <w:keepNext w:val="0"/>
        <w:keepLines w:val="0"/>
        <w:pageBreakBefore w:val="0"/>
        <w:kinsoku/>
        <w:wordWrap/>
        <w:overflowPunct/>
        <w:topLinePunct w:val="0"/>
        <w:autoSpaceDE/>
        <w:autoSpaceDN w:val="0"/>
        <w:bidi w:val="0"/>
        <w:adjustRightInd/>
        <w:snapToGrid/>
        <w:spacing w:line="576" w:lineRule="exact"/>
        <w:ind w:firstLine="6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2.政府采购情况。</w:t>
      </w:r>
      <w:r>
        <w:rPr>
          <w:rFonts w:hint="eastAsia" w:ascii="方正仿宋_GBK" w:hAnsi="方正仿宋_GBK" w:eastAsia="方正仿宋_GBK" w:cs="方正仿宋_GBK"/>
          <w:color w:val="000000"/>
          <w:sz w:val="32"/>
          <w:szCs w:val="32"/>
        </w:rPr>
        <w:t>所属各预算单位政府采购预算总额0万元：政府采购货物预算0万元、政府采购工程预算0万元、政府采购服务预算0万元；其中一般公共预算拨款政府采购0万元：政府采购货物预算0万元、政府采购工程预算0万元、政府采购服务预算0万元。</w:t>
      </w:r>
    </w:p>
    <w:p>
      <w:pPr>
        <w:keepNext w:val="0"/>
        <w:keepLines w:val="0"/>
        <w:pageBreakBefore w:val="0"/>
        <w:kinsoku/>
        <w:wordWrap/>
        <w:overflowPunct/>
        <w:topLinePunct w:val="0"/>
        <w:autoSpaceDE/>
        <w:autoSpaceDN w:val="0"/>
        <w:bidi w:val="0"/>
        <w:adjustRightInd/>
        <w:snapToGrid/>
        <w:spacing w:line="576" w:lineRule="exact"/>
        <w:ind w:firstLine="600"/>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3.绩效目标设置情况。</w:t>
      </w:r>
      <w:r>
        <w:rPr>
          <w:rFonts w:hint="eastAsia" w:ascii="方正仿宋_GBK" w:hAnsi="方正仿宋_GBK" w:eastAsia="方正仿宋_GBK" w:cs="方正仿宋_GBK"/>
          <w:color w:val="000000"/>
          <w:sz w:val="32"/>
          <w:szCs w:val="32"/>
        </w:rPr>
        <w:t>2021年项目支出均实行了绩效目标管理，涉及一般公共预算当年财政拨款6.5万元。</w:t>
      </w:r>
    </w:p>
    <w:p>
      <w:pPr>
        <w:keepNext w:val="0"/>
        <w:keepLines w:val="0"/>
        <w:pageBreakBefore w:val="0"/>
        <w:kinsoku/>
        <w:wordWrap/>
        <w:overflowPunct/>
        <w:topLinePunct w:val="0"/>
        <w:autoSpaceDE/>
        <w:autoSpaceDN w:val="0"/>
        <w:bidi w:val="0"/>
        <w:adjustRightInd/>
        <w:snapToGrid/>
        <w:spacing w:line="576" w:lineRule="exact"/>
        <w:ind w:firstLine="600"/>
        <w:jc w:val="both"/>
        <w:textAlignment w:val="auto"/>
        <w:rPr>
          <w:rFonts w:hint="eastAsia" w:ascii="方正仿宋_GBK" w:hAnsi="方正仿宋_GBK" w:eastAsia="方正仿宋_GBK" w:cs="方正仿宋_GBK"/>
          <w:sz w:val="32"/>
          <w:szCs w:val="32"/>
        </w:rPr>
      </w:pPr>
      <w:r>
        <w:rPr>
          <w:rFonts w:hint="eastAsia" w:ascii="方正楷体_GBK" w:hAnsi="方正楷体_GBK" w:eastAsia="方正楷体_GBK" w:cs="方正楷体_GBK"/>
          <w:color w:val="000000"/>
          <w:sz w:val="32"/>
          <w:szCs w:val="32"/>
        </w:rPr>
        <w:t>4.国有资产占有使用情况。</w:t>
      </w:r>
      <w:r>
        <w:rPr>
          <w:rFonts w:hint="eastAsia" w:ascii="方正仿宋_GBK" w:hAnsi="方正仿宋_GBK" w:eastAsia="方正仿宋_GBK" w:cs="方正仿宋_GBK"/>
          <w:color w:val="000000"/>
          <w:sz w:val="32"/>
          <w:szCs w:val="32"/>
        </w:rPr>
        <w:t>截止2020年12月，所属各预算单位共有车辆0辆，其中一般公务用车0辆、执勤执法用车0辆。2021年一般公共预算安排购置车辆0辆，其中一般公务用车0辆、执勤执法用车0辆</w:t>
      </w:r>
      <w:r>
        <w:rPr>
          <w:rFonts w:hint="eastAsia" w:ascii="方正仿宋_GBK" w:hAnsi="方正仿宋_GBK" w:eastAsia="方正仿宋_GBK" w:cs="方正仿宋_GBK"/>
          <w:sz w:val="32"/>
          <w:szCs w:val="32"/>
        </w:rPr>
        <w:t>。</w:t>
      </w:r>
    </w:p>
    <w:p>
      <w:pPr>
        <w:keepNext w:val="0"/>
        <w:keepLines w:val="0"/>
        <w:pageBreakBefore w:val="0"/>
        <w:kinsoku/>
        <w:wordWrap/>
        <w:overflowPunct/>
        <w:topLinePunct w:val="0"/>
        <w:autoSpaceDE/>
        <w:autoSpaceDN w:val="0"/>
        <w:bidi w:val="0"/>
        <w:adjustRightInd/>
        <w:snapToGrid/>
        <w:spacing w:line="576" w:lineRule="exact"/>
        <w:ind w:left="645"/>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六、专业性名词解释</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（一）财政拨款收入：</w:t>
      </w:r>
      <w:r>
        <w:rPr>
          <w:rFonts w:hint="eastAsia" w:ascii="方正仿宋_GBK" w:hAnsi="方正仿宋_GBK" w:eastAsia="方正仿宋_GBK" w:cs="方正仿宋_GBK"/>
          <w:color w:val="000000"/>
          <w:sz w:val="32"/>
          <w:szCs w:val="32"/>
        </w:rPr>
        <w:t>指本年度从本级财政部门取得的财政拨款，包括一般公共预算财政拨款和政府性基金预算财政拨款。</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（二）其他收入：</w:t>
      </w:r>
      <w:r>
        <w:rPr>
          <w:rFonts w:hint="eastAsia" w:ascii="方正仿宋_GBK" w:hAnsi="方正仿宋_GBK" w:eastAsia="方正仿宋_GBK" w:cs="方正仿宋_GBK"/>
          <w:color w:val="000000"/>
          <w:sz w:val="32"/>
          <w:szCs w:val="32"/>
        </w:rPr>
        <w:t>指单位取得的除“财政拨款收入”、“事业收入”、“经营收入”等以外的收入。</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（三）基本支出：</w:t>
      </w:r>
      <w:r>
        <w:rPr>
          <w:rFonts w:hint="eastAsia" w:ascii="方正仿宋_GBK" w:hAnsi="方正仿宋_GBK" w:eastAsia="方正仿宋_GBK" w:cs="方正仿宋_GBK"/>
          <w:color w:val="000000"/>
          <w:sz w:val="32"/>
          <w:szCs w:val="32"/>
        </w:rPr>
        <w:t>指为保障机构正常运转、完成日常工作任务而发生的人员经费和公用经费。</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（四）项目支出：</w:t>
      </w:r>
      <w:r>
        <w:rPr>
          <w:rFonts w:hint="eastAsia" w:ascii="方正仿宋_GBK" w:hAnsi="方正仿宋_GBK" w:eastAsia="方正仿宋_GBK" w:cs="方正仿宋_GBK"/>
          <w:color w:val="000000"/>
          <w:sz w:val="32"/>
          <w:szCs w:val="32"/>
        </w:rPr>
        <w:t>指在基本支出之外为完成特定行政任务和事业发展目标所发生的支出。</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color w:val="000000"/>
          <w:sz w:val="32"/>
          <w:szCs w:val="32"/>
        </w:rPr>
      </w:pPr>
      <w:r>
        <w:rPr>
          <w:rFonts w:hint="eastAsia" w:ascii="方正楷体_GBK" w:hAnsi="方正楷体_GBK" w:eastAsia="方正楷体_GBK" w:cs="方正楷体_GBK"/>
          <w:color w:val="000000"/>
          <w:sz w:val="32"/>
          <w:szCs w:val="32"/>
        </w:rPr>
        <w:t>（五）“三公”经费：</w:t>
      </w:r>
      <w:r>
        <w:rPr>
          <w:rFonts w:hint="eastAsia" w:ascii="方正仿宋_GBK" w:hAnsi="方正仿宋_GBK" w:eastAsia="方正仿宋_GBK" w:cs="方正仿宋_GBK"/>
          <w:color w:val="000000"/>
          <w:sz w:val="32"/>
          <w:szCs w:val="32"/>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keepNext w:val="0"/>
        <w:keepLines w:val="0"/>
        <w:pageBreakBefore w:val="0"/>
        <w:kinsoku/>
        <w:wordWrap/>
        <w:overflowPunct/>
        <w:topLinePunct w:val="0"/>
        <w:autoSpaceDE/>
        <w:autoSpaceDN w:val="0"/>
        <w:bidi w:val="0"/>
        <w:adjustRightInd/>
        <w:snapToGrid/>
        <w:spacing w:line="576" w:lineRule="exact"/>
        <w:ind w:left="645"/>
        <w:jc w:val="both"/>
        <w:textAlignment w:val="auto"/>
        <w:rPr>
          <w:rFonts w:hint="eastAsia" w:ascii="方正黑体_GBK" w:hAnsi="方正黑体_GBK" w:eastAsia="方正黑体_GBK" w:cs="方正黑体_GBK"/>
          <w:b w:val="0"/>
          <w:bCs/>
          <w:sz w:val="32"/>
          <w:szCs w:val="32"/>
        </w:rPr>
      </w:pPr>
      <w:r>
        <w:rPr>
          <w:rFonts w:hint="eastAsia" w:ascii="方正黑体_GBK" w:hAnsi="方正黑体_GBK" w:eastAsia="方正黑体_GBK" w:cs="方正黑体_GBK"/>
          <w:b w:val="0"/>
          <w:bCs/>
          <w:sz w:val="32"/>
          <w:szCs w:val="32"/>
        </w:rPr>
        <w:t>七、决算公开联系方式及信息反馈渠道</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jc w:val="both"/>
        <w:textAlignment w:val="auto"/>
        <w:rPr>
          <w:rFonts w:hint="eastAsia" w:ascii="方正仿宋_GBK" w:hAnsi="方正仿宋_GBK" w:eastAsia="方正仿宋_GBK" w:cs="方正仿宋_GBK"/>
          <w:color w:val="000000"/>
          <w:sz w:val="32"/>
          <w:szCs w:val="32"/>
        </w:rPr>
      </w:pPr>
      <w:r>
        <w:rPr>
          <w:rFonts w:hint="eastAsia" w:ascii="方正仿宋_GBK" w:hAnsi="方正仿宋_GBK" w:eastAsia="方正仿宋_GBK" w:cs="方正仿宋_GBK"/>
          <w:color w:val="000000"/>
          <w:sz w:val="32"/>
          <w:szCs w:val="32"/>
        </w:rPr>
        <w:t>本单位决算公开信息反馈和联系</w:t>
      </w:r>
      <w:r>
        <w:rPr>
          <w:rFonts w:hint="eastAsia" w:ascii="方正仿宋_GBK" w:hAnsi="方正仿宋_GBK" w:eastAsia="方正仿宋_GBK" w:cs="方正仿宋_GBK"/>
          <w:color w:val="000000"/>
          <w:sz w:val="32"/>
          <w:szCs w:val="32"/>
          <w:lang w:val="en-US" w:eastAsia="zh-CN"/>
        </w:rPr>
        <w:t>人</w:t>
      </w:r>
      <w:r>
        <w:rPr>
          <w:rFonts w:hint="eastAsia" w:ascii="方正仿宋_GBK" w:hAnsi="方正仿宋_GBK" w:eastAsia="方正仿宋_GBK" w:cs="方正仿宋_GBK"/>
          <w:color w:val="000000"/>
          <w:sz w:val="32"/>
          <w:szCs w:val="32"/>
        </w:rPr>
        <w:t>：</w:t>
      </w:r>
      <w:r>
        <w:rPr>
          <w:rFonts w:hint="eastAsia" w:ascii="方正仿宋_GBK" w:hAnsi="方正仿宋_GBK" w:eastAsia="方正仿宋_GBK" w:cs="方正仿宋_GBK"/>
          <w:color w:val="000000"/>
          <w:sz w:val="32"/>
          <w:szCs w:val="32"/>
          <w:lang w:val="en-US" w:eastAsia="zh-CN"/>
        </w:rPr>
        <w:t>曾慧，联系电话：</w:t>
      </w:r>
      <w:r>
        <w:rPr>
          <w:rFonts w:hint="eastAsia" w:ascii="方正仿宋_GBK" w:hAnsi="方正仿宋_GBK" w:eastAsia="方正仿宋_GBK" w:cs="方正仿宋_GBK"/>
          <w:color w:val="000000"/>
          <w:sz w:val="32"/>
          <w:szCs w:val="32"/>
        </w:rPr>
        <w:t>023—48662340。</w:t>
      </w: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黑体_GBK" w:hAnsi="方正黑体_GBK" w:eastAsia="方正黑体_GBK" w:cs="方正黑体_GBK"/>
          <w:b w:val="0"/>
          <w:bCs/>
          <w:sz w:val="32"/>
          <w:szCs w:val="32"/>
        </w:rPr>
      </w:pPr>
    </w:p>
    <w:p>
      <w:pPr>
        <w:keepNext w:val="0"/>
        <w:keepLines w:val="0"/>
        <w:pageBreakBefore w:val="0"/>
        <w:kinsoku/>
        <w:wordWrap/>
        <w:overflowPunct/>
        <w:topLinePunct w:val="0"/>
        <w:autoSpaceDE/>
        <w:autoSpaceDN w:val="0"/>
        <w:bidi w:val="0"/>
        <w:adjustRightInd/>
        <w:snapToGrid/>
        <w:spacing w:line="576" w:lineRule="exact"/>
        <w:ind w:firstLine="645"/>
        <w:jc w:val="both"/>
        <w:textAlignment w:val="auto"/>
        <w:rPr>
          <w:rFonts w:hint="eastAsia" w:ascii="方正仿宋_GBK" w:hAnsi="方正仿宋_GBK" w:eastAsia="方正仿宋_GBK" w:cs="方正仿宋_GBK"/>
          <w:sz w:val="32"/>
          <w:szCs w:val="32"/>
        </w:rPr>
      </w:pPr>
      <w:r>
        <w:rPr>
          <w:rFonts w:hint="eastAsia" w:ascii="方正黑体_GBK" w:hAnsi="方正黑体_GBK" w:eastAsia="方正黑体_GBK" w:cs="方正黑体_GBK"/>
          <w:b w:val="0"/>
          <w:bCs/>
          <w:sz w:val="32"/>
          <w:szCs w:val="32"/>
        </w:rPr>
        <w:t xml:space="preserve">                             </w:t>
      </w:r>
    </w:p>
    <w:p>
      <w:pPr>
        <w:keepNext w:val="0"/>
        <w:keepLines w:val="0"/>
        <w:pageBreakBefore w:val="0"/>
        <w:kinsoku/>
        <w:wordWrap/>
        <w:overflowPunct/>
        <w:topLinePunct w:val="0"/>
        <w:autoSpaceDE/>
        <w:autoSpaceDN w:val="0"/>
        <w:bidi w:val="0"/>
        <w:adjustRightInd/>
        <w:snapToGrid/>
        <w:spacing w:line="576"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br w:type="textWrapping"/>
      </w:r>
    </w:p>
    <w:p>
      <w:pPr>
        <w:keepNext w:val="0"/>
        <w:keepLines w:val="0"/>
        <w:pageBreakBefore w:val="0"/>
        <w:kinsoku/>
        <w:wordWrap/>
        <w:overflowPunct/>
        <w:topLinePunct w:val="0"/>
        <w:autoSpaceDE/>
        <w:bidi w:val="0"/>
        <w:adjustRightInd/>
        <w:snapToGrid/>
        <w:spacing w:line="576" w:lineRule="exact"/>
        <w:textAlignment w:val="auto"/>
        <w:rPr>
          <w:rFonts w:hint="eastAsia" w:ascii="方正仿宋_GBK" w:hAnsi="方正仿宋_GBK" w:eastAsia="方正仿宋_GBK" w:cs="方正仿宋_GBK"/>
          <w:sz w:val="32"/>
          <w:szCs w:val="32"/>
        </w:rPr>
      </w:pPr>
    </w:p>
    <w:sectPr>
      <w:headerReference r:id="rId5" w:type="first"/>
      <w:footerReference r:id="rId8" w:type="first"/>
      <w:headerReference r:id="rId3" w:type="default"/>
      <w:footerReference r:id="rId6" w:type="default"/>
      <w:headerReference r:id="rId4" w:type="even"/>
      <w:footerReference r:id="rId7" w:type="even"/>
      <w:pgSz w:w="12240" w:h="15840"/>
      <w:pgMar w:top="930" w:right="1800" w:bottom="930" w:left="1800" w:header="720" w:footer="720"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outside;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sz w:val="28"/>
                    <w:szCs w:val="28"/>
                    <w:lang w:eastAsia="zh-CN"/>
                  </w:rPr>
                </w:pPr>
                <w:r>
                  <w:rPr>
                    <w:rFonts w:hint="eastAsia"/>
                    <w:sz w:val="28"/>
                    <w:szCs w:val="28"/>
                    <w:lang w:eastAsia="zh-CN"/>
                  </w:rPr>
                  <w:t xml:space="preserve">— </w:t>
                </w: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rFonts w:hint="eastAsia"/>
                    <w:sz w:val="28"/>
                    <w:szCs w:val="28"/>
                    <w:lang w:eastAsia="zh-CN"/>
                  </w:rPr>
                  <w:t>1</w:t>
                </w:r>
                <w:r>
                  <w:rPr>
                    <w:rFonts w:hint="eastAsia"/>
                    <w:sz w:val="28"/>
                    <w:szCs w:val="28"/>
                    <w:lang w:eastAsia="zh-CN"/>
                  </w:rPr>
                  <w:fldChar w:fldCharType="end"/>
                </w:r>
                <w:r>
                  <w:rPr>
                    <w:rFonts w:hint="eastAsia"/>
                    <w:sz w:val="28"/>
                    <w:szCs w:val="28"/>
                    <w:lang w:eastAsia="zh-CN"/>
                  </w:rPr>
                  <w:t xml:space="preserve"> —</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VerticalSpacing w:val="156"/>
  <w:displayHorizontalDrawingGridEvery w:val="0"/>
  <w:displayVerticalDrawingGridEvery w:val="2"/>
  <w:characterSpacingControl w:val="compressPunctuation"/>
  <w:noLineBreaksAfter w:lang="zh-CN" w:val="([{·‘“〈《「『【〔〖﹝＄（．［｛￡￥"/>
  <w:noLineBreaksBefore w:lang="zh-CN" w:val="!),.:;?]}¨·ˇˉ―‖’”…∶、。〃々〉》」』】〕〗﹜﹞！＂％＇），．：；？］｀｜｝～￠"/>
  <w:doNotValidateAgainstSchema/>
  <w:doNotDemarcateInvalidXml/>
  <w:hdrShapeDefaults>
    <o:shapelayout v:ext="edit">
      <o:idmap v:ext="edit" data="2"/>
    </o:shapelayout>
  </w:hdrShapeDefaults>
  <w:compat>
    <w:spaceForUL/>
    <w:balanceSingleByteDoubleByteWidth/>
    <w:doNotLeaveBackslashAlone/>
    <w:doNotExpandShiftReturn/>
    <w:adjustLineHeightInTable/>
    <w:doNotWrapTextWithPunc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9128A"/>
    <w:rsid w:val="000A7A4D"/>
    <w:rsid w:val="000C0875"/>
    <w:rsid w:val="00154419"/>
    <w:rsid w:val="00172A27"/>
    <w:rsid w:val="00186F62"/>
    <w:rsid w:val="00210F09"/>
    <w:rsid w:val="002A63F7"/>
    <w:rsid w:val="003373DF"/>
    <w:rsid w:val="003455A7"/>
    <w:rsid w:val="00346194"/>
    <w:rsid w:val="00350107"/>
    <w:rsid w:val="003A1076"/>
    <w:rsid w:val="004F197F"/>
    <w:rsid w:val="005817DA"/>
    <w:rsid w:val="005A0D2C"/>
    <w:rsid w:val="005A344C"/>
    <w:rsid w:val="00616711"/>
    <w:rsid w:val="00666D6A"/>
    <w:rsid w:val="006A06FE"/>
    <w:rsid w:val="006B7CF7"/>
    <w:rsid w:val="007264BC"/>
    <w:rsid w:val="0076604C"/>
    <w:rsid w:val="008315F8"/>
    <w:rsid w:val="008A4909"/>
    <w:rsid w:val="009129DF"/>
    <w:rsid w:val="009C442D"/>
    <w:rsid w:val="009F1B5C"/>
    <w:rsid w:val="00A6095A"/>
    <w:rsid w:val="00B401F6"/>
    <w:rsid w:val="00D10734"/>
    <w:rsid w:val="00DB5F8E"/>
    <w:rsid w:val="00DD73F8"/>
    <w:rsid w:val="00E53509"/>
    <w:rsid w:val="00FC38D5"/>
    <w:rsid w:val="02B62C3A"/>
    <w:rsid w:val="02E741B6"/>
    <w:rsid w:val="0C9C2865"/>
    <w:rsid w:val="205B3BAE"/>
    <w:rsid w:val="267E244D"/>
    <w:rsid w:val="2DCA3949"/>
    <w:rsid w:val="310A08A8"/>
    <w:rsid w:val="385A6ABF"/>
    <w:rsid w:val="3F2C3F81"/>
    <w:rsid w:val="42A815D9"/>
    <w:rsid w:val="534B0616"/>
    <w:rsid w:val="5575450B"/>
    <w:rsid w:val="59E33F5B"/>
    <w:rsid w:val="5C1D1657"/>
    <w:rsid w:val="5F5D0DB8"/>
    <w:rsid w:val="675E57B8"/>
    <w:rsid w:val="6EBA7BF6"/>
    <w:rsid w:val="7A4A4FE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kern w:val="0"/>
      <w:sz w:val="20"/>
      <w:szCs w:val="20"/>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99"/>
    <w:pPr>
      <w:tabs>
        <w:tab w:val="center" w:pos="4153"/>
        <w:tab w:val="right" w:pos="8306"/>
      </w:tabs>
      <w:snapToGrid w:val="0"/>
    </w:pPr>
    <w:rPr>
      <w:sz w:val="18"/>
      <w:szCs w:val="18"/>
    </w:rPr>
  </w:style>
  <w:style w:type="paragraph" w:styleId="3">
    <w:name w:val="header"/>
    <w:basedOn w:val="1"/>
    <w:link w:val="6"/>
    <w:uiPriority w:val="99"/>
    <w:pPr>
      <w:pBdr>
        <w:bottom w:val="single" w:color="auto" w:sz="6" w:space="1"/>
      </w:pBdr>
      <w:tabs>
        <w:tab w:val="center" w:pos="4153"/>
        <w:tab w:val="right" w:pos="8306"/>
      </w:tabs>
      <w:snapToGrid w:val="0"/>
      <w:jc w:val="center"/>
    </w:pPr>
    <w:rPr>
      <w:sz w:val="18"/>
      <w:szCs w:val="18"/>
    </w:rPr>
  </w:style>
  <w:style w:type="character" w:customStyle="1" w:styleId="6">
    <w:name w:val="Header Char"/>
    <w:basedOn w:val="5"/>
    <w:link w:val="3"/>
    <w:semiHidden/>
    <w:locked/>
    <w:uiPriority w:val="99"/>
    <w:rPr>
      <w:rFonts w:cs="Times New Roman"/>
      <w:kern w:val="0"/>
      <w:sz w:val="18"/>
      <w:szCs w:val="18"/>
    </w:rPr>
  </w:style>
  <w:style w:type="character" w:customStyle="1" w:styleId="7">
    <w:name w:val="Footer Char"/>
    <w:basedOn w:val="5"/>
    <w:link w:val="2"/>
    <w:semiHidden/>
    <w:locked/>
    <w:uiPriority w:val="99"/>
    <w:rPr>
      <w:rFonts w:cs="Times New Roman"/>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282</Words>
  <Characters>1612</Characters>
  <Lines>0</Lines>
  <Paragraphs>0</Paragraphs>
  <TotalTime>5</TotalTime>
  <ScaleCrop>false</ScaleCrop>
  <LinksUpToDate>false</LinksUpToDate>
  <CharactersWithSpaces>0</CharactersWithSpaces>
  <Application>WPS Office_11.8.2.8875_F1E327BC-269C-435d-A152-05C5408002CA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2021-07-23T04:37:00Z</dcterms:created>
  <dc:creator>undefined</dc:creator>
  <cp:lastModifiedBy>undefined</cp:lastModifiedBy>
  <dcterms:modified xsi:type="dcterms:W3CDTF">2022-09-02T07:39:30Z</dcterms:modified>
  <dc:title>重庆市綦江区科学技术局             2021年部门预算情况说明</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2052-11.8.2.8875</vt:lpwstr>
  </property>
</Properties>
</file>